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60FA6DD"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F033E8">
            <w:rPr>
              <w:rFonts w:ascii="Arial" w:hAnsi="Arial" w:cs="Arial"/>
              <w:b/>
              <w:sz w:val="24"/>
            </w:rPr>
            <w:t>#9</w:t>
          </w:r>
          <w:r w:rsidR="00D844E0">
            <w:rPr>
              <w:rFonts w:ascii="Arial" w:hAnsi="Arial" w:cs="Arial"/>
              <w:b/>
              <w:sz w:val="24"/>
            </w:rPr>
            <w:t>6</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ED4D55" w:rsidRPr="00ED4D55">
            <w:rPr>
              <w:rFonts w:ascii="Arial" w:hAnsi="Arial" w:cs="Arial"/>
              <w:b/>
              <w:sz w:val="24"/>
            </w:rPr>
            <w:t>R1-1902457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78E2693" w:rsidR="00425159" w:rsidRPr="00425159" w:rsidRDefault="00D15385" w:rsidP="00425159">
          <w:pPr>
            <w:spacing w:after="0"/>
            <w:ind w:left="1988" w:hanging="1988"/>
            <w:jc w:val="both"/>
            <w:rPr>
              <w:rFonts w:ascii="Arial" w:hAnsi="Arial" w:cs="Arial"/>
              <w:b/>
              <w:sz w:val="24"/>
            </w:rPr>
          </w:pPr>
          <w:r>
            <w:rPr>
              <w:rFonts w:ascii="Arial" w:hAnsi="Arial" w:cs="Arial"/>
              <w:b/>
              <w:sz w:val="24"/>
            </w:rPr>
            <w:t>Athens</w:t>
          </w:r>
          <w:r w:rsidR="00F033E8" w:rsidRPr="00E16928">
            <w:rPr>
              <w:rFonts w:ascii="Arial" w:hAnsi="Arial" w:cs="Arial"/>
              <w:b/>
              <w:sz w:val="24"/>
            </w:rPr>
            <w:t xml:space="preserve">, </w:t>
          </w:r>
          <w:r>
            <w:rPr>
              <w:rFonts w:ascii="Arial" w:hAnsi="Arial" w:cs="Arial"/>
              <w:b/>
              <w:sz w:val="24"/>
            </w:rPr>
            <w:t>Greece</w:t>
          </w:r>
          <w:r w:rsidR="00F033E8" w:rsidRPr="00E16928">
            <w:rPr>
              <w:rFonts w:ascii="Arial" w:hAnsi="Arial" w:cs="Arial"/>
              <w:b/>
              <w:sz w:val="24"/>
            </w:rPr>
            <w:t xml:space="preserve">, </w:t>
          </w:r>
          <w:r w:rsidR="004412C1">
            <w:rPr>
              <w:rFonts w:ascii="Arial" w:hAnsi="Arial" w:cs="Arial"/>
              <w:b/>
              <w:sz w:val="24"/>
            </w:rPr>
            <w:t>2</w:t>
          </w:r>
          <w:r w:rsidR="00D844E0">
            <w:rPr>
              <w:rFonts w:ascii="Arial" w:hAnsi="Arial" w:cs="Arial"/>
              <w:b/>
              <w:sz w:val="24"/>
            </w:rPr>
            <w:t>5</w:t>
          </w:r>
          <w:r w:rsidR="00F033E8" w:rsidRPr="00E16928">
            <w:rPr>
              <w:rFonts w:ascii="Arial" w:hAnsi="Arial" w:cs="Arial"/>
              <w:b/>
              <w:sz w:val="24"/>
            </w:rPr>
            <w:t xml:space="preserve">th </w:t>
          </w:r>
          <w:r w:rsidR="00D844E0">
            <w:rPr>
              <w:rFonts w:ascii="Arial" w:hAnsi="Arial" w:cs="Arial"/>
              <w:b/>
              <w:sz w:val="24"/>
            </w:rPr>
            <w:t xml:space="preserve">February </w:t>
          </w:r>
          <w:r w:rsidR="00F033E8" w:rsidRPr="00E16928">
            <w:rPr>
              <w:rFonts w:ascii="Arial" w:hAnsi="Arial" w:cs="Arial"/>
              <w:b/>
              <w:sz w:val="24"/>
            </w:rPr>
            <w:t xml:space="preserve">– </w:t>
          </w:r>
          <w:r w:rsidR="00F033E8">
            <w:rPr>
              <w:rFonts w:ascii="Arial" w:hAnsi="Arial" w:cs="Arial"/>
              <w:b/>
              <w:sz w:val="24"/>
            </w:rPr>
            <w:t>1</w:t>
          </w:r>
          <w:r w:rsidR="00D844E0">
            <w:rPr>
              <w:rFonts w:ascii="Arial" w:hAnsi="Arial" w:cs="Arial"/>
              <w:b/>
              <w:sz w:val="24"/>
            </w:rPr>
            <w:t>s</w:t>
          </w:r>
          <w:r w:rsidR="00F033E8" w:rsidRPr="00E16928">
            <w:rPr>
              <w:rFonts w:ascii="Arial" w:hAnsi="Arial" w:cs="Arial"/>
              <w:b/>
              <w:sz w:val="24"/>
            </w:rPr>
            <w:t>t</w:t>
          </w:r>
          <w:r w:rsidR="00D844E0">
            <w:rPr>
              <w:rFonts w:ascii="Arial" w:hAnsi="Arial" w:cs="Arial"/>
              <w:b/>
              <w:sz w:val="24"/>
            </w:rPr>
            <w:t xml:space="preserve"> March</w:t>
          </w:r>
          <w:r w:rsidR="00F033E8" w:rsidRPr="00E16928">
            <w:rPr>
              <w:rFonts w:ascii="Arial" w:hAnsi="Arial" w:cs="Arial"/>
              <w:b/>
              <w:sz w:val="24"/>
            </w:rPr>
            <w:t>,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173666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7036C" w:rsidRPr="004D6E0A">
            <w:rPr>
              <w:rFonts w:ascii="Arial" w:hAnsi="Arial" w:cs="Arial"/>
              <w:b/>
              <w:sz w:val="24"/>
            </w:rPr>
            <w:t xml:space="preserve">UE-group wake-up signal for </w:t>
          </w:r>
          <w:r w:rsidR="0047036C" w:rsidRPr="00973B18">
            <w:rPr>
              <w:rFonts w:ascii="Arial" w:hAnsi="Arial" w:cs="Arial"/>
              <w:b/>
              <w:sz w:val="24"/>
            </w:rPr>
            <w:t>NB-IoT</w:t>
          </w:r>
        </w:sdtContent>
      </w:sdt>
    </w:p>
    <w:p w14:paraId="233C83DF" w14:textId="7E4E22F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w:t>
      </w:r>
      <w:r w:rsidR="00864D25">
        <w:rPr>
          <w:rFonts w:ascii="Arial" w:hAnsi="Arial" w:cs="Arial"/>
          <w:b/>
          <w:sz w:val="24"/>
        </w:rPr>
        <w:t>2</w:t>
      </w:r>
      <w:r w:rsidR="004B4806" w:rsidRPr="004B4806">
        <w:rPr>
          <w:rFonts w:ascii="Arial" w:hAnsi="Arial" w:cs="Arial"/>
          <w:b/>
          <w:sz w:val="24"/>
        </w:rPr>
        <w:t>.</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bookmarkStart w:id="0" w:name="_GoBack"/>
      <w:bookmarkEnd w:id="0"/>
      <w:r w:rsidRPr="006969BE">
        <w:rPr>
          <w:rFonts w:cs="Arial"/>
          <w:sz w:val="32"/>
          <w:szCs w:val="32"/>
          <w:lang w:val="en-US"/>
        </w:rPr>
        <w:t>Introduction</w:t>
      </w:r>
    </w:p>
    <w:p w14:paraId="2E6B4AD2" w14:textId="441EB827" w:rsidR="00EC77F9" w:rsidRDefault="00C759EF" w:rsidP="00366D26">
      <w:pPr>
        <w:pStyle w:val="TdocText"/>
      </w:pPr>
      <w:r w:rsidRPr="008D515B">
        <w:rPr>
          <w:lang w:eastAsia="zh-CN"/>
        </w:rPr>
        <w:t xml:space="preserve">In </w:t>
      </w:r>
      <w:r>
        <w:rPr>
          <w:lang w:eastAsia="zh-CN"/>
        </w:rPr>
        <w:t xml:space="preserve">RAN#80 a new work item (WI) on </w:t>
      </w:r>
      <w:r w:rsidRPr="000D588D">
        <w:rPr>
          <w:lang w:eastAsia="zh-CN"/>
        </w:rPr>
        <w:t xml:space="preserve">Rel-16 enhancements for </w:t>
      </w:r>
      <w:r>
        <w:rPr>
          <w:lang w:eastAsia="zh-CN"/>
        </w:rPr>
        <w:t xml:space="preserve">NB-IoT was agreed. One of the WI objectives is to improve </w:t>
      </w:r>
      <w:r w:rsidRPr="007C1E8B">
        <w:rPr>
          <w:lang w:eastAsia="zh-CN"/>
        </w:rPr>
        <w:t>DL transmission efficiency and/or UE power consumption</w:t>
      </w:r>
      <w:r>
        <w:rPr>
          <w:lang w:eastAsia="zh-CN"/>
        </w:rPr>
        <w:t xml:space="preserve"> </w:t>
      </w:r>
      <w:r>
        <w:rPr>
          <w:lang w:eastAsia="zh-CN"/>
        </w:rPr>
        <w:fldChar w:fldCharType="begin"/>
      </w:r>
      <w:r>
        <w:rPr>
          <w:lang w:eastAsia="zh-CN"/>
        </w:rPr>
        <w:instrText xml:space="preserve"> REF _Ref513808269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In particular, </w:t>
      </w:r>
      <w:r w:rsidRPr="00A35853">
        <w:rPr>
          <w:szCs w:val="22"/>
          <w:lang w:eastAsia="zh-CN"/>
        </w:rPr>
        <w:t>specify support for UE-group wake-up signal (WUS)</w:t>
      </w:r>
      <w:r>
        <w:rPr>
          <w:lang w:eastAsia="zh-CN"/>
        </w:rPr>
        <w:t>.</w:t>
      </w:r>
    </w:p>
    <w:p w14:paraId="69FAA165" w14:textId="32794A91" w:rsidR="00EC77F9" w:rsidRDefault="00EC77F9" w:rsidP="00366D26">
      <w:pPr>
        <w:pStyle w:val="TdocText"/>
      </w:pPr>
      <w:r>
        <w:t>In the previous</w:t>
      </w:r>
      <w:r w:rsidR="00657B8F">
        <w:t xml:space="preserve"> regular</w:t>
      </w:r>
      <w:r>
        <w:t xml:space="preserve"> RAN1#</w:t>
      </w:r>
      <w:r w:rsidR="00657B8F">
        <w:t xml:space="preserve">95 </w:t>
      </w:r>
      <w:r>
        <w:t>meeting, the following agreements regarding UE-group WUS were made</w:t>
      </w:r>
      <w:r w:rsidR="00BF183C">
        <w:t xml:space="preserve"> </w:t>
      </w:r>
      <w:r w:rsidR="00BF183C">
        <w:fldChar w:fldCharType="begin"/>
      </w:r>
      <w:r w:rsidR="00BF183C">
        <w:instrText xml:space="preserve"> REF _Ref525477075 \r \h </w:instrText>
      </w:r>
      <w:r w:rsidR="00BF183C">
        <w:fldChar w:fldCharType="separate"/>
      </w:r>
      <w:r w:rsidR="005B0B95">
        <w:t>[2]</w:t>
      </w:r>
      <w:r w:rsidR="00BF183C">
        <w:fldChar w:fldCharType="end"/>
      </w:r>
      <w:r>
        <w:t>:</w:t>
      </w:r>
    </w:p>
    <w:tbl>
      <w:tblPr>
        <w:tblStyle w:val="TableGrid1"/>
        <w:tblW w:w="10065" w:type="dxa"/>
        <w:tblInd w:w="-5" w:type="dxa"/>
        <w:tblLook w:val="04A0" w:firstRow="1" w:lastRow="0" w:firstColumn="1" w:lastColumn="0" w:noHBand="0" w:noVBand="1"/>
      </w:tblPr>
      <w:tblGrid>
        <w:gridCol w:w="10065"/>
      </w:tblGrid>
      <w:tr w:rsidR="00657B8F" w:rsidRPr="00495855" w14:paraId="536B9DA7" w14:textId="77777777" w:rsidTr="00495855">
        <w:tc>
          <w:tcPr>
            <w:tcW w:w="10065" w:type="dxa"/>
          </w:tcPr>
          <w:p w14:paraId="43636E5B" w14:textId="77777777" w:rsidR="00657B8F" w:rsidRPr="00495855" w:rsidRDefault="00657B8F" w:rsidP="00495855">
            <w:pPr>
              <w:spacing w:after="0"/>
              <w:rPr>
                <w:rFonts w:cs="Times New Roman"/>
                <w:b/>
              </w:rPr>
            </w:pPr>
            <w:r w:rsidRPr="00495855">
              <w:rPr>
                <w:rFonts w:cs="Times New Roman"/>
                <w:b/>
                <w:highlight w:val="green"/>
              </w:rPr>
              <w:t>Agreement</w:t>
            </w:r>
          </w:p>
          <w:p w14:paraId="588D6D21" w14:textId="77777777" w:rsidR="00657B8F" w:rsidRPr="00495855" w:rsidRDefault="00657B8F" w:rsidP="00495855">
            <w:pPr>
              <w:spacing w:after="0"/>
              <w:rPr>
                <w:rFonts w:cs="Times New Roman"/>
              </w:rPr>
            </w:pPr>
            <w:r w:rsidRPr="00495855">
              <w:rPr>
                <w:rFonts w:cs="Times New Roman"/>
              </w:rPr>
              <w:t>UE group ID is used as a parameter to generate WUS UE group sequence(s)</w:t>
            </w:r>
          </w:p>
          <w:p w14:paraId="44A05D2F" w14:textId="77777777" w:rsidR="00657B8F" w:rsidRPr="00495855" w:rsidRDefault="00657B8F" w:rsidP="00495855">
            <w:pPr>
              <w:spacing w:after="0"/>
              <w:rPr>
                <w:rFonts w:cs="Times New Roman"/>
                <w:lang w:eastAsia="x-none"/>
              </w:rPr>
            </w:pPr>
          </w:p>
          <w:p w14:paraId="5723B7E1" w14:textId="77777777" w:rsidR="00657B8F" w:rsidRPr="00495855" w:rsidRDefault="00657B8F" w:rsidP="00495855">
            <w:pPr>
              <w:spacing w:after="0"/>
              <w:rPr>
                <w:rFonts w:cs="Times New Roman"/>
                <w:b/>
              </w:rPr>
            </w:pPr>
            <w:r w:rsidRPr="00495855">
              <w:rPr>
                <w:rFonts w:cs="Times New Roman"/>
                <w:b/>
                <w:highlight w:val="green"/>
              </w:rPr>
              <w:t>Agreement</w:t>
            </w:r>
          </w:p>
          <w:p w14:paraId="10520A7C" w14:textId="77777777" w:rsidR="00657B8F" w:rsidRPr="00495855" w:rsidRDefault="00657B8F" w:rsidP="00495855">
            <w:pPr>
              <w:spacing w:after="0"/>
              <w:rPr>
                <w:rFonts w:cs="Times New Roman"/>
                <w:lang w:eastAsia="x-none"/>
              </w:rPr>
            </w:pPr>
            <w:r w:rsidRPr="00495855">
              <w:rPr>
                <w:rFonts w:cs="Times New Roman"/>
              </w:rPr>
              <w:t>One group WUS is designed as a single sequence</w:t>
            </w:r>
          </w:p>
          <w:p w14:paraId="3668DF0F" w14:textId="77777777" w:rsidR="00657B8F" w:rsidRPr="00495855" w:rsidRDefault="00657B8F" w:rsidP="00495855">
            <w:pPr>
              <w:spacing w:after="0"/>
              <w:rPr>
                <w:rFonts w:cs="Times New Roman"/>
                <w:lang w:eastAsia="x-none"/>
              </w:rPr>
            </w:pPr>
          </w:p>
          <w:p w14:paraId="70421C23" w14:textId="478758B7" w:rsidR="00657B8F" w:rsidRPr="00495855" w:rsidRDefault="00657B8F" w:rsidP="00495855">
            <w:pPr>
              <w:spacing w:after="0"/>
              <w:rPr>
                <w:rFonts w:cs="Times New Roman"/>
                <w:b/>
                <w:highlight w:val="green"/>
              </w:rPr>
            </w:pPr>
            <w:bookmarkStart w:id="1" w:name="_Toc529800363"/>
            <w:r w:rsidRPr="00495855">
              <w:rPr>
                <w:rFonts w:cs="Times New Roman"/>
                <w:b/>
                <w:highlight w:val="green"/>
              </w:rPr>
              <w:t>Agreement</w:t>
            </w:r>
          </w:p>
          <w:p w14:paraId="333E54D0" w14:textId="77777777" w:rsidR="00657B8F" w:rsidRPr="00495855" w:rsidRDefault="00657B8F" w:rsidP="00495855">
            <w:pPr>
              <w:spacing w:after="0"/>
              <w:rPr>
                <w:rFonts w:cs="Times New Roman"/>
                <w:b/>
                <w:lang w:val="en-US"/>
              </w:rPr>
            </w:pPr>
            <w:r w:rsidRPr="00495855">
              <w:rPr>
                <w:rFonts w:cs="Times New Roman"/>
                <w:lang w:val="en-US"/>
              </w:rPr>
              <w:t>Further study false detection (cross/auto correlation) performance properties for the following designs:</w:t>
            </w:r>
            <w:bookmarkEnd w:id="1"/>
          </w:p>
          <w:p w14:paraId="79489131" w14:textId="77777777" w:rsidR="00657B8F" w:rsidRPr="00495855" w:rsidRDefault="00657B8F" w:rsidP="00495855">
            <w:pPr>
              <w:numPr>
                <w:ilvl w:val="0"/>
                <w:numId w:val="8"/>
              </w:numPr>
              <w:overflowPunct/>
              <w:autoSpaceDE/>
              <w:autoSpaceDN/>
              <w:adjustRightInd/>
              <w:spacing w:after="0"/>
              <w:textAlignment w:val="auto"/>
              <w:rPr>
                <w:rFonts w:cs="Times New Roman"/>
                <w:lang w:eastAsia="x-none"/>
              </w:rPr>
            </w:pPr>
            <w:bookmarkStart w:id="2" w:name="_Toc529800364"/>
            <w:r w:rsidRPr="00495855">
              <w:rPr>
                <w:rFonts w:cs="Times New Roman"/>
                <w:lang w:eastAsia="x-none"/>
              </w:rPr>
              <w:t>legacy WUS + cover codes,</w:t>
            </w:r>
            <w:bookmarkEnd w:id="2"/>
          </w:p>
          <w:p w14:paraId="6FF6F8A3" w14:textId="77777777" w:rsidR="00657B8F" w:rsidRPr="00495855" w:rsidRDefault="00657B8F" w:rsidP="00495855">
            <w:pPr>
              <w:numPr>
                <w:ilvl w:val="0"/>
                <w:numId w:val="8"/>
              </w:numPr>
              <w:overflowPunct/>
              <w:autoSpaceDE/>
              <w:autoSpaceDN/>
              <w:adjustRightInd/>
              <w:spacing w:after="0"/>
              <w:textAlignment w:val="auto"/>
              <w:rPr>
                <w:rFonts w:cs="Times New Roman"/>
                <w:lang w:eastAsia="x-none"/>
              </w:rPr>
            </w:pPr>
            <w:bookmarkStart w:id="3" w:name="_Toc529800365"/>
            <w:r w:rsidRPr="00495855">
              <w:rPr>
                <w:rFonts w:cs="Times New Roman"/>
                <w:lang w:eastAsia="x-none"/>
              </w:rPr>
              <w:t>legacy WUS + shifted scrambling codes,</w:t>
            </w:r>
            <w:bookmarkEnd w:id="3"/>
          </w:p>
          <w:p w14:paraId="70AD7E85" w14:textId="77777777" w:rsidR="00657B8F" w:rsidRPr="00495855" w:rsidRDefault="00657B8F" w:rsidP="00495855">
            <w:pPr>
              <w:numPr>
                <w:ilvl w:val="0"/>
                <w:numId w:val="8"/>
              </w:numPr>
              <w:overflowPunct/>
              <w:autoSpaceDE/>
              <w:autoSpaceDN/>
              <w:adjustRightInd/>
              <w:spacing w:after="0"/>
              <w:textAlignment w:val="auto"/>
              <w:rPr>
                <w:rFonts w:cs="Times New Roman"/>
                <w:lang w:eastAsia="x-none"/>
              </w:rPr>
            </w:pPr>
            <w:bookmarkStart w:id="4" w:name="_Toc529800366"/>
            <w:r w:rsidRPr="00495855">
              <w:rPr>
                <w:rFonts w:cs="Times New Roman"/>
                <w:lang w:eastAsia="x-none"/>
              </w:rPr>
              <w:t>legacy WUS + phase shift + cover code + scrambling bits</w:t>
            </w:r>
            <w:bookmarkEnd w:id="4"/>
          </w:p>
          <w:p w14:paraId="4ADBB784" w14:textId="77777777" w:rsidR="00657B8F" w:rsidRPr="00495855" w:rsidRDefault="00657B8F" w:rsidP="00495855">
            <w:pPr>
              <w:numPr>
                <w:ilvl w:val="1"/>
                <w:numId w:val="8"/>
              </w:numPr>
              <w:overflowPunct/>
              <w:autoSpaceDE/>
              <w:autoSpaceDN/>
              <w:adjustRightInd/>
              <w:spacing w:after="0"/>
              <w:textAlignment w:val="auto"/>
              <w:rPr>
                <w:rFonts w:cs="Times New Roman"/>
                <w:lang w:eastAsia="x-none"/>
              </w:rPr>
            </w:pPr>
            <w:r w:rsidRPr="00495855">
              <w:rPr>
                <w:rFonts w:cs="Times New Roman"/>
                <w:lang w:eastAsia="x-none"/>
              </w:rPr>
              <w:t>Including combinations of phase shift, cover code, and/or scrambling bits</w:t>
            </w:r>
          </w:p>
          <w:p w14:paraId="6A1C1EE3" w14:textId="77777777" w:rsidR="00657B8F" w:rsidRPr="00495855" w:rsidRDefault="00657B8F" w:rsidP="00495855">
            <w:pPr>
              <w:spacing w:after="0"/>
              <w:rPr>
                <w:rFonts w:cs="Times New Roman"/>
                <w:lang w:eastAsia="x-none"/>
              </w:rPr>
            </w:pPr>
            <w:bookmarkStart w:id="5" w:name="_Toc529800367"/>
            <w:r w:rsidRPr="00495855">
              <w:rPr>
                <w:rFonts w:cs="Times New Roman"/>
                <w:lang w:val="en-US"/>
              </w:rPr>
              <w:t>Other designs are not precluded.</w:t>
            </w:r>
            <w:bookmarkEnd w:id="5"/>
          </w:p>
          <w:p w14:paraId="53D9E5CC" w14:textId="77777777" w:rsidR="00657B8F" w:rsidRPr="00495855" w:rsidRDefault="00657B8F" w:rsidP="00495855">
            <w:pPr>
              <w:spacing w:after="0"/>
              <w:rPr>
                <w:rFonts w:cs="Times New Roman"/>
                <w:lang w:eastAsia="x-none"/>
              </w:rPr>
            </w:pPr>
          </w:p>
          <w:p w14:paraId="69519C32" w14:textId="77777777" w:rsidR="00657B8F" w:rsidRPr="00495855" w:rsidRDefault="00657B8F" w:rsidP="00495855">
            <w:pPr>
              <w:spacing w:after="0"/>
              <w:rPr>
                <w:rFonts w:cs="Times New Roman"/>
                <w:lang w:val="en-US"/>
              </w:rPr>
            </w:pPr>
            <w:r w:rsidRPr="00495855">
              <w:rPr>
                <w:rFonts w:cs="Times New Roman"/>
                <w:b/>
                <w:highlight w:val="green"/>
                <w:lang w:val="en-US"/>
              </w:rPr>
              <w:t xml:space="preserve">Agreement </w:t>
            </w:r>
          </w:p>
          <w:p w14:paraId="7AE2293D" w14:textId="77777777" w:rsidR="00657B8F" w:rsidRPr="00495855" w:rsidRDefault="00657B8F" w:rsidP="00495855">
            <w:pPr>
              <w:spacing w:after="0"/>
              <w:rPr>
                <w:rFonts w:cs="Times New Roman"/>
                <w:b/>
                <w:lang w:val="en-US"/>
              </w:rPr>
            </w:pPr>
            <w:bookmarkStart w:id="6" w:name="_Toc529800358"/>
            <w:r w:rsidRPr="00495855">
              <w:rPr>
                <w:rFonts w:cs="Times New Roman"/>
                <w:lang w:val="en-US"/>
              </w:rPr>
              <w:t>The number of UE groups is configurable and broadcasted in SIB.</w:t>
            </w:r>
            <w:bookmarkEnd w:id="6"/>
          </w:p>
          <w:p w14:paraId="51550BC2" w14:textId="77777777" w:rsidR="00657B8F" w:rsidRPr="00495855" w:rsidRDefault="00657B8F" w:rsidP="00495855">
            <w:pPr>
              <w:numPr>
                <w:ilvl w:val="0"/>
                <w:numId w:val="8"/>
              </w:numPr>
              <w:overflowPunct/>
              <w:autoSpaceDE/>
              <w:autoSpaceDN/>
              <w:adjustRightInd/>
              <w:spacing w:after="0"/>
              <w:textAlignment w:val="auto"/>
              <w:rPr>
                <w:rFonts w:cs="Times New Roman"/>
                <w:lang w:eastAsia="x-none"/>
              </w:rPr>
            </w:pPr>
            <w:bookmarkStart w:id="7" w:name="_Toc529800359"/>
            <w:r w:rsidRPr="00495855">
              <w:rPr>
                <w:rFonts w:cs="Times New Roman"/>
                <w:lang w:eastAsia="x-none"/>
              </w:rPr>
              <w:t>FFS: Further details on the number of UE groups. For example, whether it is per PO or per gap configuration of a PO.</w:t>
            </w:r>
            <w:bookmarkEnd w:id="7"/>
          </w:p>
          <w:p w14:paraId="46B10265" w14:textId="77777777" w:rsidR="00657B8F" w:rsidRPr="00495855" w:rsidRDefault="00657B8F" w:rsidP="00495855">
            <w:pPr>
              <w:spacing w:after="0"/>
              <w:rPr>
                <w:rFonts w:cs="Times New Roman"/>
                <w:lang w:val="en-US" w:eastAsia="x-none"/>
              </w:rPr>
            </w:pPr>
          </w:p>
          <w:p w14:paraId="0FB5AC45" w14:textId="77777777" w:rsidR="00657B8F" w:rsidRPr="00495855" w:rsidRDefault="00657B8F" w:rsidP="00495855">
            <w:pPr>
              <w:spacing w:after="0"/>
              <w:rPr>
                <w:rFonts w:cs="Times New Roman"/>
                <w:b/>
                <w:lang w:val="en-US"/>
              </w:rPr>
            </w:pPr>
            <w:r w:rsidRPr="00495855">
              <w:rPr>
                <w:rFonts w:cs="Times New Roman"/>
                <w:b/>
                <w:highlight w:val="green"/>
                <w:lang w:val="en-US"/>
              </w:rPr>
              <w:t>Agreement</w:t>
            </w:r>
          </w:p>
          <w:p w14:paraId="479E82CC" w14:textId="77777777" w:rsidR="00657B8F" w:rsidRPr="00495855" w:rsidRDefault="00657B8F" w:rsidP="00495855">
            <w:pPr>
              <w:spacing w:after="0"/>
              <w:rPr>
                <w:rFonts w:cs="Times New Roman"/>
                <w:lang w:val="en-US"/>
              </w:rPr>
            </w:pPr>
            <w:r w:rsidRPr="00495855">
              <w:rPr>
                <w:rFonts w:cs="Times New Roman"/>
                <w:lang w:val="en-US"/>
              </w:rPr>
              <w:t>Multiplexing of Rel-16 UE groups is down-selected among</w:t>
            </w:r>
          </w:p>
          <w:p w14:paraId="270C9AA3" w14:textId="77777777" w:rsidR="00657B8F" w:rsidRPr="00495855" w:rsidRDefault="00657B8F" w:rsidP="00495855">
            <w:pPr>
              <w:numPr>
                <w:ilvl w:val="0"/>
                <w:numId w:val="13"/>
              </w:numPr>
              <w:overflowPunct/>
              <w:autoSpaceDE/>
              <w:autoSpaceDN/>
              <w:adjustRightInd/>
              <w:spacing w:after="0"/>
              <w:textAlignment w:val="auto"/>
              <w:rPr>
                <w:rFonts w:cs="Times New Roman"/>
                <w:lang w:val="en-US"/>
              </w:rPr>
            </w:pPr>
            <w:r w:rsidRPr="00495855">
              <w:rPr>
                <w:rFonts w:cs="Times New Roman"/>
                <w:lang w:val="en-US"/>
              </w:rPr>
              <w:t>Single sequence CDM is supported</w:t>
            </w:r>
          </w:p>
          <w:p w14:paraId="2995207B" w14:textId="77777777" w:rsidR="00657B8F" w:rsidRPr="00495855" w:rsidRDefault="00657B8F" w:rsidP="00495855">
            <w:pPr>
              <w:numPr>
                <w:ilvl w:val="0"/>
                <w:numId w:val="13"/>
              </w:numPr>
              <w:overflowPunct/>
              <w:autoSpaceDE/>
              <w:autoSpaceDN/>
              <w:adjustRightInd/>
              <w:spacing w:after="0"/>
              <w:textAlignment w:val="auto"/>
              <w:rPr>
                <w:rFonts w:cs="Times New Roman"/>
                <w:lang w:val="en-US"/>
              </w:rPr>
            </w:pPr>
            <w:r w:rsidRPr="00495855">
              <w:rPr>
                <w:rFonts w:cs="Times New Roman"/>
                <w:lang w:val="en-US"/>
              </w:rPr>
              <w:t>Single sequence CDM is supported and TDM can be additionally applied</w:t>
            </w:r>
          </w:p>
          <w:p w14:paraId="590BCA2D" w14:textId="77777777" w:rsidR="00657B8F" w:rsidRPr="00495855" w:rsidRDefault="00657B8F" w:rsidP="00495855">
            <w:pPr>
              <w:numPr>
                <w:ilvl w:val="1"/>
                <w:numId w:val="13"/>
              </w:numPr>
              <w:overflowPunct/>
              <w:autoSpaceDE/>
              <w:autoSpaceDN/>
              <w:adjustRightInd/>
              <w:spacing w:after="0"/>
              <w:textAlignment w:val="auto"/>
              <w:rPr>
                <w:rFonts w:cs="Times New Roman"/>
                <w:lang w:val="en-US"/>
              </w:rPr>
            </w:pPr>
            <w:r w:rsidRPr="00495855">
              <w:rPr>
                <w:rFonts w:cs="Times New Roman"/>
                <w:lang w:val="en-US"/>
              </w:rPr>
              <w:t>FFS: Configurability of CDM and/or TDM</w:t>
            </w:r>
          </w:p>
          <w:p w14:paraId="345802BB" w14:textId="77777777" w:rsidR="00657B8F" w:rsidRPr="00495855" w:rsidRDefault="00657B8F" w:rsidP="00495855">
            <w:pPr>
              <w:spacing w:after="0"/>
              <w:rPr>
                <w:rFonts w:cs="Times New Roman"/>
                <w:lang w:val="en-US"/>
              </w:rPr>
            </w:pPr>
          </w:p>
          <w:p w14:paraId="2F6D865E" w14:textId="77777777" w:rsidR="00657B8F" w:rsidRPr="00495855" w:rsidRDefault="00657B8F" w:rsidP="00495855">
            <w:pPr>
              <w:spacing w:after="0"/>
              <w:rPr>
                <w:rFonts w:cs="Times New Roman"/>
                <w:b/>
                <w:lang w:val="en-US"/>
              </w:rPr>
            </w:pPr>
            <w:bookmarkStart w:id="8" w:name="_Toc529800342"/>
            <w:r w:rsidRPr="00495855">
              <w:rPr>
                <w:rFonts w:cs="Times New Roman"/>
                <w:b/>
                <w:highlight w:val="green"/>
                <w:lang w:val="en-US"/>
              </w:rPr>
              <w:t>Agreement</w:t>
            </w:r>
          </w:p>
          <w:p w14:paraId="17C8941A" w14:textId="77777777" w:rsidR="00657B8F" w:rsidRPr="00495855" w:rsidRDefault="00657B8F" w:rsidP="00495855">
            <w:pPr>
              <w:spacing w:after="0"/>
              <w:rPr>
                <w:rFonts w:cs="Times New Roman"/>
                <w:lang w:val="en-US"/>
              </w:rPr>
            </w:pPr>
            <w:r w:rsidRPr="00495855">
              <w:rPr>
                <w:rFonts w:cs="Times New Roman"/>
                <w:lang w:val="en-US"/>
              </w:rPr>
              <w:t>A common WUS is used to wake up all group WUS UEs monitoring the same WUS (time-frequency) resource if more than one UE group occupies the WUS resource.</w:t>
            </w:r>
            <w:bookmarkEnd w:id="8"/>
          </w:p>
          <w:p w14:paraId="04E655A8" w14:textId="77777777" w:rsidR="00657B8F" w:rsidRPr="00495855" w:rsidRDefault="00657B8F" w:rsidP="00495855">
            <w:pPr>
              <w:numPr>
                <w:ilvl w:val="0"/>
                <w:numId w:val="13"/>
              </w:numPr>
              <w:overflowPunct/>
              <w:autoSpaceDE/>
              <w:autoSpaceDN/>
              <w:adjustRightInd/>
              <w:spacing w:after="0"/>
              <w:textAlignment w:val="auto"/>
              <w:rPr>
                <w:rFonts w:cs="Times New Roman"/>
                <w:lang w:val="en-US" w:eastAsia="x-none"/>
              </w:rPr>
            </w:pPr>
            <w:r w:rsidRPr="00495855">
              <w:rPr>
                <w:rFonts w:cs="Times New Roman"/>
                <w:lang w:val="en-US" w:eastAsia="x-none"/>
              </w:rPr>
              <w:t>FFS: Whether the above is also applicable for Rel-15 WUS UEs</w:t>
            </w:r>
          </w:p>
          <w:p w14:paraId="1370C7F4" w14:textId="77777777" w:rsidR="00657B8F" w:rsidRPr="00495855" w:rsidRDefault="00657B8F" w:rsidP="00495855">
            <w:pPr>
              <w:numPr>
                <w:ilvl w:val="0"/>
                <w:numId w:val="13"/>
              </w:numPr>
              <w:overflowPunct/>
              <w:autoSpaceDE/>
              <w:autoSpaceDN/>
              <w:adjustRightInd/>
              <w:spacing w:after="0"/>
              <w:textAlignment w:val="auto"/>
              <w:rPr>
                <w:rFonts w:cs="Times New Roman"/>
                <w:lang w:val="en-US" w:eastAsia="x-none"/>
              </w:rPr>
            </w:pPr>
            <w:r w:rsidRPr="00495855">
              <w:rPr>
                <w:rFonts w:cs="Times New Roman"/>
                <w:lang w:val="en-US" w:eastAsia="x-none"/>
              </w:rPr>
              <w:t>FFS: Whether to support waking up a subset of all WUS UE groups</w:t>
            </w:r>
          </w:p>
          <w:p w14:paraId="68B39EC6" w14:textId="77777777" w:rsidR="00657B8F" w:rsidRPr="00495855" w:rsidRDefault="00657B8F" w:rsidP="00495855">
            <w:pPr>
              <w:spacing w:after="0"/>
              <w:rPr>
                <w:rFonts w:cs="Times New Roman"/>
                <w:lang w:val="en-US" w:eastAsia="x-none"/>
              </w:rPr>
            </w:pPr>
          </w:p>
          <w:p w14:paraId="4DDF088A" w14:textId="77777777" w:rsidR="00657B8F" w:rsidRPr="00495855" w:rsidRDefault="00657B8F" w:rsidP="00495855">
            <w:pPr>
              <w:spacing w:after="0"/>
              <w:rPr>
                <w:rFonts w:cs="Times New Roman"/>
                <w:b/>
                <w:highlight w:val="green"/>
                <w:lang w:val="en-US"/>
              </w:rPr>
            </w:pPr>
            <w:bookmarkStart w:id="9" w:name="_Toc529980151"/>
            <w:r w:rsidRPr="00495855">
              <w:rPr>
                <w:rFonts w:cs="Times New Roman"/>
                <w:b/>
                <w:highlight w:val="green"/>
                <w:lang w:val="en-US"/>
              </w:rPr>
              <w:t>Agreement</w:t>
            </w:r>
          </w:p>
          <w:p w14:paraId="00578495" w14:textId="77777777" w:rsidR="00657B8F" w:rsidRPr="00495855" w:rsidRDefault="00657B8F" w:rsidP="00495855">
            <w:pPr>
              <w:spacing w:after="0"/>
              <w:rPr>
                <w:rFonts w:cs="Times New Roman"/>
                <w:lang w:val="en-US"/>
              </w:rPr>
            </w:pPr>
            <w:r w:rsidRPr="00495855">
              <w:rPr>
                <w:rFonts w:cs="Times New Roman"/>
                <w:lang w:val="en-US"/>
              </w:rPr>
              <w:lastRenderedPageBreak/>
              <w:t>For multiplexing between Rel-16 UE-group WUS and Rel-15 legacy WUS within the same carrier, further evaluate and down select among the following options</w:t>
            </w:r>
            <w:bookmarkEnd w:id="9"/>
          </w:p>
          <w:p w14:paraId="3885F191" w14:textId="77777777" w:rsidR="00657B8F" w:rsidRPr="00495855" w:rsidRDefault="00657B8F" w:rsidP="00495855">
            <w:pPr>
              <w:numPr>
                <w:ilvl w:val="0"/>
                <w:numId w:val="14"/>
              </w:numPr>
              <w:overflowPunct/>
              <w:autoSpaceDE/>
              <w:autoSpaceDN/>
              <w:adjustRightInd/>
              <w:spacing w:after="0"/>
              <w:textAlignment w:val="auto"/>
              <w:rPr>
                <w:rFonts w:cs="Times New Roman"/>
                <w:szCs w:val="20"/>
                <w:lang w:val="en-US" w:eastAsia="x-none"/>
              </w:rPr>
            </w:pPr>
            <w:bookmarkStart w:id="10" w:name="_Toc529980152"/>
            <w:r w:rsidRPr="00495855">
              <w:rPr>
                <w:rFonts w:cs="Times New Roman"/>
                <w:szCs w:val="20"/>
                <w:lang w:val="en-US" w:eastAsia="x-none"/>
              </w:rPr>
              <w:t>TDM</w:t>
            </w:r>
            <w:bookmarkEnd w:id="10"/>
          </w:p>
          <w:p w14:paraId="05910C51" w14:textId="77777777" w:rsidR="00657B8F" w:rsidRPr="00495855" w:rsidRDefault="00657B8F" w:rsidP="00495855">
            <w:pPr>
              <w:numPr>
                <w:ilvl w:val="0"/>
                <w:numId w:val="14"/>
              </w:numPr>
              <w:overflowPunct/>
              <w:autoSpaceDE/>
              <w:autoSpaceDN/>
              <w:adjustRightInd/>
              <w:spacing w:after="0"/>
              <w:textAlignment w:val="auto"/>
              <w:rPr>
                <w:rFonts w:cs="Times New Roman"/>
                <w:szCs w:val="20"/>
                <w:lang w:val="en-US" w:eastAsia="x-none"/>
              </w:rPr>
            </w:pPr>
            <w:bookmarkStart w:id="11" w:name="_Toc529980154"/>
            <w:r w:rsidRPr="00495855">
              <w:rPr>
                <w:rFonts w:cs="Times New Roman"/>
                <w:szCs w:val="20"/>
                <w:lang w:val="en-US" w:eastAsia="x-none"/>
              </w:rPr>
              <w:t>single-seq. CDM</w:t>
            </w:r>
            <w:bookmarkEnd w:id="11"/>
          </w:p>
          <w:p w14:paraId="2892299D" w14:textId="77777777" w:rsidR="00657B8F" w:rsidRPr="00495855" w:rsidRDefault="00657B8F" w:rsidP="00495855">
            <w:pPr>
              <w:numPr>
                <w:ilvl w:val="0"/>
                <w:numId w:val="14"/>
              </w:numPr>
              <w:overflowPunct/>
              <w:autoSpaceDE/>
              <w:autoSpaceDN/>
              <w:adjustRightInd/>
              <w:spacing w:after="0"/>
              <w:textAlignment w:val="auto"/>
              <w:rPr>
                <w:rFonts w:cs="Times New Roman"/>
                <w:szCs w:val="20"/>
                <w:lang w:val="en-US" w:eastAsia="x-none"/>
              </w:rPr>
            </w:pPr>
            <w:bookmarkStart w:id="12" w:name="_Toc529980155"/>
            <w:r w:rsidRPr="00495855">
              <w:rPr>
                <w:rFonts w:cs="Times New Roman"/>
                <w:szCs w:val="20"/>
                <w:lang w:val="en-US" w:eastAsia="x-none"/>
              </w:rPr>
              <w:t>single-seq. CDM+TDM</w:t>
            </w:r>
            <w:bookmarkEnd w:id="12"/>
          </w:p>
          <w:p w14:paraId="0A5329A1" w14:textId="77777777" w:rsidR="00657B8F" w:rsidRPr="00495855" w:rsidRDefault="00657B8F" w:rsidP="00495855">
            <w:pPr>
              <w:spacing w:after="0"/>
              <w:rPr>
                <w:rFonts w:cs="Times New Roman"/>
                <w:szCs w:val="20"/>
                <w:lang w:val="en-US" w:eastAsia="x-none"/>
              </w:rPr>
            </w:pPr>
            <w:bookmarkStart w:id="13" w:name="_Toc529980156"/>
            <w:r w:rsidRPr="00495855">
              <w:rPr>
                <w:rFonts w:eastAsia="Times New Roman" w:cs="Times New Roman"/>
                <w:szCs w:val="20"/>
                <w:lang w:val="en-US"/>
              </w:rPr>
              <w:t>FFS whether legacy WUS is the common WUS for all new UEs or only a part of new UEs.</w:t>
            </w:r>
            <w:bookmarkEnd w:id="13"/>
          </w:p>
          <w:p w14:paraId="3370C4CE" w14:textId="77777777" w:rsidR="00657B8F" w:rsidRPr="00495855" w:rsidRDefault="00657B8F" w:rsidP="00495855">
            <w:pPr>
              <w:spacing w:after="0"/>
              <w:rPr>
                <w:rFonts w:cs="Times New Roman"/>
                <w:lang w:val="en-US" w:eastAsia="x-none"/>
              </w:rPr>
            </w:pPr>
          </w:p>
          <w:p w14:paraId="083AD8F9" w14:textId="77777777" w:rsidR="00657B8F" w:rsidRPr="00495855" w:rsidRDefault="00657B8F" w:rsidP="00495855">
            <w:pPr>
              <w:spacing w:after="0"/>
              <w:rPr>
                <w:rFonts w:cs="Times New Roman"/>
                <w:b/>
                <w:highlight w:val="green"/>
                <w:lang w:val="en-US"/>
              </w:rPr>
            </w:pPr>
            <w:bookmarkStart w:id="14" w:name="_Toc529980160"/>
            <w:r w:rsidRPr="00495855">
              <w:rPr>
                <w:rFonts w:cs="Times New Roman"/>
                <w:b/>
                <w:highlight w:val="green"/>
                <w:lang w:val="en-US"/>
              </w:rPr>
              <w:t>Agreement</w:t>
            </w:r>
          </w:p>
          <w:p w14:paraId="54A27C88" w14:textId="77777777" w:rsidR="00657B8F" w:rsidRPr="00495855" w:rsidRDefault="00657B8F" w:rsidP="00495855">
            <w:pPr>
              <w:spacing w:after="0"/>
              <w:rPr>
                <w:rFonts w:cs="Times New Roman"/>
                <w:lang w:val="en-US"/>
              </w:rPr>
            </w:pPr>
            <w:r w:rsidRPr="00495855">
              <w:rPr>
                <w:rFonts w:cs="Times New Roman"/>
                <w:lang w:val="en-US"/>
              </w:rPr>
              <w:t>Rel-16 group WUS uses the same gap configurations as for Rel-15 legacy WUS except for differences from possible TDM.</w:t>
            </w:r>
            <w:bookmarkEnd w:id="14"/>
          </w:p>
          <w:p w14:paraId="78905075" w14:textId="77777777" w:rsidR="00657B8F" w:rsidRPr="00495855" w:rsidRDefault="00657B8F" w:rsidP="00495855">
            <w:pPr>
              <w:numPr>
                <w:ilvl w:val="0"/>
                <w:numId w:val="14"/>
              </w:numPr>
              <w:overflowPunct/>
              <w:autoSpaceDE/>
              <w:autoSpaceDN/>
              <w:adjustRightInd/>
              <w:spacing w:after="0"/>
              <w:textAlignment w:val="auto"/>
              <w:rPr>
                <w:rFonts w:cs="Times New Roman"/>
                <w:lang w:val="en-US" w:eastAsia="x-none"/>
              </w:rPr>
            </w:pPr>
            <w:r w:rsidRPr="00495855">
              <w:rPr>
                <w:rFonts w:cs="Times New Roman"/>
                <w:lang w:val="en-US" w:eastAsia="x-none"/>
              </w:rPr>
              <w:t>No new gap higher layer signaling will be introduced for TDM</w:t>
            </w:r>
          </w:p>
        </w:tc>
      </w:tr>
    </w:tbl>
    <w:p w14:paraId="6C4431CA" w14:textId="77777777" w:rsidR="00B93D9A" w:rsidRDefault="00C759EF" w:rsidP="00366D26">
      <w:pPr>
        <w:pStyle w:val="TdocText"/>
      </w:pPr>
      <w:r>
        <w:rPr>
          <w:lang w:eastAsia="zh-CN"/>
        </w:rPr>
        <w:lastRenderedPageBreak/>
        <w:t xml:space="preserve">In </w:t>
      </w:r>
      <w:r w:rsidRPr="008D515B">
        <w:rPr>
          <w:lang w:eastAsia="zh-CN"/>
        </w:rPr>
        <w:t>this contribution, we</w:t>
      </w:r>
      <w:r>
        <w:rPr>
          <w:lang w:eastAsia="zh-CN"/>
        </w:rPr>
        <w:t xml:space="preserve"> express our views on the </w:t>
      </w:r>
      <w:r w:rsidRPr="00A35853">
        <w:rPr>
          <w:szCs w:val="22"/>
          <w:lang w:eastAsia="zh-CN"/>
        </w:rPr>
        <w:t xml:space="preserve">UE-group WUS for </w:t>
      </w:r>
      <w:r>
        <w:rPr>
          <w:szCs w:val="22"/>
          <w:lang w:eastAsia="zh-CN"/>
        </w:rPr>
        <w:t>NB-IoT</w:t>
      </w:r>
      <w:r w:rsidRPr="00A35853">
        <w:rPr>
          <w:szCs w:val="22"/>
          <w:lang w:eastAsia="zh-CN"/>
        </w:rPr>
        <w:t xml:space="preserve"> devices in Rel-16</w:t>
      </w:r>
      <w:r w:rsidRPr="00366D26">
        <w:t>.</w:t>
      </w:r>
    </w:p>
    <w:p w14:paraId="65BC3CC1" w14:textId="17635615" w:rsidR="00354A1B" w:rsidRPr="00366D26" w:rsidRDefault="00354A1B" w:rsidP="00E77B21"/>
    <w:p w14:paraId="203F9D26" w14:textId="2B719B39" w:rsidR="008C2BF3" w:rsidRPr="006969BE" w:rsidRDefault="008C2BF3" w:rsidP="008C2BF3">
      <w:pPr>
        <w:pStyle w:val="Heading1"/>
        <w:numPr>
          <w:ilvl w:val="0"/>
          <w:numId w:val="2"/>
        </w:numPr>
        <w:ind w:left="360"/>
        <w:rPr>
          <w:rFonts w:cs="Arial"/>
          <w:sz w:val="32"/>
          <w:szCs w:val="32"/>
          <w:lang w:val="en-US"/>
        </w:rPr>
      </w:pPr>
      <w:r>
        <w:rPr>
          <w:rFonts w:cs="Arial"/>
          <w:sz w:val="32"/>
          <w:szCs w:val="32"/>
          <w:lang w:val="en-US"/>
        </w:rPr>
        <w:t xml:space="preserve">Multiplexing </w:t>
      </w:r>
      <w:r w:rsidR="00C61275">
        <w:rPr>
          <w:rFonts w:cs="Arial"/>
          <w:sz w:val="32"/>
          <w:szCs w:val="32"/>
          <w:lang w:val="en-US"/>
        </w:rPr>
        <w:t>C</w:t>
      </w:r>
      <w:r>
        <w:rPr>
          <w:rFonts w:cs="Arial"/>
          <w:sz w:val="32"/>
          <w:szCs w:val="32"/>
          <w:lang w:val="en-US"/>
        </w:rPr>
        <w:t>onsiderations</w:t>
      </w:r>
    </w:p>
    <w:p w14:paraId="1BDC0749" w14:textId="69F574D6" w:rsidR="00095F47" w:rsidRPr="005B032F" w:rsidRDefault="00095F47" w:rsidP="005B032F">
      <w:pPr>
        <w:pStyle w:val="TdocText"/>
      </w:pPr>
      <w:r w:rsidRPr="00095F47">
        <w:t>The multiplexing concept described in this section i</w:t>
      </w:r>
      <w:r w:rsidRPr="005B032F">
        <w:t xml:space="preserve">s illustrated in </w:t>
      </w:r>
      <w:r w:rsidR="00642620">
        <w:fldChar w:fldCharType="begin"/>
      </w:r>
      <w:r w:rsidR="00642620">
        <w:instrText xml:space="preserve"> REF _Ref525575368 \h </w:instrText>
      </w:r>
      <w:r w:rsidR="00642620">
        <w:fldChar w:fldCharType="separate"/>
      </w:r>
      <w:r w:rsidR="00642620" w:rsidRPr="005B032F">
        <w:t>Figure 1</w:t>
      </w:r>
      <w:r w:rsidR="00642620">
        <w:fldChar w:fldCharType="end"/>
      </w:r>
      <w:r w:rsidRPr="005B032F">
        <w:fldChar w:fldCharType="begin"/>
      </w:r>
      <w:r w:rsidRPr="005B032F">
        <w:instrText xml:space="preserve"> REF _Ref525554229 \h </w:instrText>
      </w:r>
      <w:r>
        <w:instrText xml:space="preserve"> \* MERGEFORMAT </w:instrText>
      </w:r>
      <w:r w:rsidRPr="005B032F">
        <w:fldChar w:fldCharType="end"/>
      </w:r>
      <w:r w:rsidRPr="005B032F">
        <w:t>.</w:t>
      </w:r>
    </w:p>
    <w:p w14:paraId="6310434D" w14:textId="08902B62" w:rsidR="00095F47" w:rsidRDefault="008F6D6D" w:rsidP="005B032F">
      <w:pPr>
        <w:pStyle w:val="TdocFigure"/>
      </w:pPr>
      <w:r>
        <w:object w:dxaOrig="17478" w:dyaOrig="1896" w14:anchorId="5EEEB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54pt" o:ole="">
            <v:imagedata r:id="rId12" o:title=""/>
          </v:shape>
          <o:OLEObject Type="Embed" ProgID="Visio.Drawing.15" ShapeID="_x0000_i1025" DrawAspect="Content" ObjectID="_1611784910" r:id="rId13"/>
        </w:object>
      </w:r>
    </w:p>
    <w:p w14:paraId="01F2BB44" w14:textId="77777777" w:rsidR="00095F47" w:rsidRPr="005B032F" w:rsidRDefault="00095F47" w:rsidP="005B032F">
      <w:pPr>
        <w:pStyle w:val="TdocFigureCaption"/>
      </w:pPr>
      <w:bookmarkStart w:id="15" w:name="_Ref525575368"/>
      <w:r w:rsidRPr="005B032F">
        <w:t xml:space="preserve">Figure </w:t>
      </w:r>
      <w:fldSimple w:instr=" SEQ Figure \* ARABIC ">
        <w:r w:rsidRPr="005B032F">
          <w:t>1</w:t>
        </w:r>
      </w:fldSimple>
      <w:bookmarkEnd w:id="15"/>
      <w:r w:rsidRPr="005B032F">
        <w:t>. Multiplexing Rel-16 WUSes with each other and with the legacy Rel-15 WUS.</w:t>
      </w:r>
    </w:p>
    <w:p w14:paraId="534305A9" w14:textId="122E932F" w:rsidR="007830AA" w:rsidRDefault="00A7793B" w:rsidP="008C3B15">
      <w:pPr>
        <w:pStyle w:val="TdocText"/>
      </w:pPr>
      <w:r>
        <w:rPr>
          <w:lang w:eastAsia="zh-CN"/>
        </w:rPr>
        <w:t xml:space="preserve">In NB-IoT, the carrier bandwidth is equal to only one PRB. </w:t>
      </w:r>
      <w:r w:rsidR="00680DB5">
        <w:rPr>
          <w:lang w:eastAsia="zh-CN"/>
        </w:rPr>
        <w:t>Therefore</w:t>
      </w:r>
      <w:r>
        <w:rPr>
          <w:lang w:eastAsia="zh-CN"/>
        </w:rPr>
        <w:t xml:space="preserve">, the TDM is a viable solution for </w:t>
      </w:r>
      <w:r w:rsidR="00B82E90">
        <w:rPr>
          <w:lang w:eastAsia="zh-CN"/>
        </w:rPr>
        <w:t xml:space="preserve">multiplexing </w:t>
      </w:r>
      <w:r>
        <w:rPr>
          <w:lang w:eastAsia="zh-CN"/>
        </w:rPr>
        <w:t>UE-group WUS</w:t>
      </w:r>
      <w:r w:rsidR="00B82E90">
        <w:rPr>
          <w:lang w:eastAsia="zh-CN"/>
        </w:rPr>
        <w:t>es in Rel-16</w:t>
      </w:r>
      <w:r>
        <w:rPr>
          <w:lang w:eastAsia="zh-CN"/>
        </w:rPr>
        <w:t xml:space="preserve">. </w:t>
      </w:r>
      <w:r w:rsidR="00A34334">
        <w:rPr>
          <w:lang w:eastAsia="zh-CN"/>
        </w:rPr>
        <w:t>However</w:t>
      </w:r>
      <w:r w:rsidR="004163B3" w:rsidRPr="004163B3">
        <w:rPr>
          <w:szCs w:val="22"/>
          <w:lang w:eastAsia="zh-CN"/>
        </w:rPr>
        <w:t xml:space="preserve"> </w:t>
      </w:r>
      <w:r w:rsidR="004163B3" w:rsidRPr="00836E32">
        <w:rPr>
          <w:szCs w:val="22"/>
          <w:lang w:eastAsia="zh-CN"/>
        </w:rPr>
        <w:t xml:space="preserve">with </w:t>
      </w:r>
      <w:r w:rsidR="004163B3">
        <w:rPr>
          <w:szCs w:val="22"/>
          <w:lang w:eastAsia="zh-CN"/>
        </w:rPr>
        <w:t>TDM</w:t>
      </w:r>
      <w:r w:rsidR="00A34334">
        <w:rPr>
          <w:lang w:eastAsia="zh-CN"/>
        </w:rPr>
        <w:t xml:space="preserve">, </w:t>
      </w:r>
      <w:r w:rsidR="004163B3" w:rsidRPr="00836E32">
        <w:rPr>
          <w:szCs w:val="22"/>
          <w:lang w:eastAsia="zh-CN"/>
        </w:rPr>
        <w:t xml:space="preserve">the gap between the WUS and the start of </w:t>
      </w:r>
      <w:r w:rsidR="004163B3">
        <w:rPr>
          <w:szCs w:val="22"/>
          <w:lang w:eastAsia="zh-CN"/>
        </w:rPr>
        <w:t xml:space="preserve">the </w:t>
      </w:r>
      <w:r w:rsidR="004163B3" w:rsidRPr="00836E32">
        <w:rPr>
          <w:szCs w:val="22"/>
          <w:lang w:eastAsia="zh-CN"/>
        </w:rPr>
        <w:t>associated PO may be quite large, especially when the configured maximum WUS duration is large. This may impact the UE power saving gain</w:t>
      </w:r>
      <w:r w:rsidR="004163B3">
        <w:rPr>
          <w:szCs w:val="22"/>
          <w:lang w:eastAsia="zh-CN"/>
        </w:rPr>
        <w:t xml:space="preserve"> and cause </w:t>
      </w:r>
      <w:r w:rsidR="004163B3">
        <w:t xml:space="preserve">overlapping between WUSes corresponding to different POs. In this case, it’s seemed reasonable to limit </w:t>
      </w:r>
      <w:r w:rsidR="00A34334">
        <w:rPr>
          <w:lang w:eastAsia="zh-CN"/>
        </w:rPr>
        <w:t xml:space="preserve">the TDM to 2 sets of time resources </w:t>
      </w:r>
      <w:r w:rsidR="004163B3">
        <w:rPr>
          <w:lang w:eastAsia="zh-CN"/>
        </w:rPr>
        <w:t>maximum</w:t>
      </w:r>
      <w:r w:rsidR="00A34334">
        <w:t>.</w:t>
      </w:r>
      <w:r w:rsidR="00680DB5">
        <w:t xml:space="preserve"> </w:t>
      </w:r>
      <w:r w:rsidRPr="004E20DB">
        <w:rPr>
          <w:lang w:eastAsia="zh-CN"/>
        </w:rPr>
        <w:t xml:space="preserve">With this </w:t>
      </w:r>
      <w:r w:rsidR="003535D5">
        <w:rPr>
          <w:lang w:eastAsia="zh-CN"/>
        </w:rPr>
        <w:t>approach</w:t>
      </w:r>
      <w:r w:rsidRPr="004E20DB">
        <w:rPr>
          <w:lang w:eastAsia="zh-CN"/>
        </w:rPr>
        <w:t xml:space="preserve">, </w:t>
      </w:r>
      <w:r w:rsidR="00477550">
        <w:rPr>
          <w:lang w:eastAsia="zh-CN"/>
        </w:rPr>
        <w:t xml:space="preserve">the TDM is only used to multiplex </w:t>
      </w:r>
      <w:r w:rsidR="0079082E">
        <w:rPr>
          <w:lang w:eastAsia="zh-CN"/>
        </w:rPr>
        <w:t xml:space="preserve">the legacy Rel-15 </w:t>
      </w:r>
      <w:r w:rsidRPr="004E20DB">
        <w:rPr>
          <w:lang w:eastAsia="zh-CN"/>
        </w:rPr>
        <w:t xml:space="preserve">WUS </w:t>
      </w:r>
      <w:r w:rsidR="00477550">
        <w:rPr>
          <w:lang w:eastAsia="zh-CN"/>
        </w:rPr>
        <w:t xml:space="preserve">and </w:t>
      </w:r>
      <w:r w:rsidR="0079082E">
        <w:rPr>
          <w:lang w:eastAsia="zh-CN"/>
        </w:rPr>
        <w:t>one of the new Rel-16 WUSes.</w:t>
      </w:r>
      <w:r w:rsidR="007830AA">
        <w:rPr>
          <w:lang w:eastAsia="zh-CN"/>
        </w:rPr>
        <w:t xml:space="preserve"> The </w:t>
      </w:r>
      <w:r w:rsidR="007830AA">
        <w:t xml:space="preserve">separation of the legacy WUS from the Rel-16 WUSes in the time domain </w:t>
      </w:r>
      <w:r w:rsidR="00796CDA">
        <w:t xml:space="preserve">also </w:t>
      </w:r>
      <w:r w:rsidR="007830AA">
        <w:t>minimizes the impact on the legacy WUS performance as much as possible as clearly says the agreement from the last meeting:</w:t>
      </w:r>
    </w:p>
    <w:tbl>
      <w:tblPr>
        <w:tblStyle w:val="TableGrid"/>
        <w:tblW w:w="0" w:type="auto"/>
        <w:tblLook w:val="04A0" w:firstRow="1" w:lastRow="0" w:firstColumn="1" w:lastColumn="0" w:noHBand="0" w:noVBand="1"/>
      </w:tblPr>
      <w:tblGrid>
        <w:gridCol w:w="9962"/>
      </w:tblGrid>
      <w:tr w:rsidR="007830AA" w14:paraId="61A9EB15" w14:textId="77777777" w:rsidTr="00146CA7">
        <w:tc>
          <w:tcPr>
            <w:tcW w:w="9962" w:type="dxa"/>
          </w:tcPr>
          <w:p w14:paraId="4D3D014E" w14:textId="77777777" w:rsidR="007830AA" w:rsidRDefault="007830AA" w:rsidP="00146CA7">
            <w:pPr>
              <w:spacing w:line="240" w:lineRule="auto"/>
              <w:rPr>
                <w:b/>
                <w:highlight w:val="green"/>
              </w:rPr>
            </w:pPr>
            <w:r>
              <w:rPr>
                <w:b/>
                <w:highlight w:val="green"/>
              </w:rPr>
              <w:t xml:space="preserve">Agreement </w:t>
            </w:r>
          </w:p>
          <w:p w14:paraId="3867F02B" w14:textId="77777777" w:rsidR="007830AA" w:rsidRDefault="007830AA" w:rsidP="00146CA7">
            <w:pPr>
              <w:spacing w:line="240" w:lineRule="auto"/>
              <w:rPr>
                <w:lang w:eastAsia="x-none"/>
              </w:rPr>
            </w:pPr>
            <w:r>
              <w:rPr>
                <w:lang w:eastAsia="x-none"/>
              </w:rPr>
              <w:t>The legacy UE should not be prevented from using legacy WUS even in the case of Rel-16 group WUS is enabled</w:t>
            </w:r>
          </w:p>
          <w:p w14:paraId="06756B81" w14:textId="77777777" w:rsidR="007830AA" w:rsidRDefault="007830AA" w:rsidP="007830AA">
            <w:pPr>
              <w:numPr>
                <w:ilvl w:val="0"/>
                <w:numId w:val="12"/>
              </w:numPr>
              <w:overflowPunct/>
              <w:autoSpaceDE/>
              <w:autoSpaceDN/>
              <w:adjustRightInd/>
              <w:spacing w:after="0" w:line="240" w:lineRule="auto"/>
              <w:ind w:left="1440"/>
              <w:textAlignment w:val="auto"/>
            </w:pPr>
            <w:r>
              <w:rPr>
                <w:lang w:eastAsia="x-none"/>
              </w:rPr>
              <w:t>Performance impact on legacy WUS should be carefully considered</w:t>
            </w:r>
          </w:p>
        </w:tc>
      </w:tr>
    </w:tbl>
    <w:p w14:paraId="7A6A61B5" w14:textId="1FD12C4C" w:rsidR="00A7793B" w:rsidRDefault="00477550" w:rsidP="00244000">
      <w:pPr>
        <w:pStyle w:val="TdocText"/>
        <w:rPr>
          <w:lang w:eastAsia="zh-CN"/>
        </w:rPr>
      </w:pPr>
      <w:r>
        <w:rPr>
          <w:lang w:eastAsia="zh-CN"/>
        </w:rPr>
        <w:t xml:space="preserve">There is no need to multiplex </w:t>
      </w:r>
      <w:r w:rsidR="00B5737A">
        <w:rPr>
          <w:lang w:eastAsia="zh-CN"/>
        </w:rPr>
        <w:t>Rel-16 WUSes because if UEs from both UE groups are to be paged, the common UE group WUS can be used</w:t>
      </w:r>
      <w:r w:rsidR="000F25FA">
        <w:rPr>
          <w:lang w:eastAsia="zh-CN"/>
        </w:rPr>
        <w:t xml:space="preserve">, i.e., </w:t>
      </w:r>
      <w:r w:rsidR="000F25FA" w:rsidRPr="000F25FA">
        <w:rPr>
          <w:lang w:eastAsia="zh-CN"/>
        </w:rPr>
        <w:t>single sequence CDM</w:t>
      </w:r>
      <w:r w:rsidR="000F25FA">
        <w:rPr>
          <w:lang w:eastAsia="zh-CN"/>
        </w:rPr>
        <w:t xml:space="preserve"> is used</w:t>
      </w:r>
      <w:r w:rsidR="00B5737A">
        <w:rPr>
          <w:lang w:eastAsia="zh-CN"/>
        </w:rPr>
        <w:t>.</w:t>
      </w:r>
    </w:p>
    <w:p w14:paraId="39919C85" w14:textId="77777777" w:rsidR="008C2BF3" w:rsidRDefault="008C2BF3" w:rsidP="008C2BF3">
      <w:pPr>
        <w:rPr>
          <w:lang w:eastAsia="zh-CN"/>
        </w:rPr>
      </w:pPr>
    </w:p>
    <w:p w14:paraId="222E63AC" w14:textId="75A43E5B" w:rsidR="008C2BF3" w:rsidRPr="00A57355" w:rsidRDefault="008C2BF3" w:rsidP="008C2BF3">
      <w:pPr>
        <w:pStyle w:val="TdocProposal"/>
      </w:pPr>
      <w:r>
        <w:t xml:space="preserve">Proposal </w:t>
      </w:r>
      <w:r w:rsidR="00767A34">
        <w:t>1</w:t>
      </w:r>
      <w:r w:rsidRPr="00A57355">
        <w:t>:</w:t>
      </w:r>
    </w:p>
    <w:p w14:paraId="741508FC" w14:textId="2A4D8590" w:rsidR="000F25FA" w:rsidRDefault="00F317B4" w:rsidP="008C2BF3">
      <w:pPr>
        <w:pStyle w:val="TdocProposalText"/>
      </w:pPr>
      <w:r>
        <w:t>T</w:t>
      </w:r>
      <w:r w:rsidR="008C2BF3" w:rsidRPr="00E42140">
        <w:t xml:space="preserve">DM </w:t>
      </w:r>
      <w:r w:rsidR="00C72045">
        <w:t xml:space="preserve">is used </w:t>
      </w:r>
      <w:r w:rsidR="008C2BF3" w:rsidRPr="00E42140">
        <w:t xml:space="preserve">to </w:t>
      </w:r>
      <w:r w:rsidR="000F25FA">
        <w:t>multiplex Rel-16 WUS and the legacy Rel-15 WUS transmissions.</w:t>
      </w:r>
    </w:p>
    <w:p w14:paraId="68B290A7" w14:textId="12A4519B" w:rsidR="008C2BF3" w:rsidRDefault="009F5120" w:rsidP="008C2BF3">
      <w:pPr>
        <w:pStyle w:val="TdocProposalText"/>
      </w:pPr>
      <w:r w:rsidRPr="00E42140">
        <w:t xml:space="preserve">Support </w:t>
      </w:r>
      <w:r>
        <w:t>single sequence C</w:t>
      </w:r>
      <w:r w:rsidRPr="00E42140">
        <w:t xml:space="preserve">DM to </w:t>
      </w:r>
      <w:r>
        <w:t>multiplex Rel-16 WUS transmissions</w:t>
      </w:r>
      <w:r w:rsidRPr="00E42140" w:rsidDel="000F25FA">
        <w:t xml:space="preserve"> </w:t>
      </w:r>
    </w:p>
    <w:p w14:paraId="25644856" w14:textId="77777777" w:rsidR="008C2BF3" w:rsidRDefault="008C2BF3" w:rsidP="008C2BF3">
      <w:pPr>
        <w:rPr>
          <w:lang w:eastAsia="zh-CN"/>
        </w:rPr>
      </w:pPr>
    </w:p>
    <w:p w14:paraId="3B3C1E9C" w14:textId="77777777" w:rsidR="00767A34" w:rsidRDefault="00767A34" w:rsidP="00767A34">
      <w:pPr>
        <w:pStyle w:val="TdocText"/>
        <w:rPr>
          <w:lang w:eastAsia="zh-CN"/>
        </w:rPr>
      </w:pPr>
      <w:r>
        <w:lastRenderedPageBreak/>
        <w:t>C</w:t>
      </w:r>
      <w:r w:rsidRPr="00366D26">
        <w:t>onsidering the tradeoff between the UE power saving and the WUS multiplexing capability</w:t>
      </w:r>
      <w:r>
        <w:t>, t</w:t>
      </w:r>
      <w:r w:rsidRPr="00366D26">
        <w:t xml:space="preserve">he max number of UE groups is limited and equal to </w:t>
      </w:r>
      <w:r>
        <w:t>4: one for legacy Rel-15 UEs and three groups for Rel-16 UEs where one of the three is the common UE group.</w:t>
      </w:r>
    </w:p>
    <w:p w14:paraId="0C6F126E" w14:textId="77777777" w:rsidR="00767A34" w:rsidRDefault="00767A34" w:rsidP="00767A34">
      <w:pPr>
        <w:rPr>
          <w:lang w:eastAsia="zh-CN"/>
        </w:rPr>
      </w:pPr>
    </w:p>
    <w:p w14:paraId="1C22AB94" w14:textId="5023F222" w:rsidR="00767A34" w:rsidRDefault="00767A34" w:rsidP="00767A34">
      <w:pPr>
        <w:pStyle w:val="TdocProposal"/>
      </w:pPr>
      <w:r>
        <w:t>Proposal 2</w:t>
      </w:r>
      <w:r w:rsidRPr="00A57355">
        <w:t>:</w:t>
      </w:r>
    </w:p>
    <w:p w14:paraId="791D0748" w14:textId="77777777" w:rsidR="00767A34" w:rsidRPr="00E42140" w:rsidRDefault="00767A34" w:rsidP="00767A34">
      <w:pPr>
        <w:pStyle w:val="TdocProposalText"/>
      </w:pPr>
      <w:r w:rsidRPr="00E42140">
        <w:t xml:space="preserve">Max number of UE groups is </w:t>
      </w:r>
      <w:r>
        <w:t>4</w:t>
      </w:r>
      <w:r w:rsidRPr="00E42140">
        <w:t>.</w:t>
      </w:r>
    </w:p>
    <w:p w14:paraId="1AB79ED4" w14:textId="77777777" w:rsidR="00C66E71" w:rsidRDefault="00C66E71" w:rsidP="008C2BF3">
      <w:pPr>
        <w:rPr>
          <w:lang w:eastAsia="zh-CN"/>
        </w:rPr>
      </w:pPr>
    </w:p>
    <w:p w14:paraId="101A6AF9" w14:textId="77D70C18" w:rsidR="00BF183C" w:rsidRDefault="00BF183C" w:rsidP="004A5787">
      <w:pPr>
        <w:pStyle w:val="Heading1"/>
        <w:numPr>
          <w:ilvl w:val="0"/>
          <w:numId w:val="2"/>
        </w:numPr>
        <w:ind w:left="360"/>
        <w:rPr>
          <w:rFonts w:cs="Arial"/>
          <w:sz w:val="32"/>
          <w:szCs w:val="32"/>
          <w:lang w:val="en-US"/>
        </w:rPr>
      </w:pPr>
      <w:r>
        <w:rPr>
          <w:rFonts w:cs="Arial"/>
          <w:sz w:val="32"/>
          <w:szCs w:val="32"/>
          <w:lang w:val="en-US"/>
        </w:rPr>
        <w:t xml:space="preserve">UE-group WUS </w:t>
      </w:r>
      <w:r w:rsidR="00EB2217">
        <w:rPr>
          <w:rFonts w:cs="Arial"/>
          <w:sz w:val="32"/>
          <w:szCs w:val="32"/>
          <w:lang w:val="en-US"/>
        </w:rPr>
        <w:t xml:space="preserve">Sequence </w:t>
      </w:r>
      <w:r>
        <w:rPr>
          <w:rFonts w:cs="Arial"/>
          <w:sz w:val="32"/>
          <w:szCs w:val="32"/>
          <w:lang w:val="en-US"/>
        </w:rPr>
        <w:t>Generation Considerations</w:t>
      </w:r>
    </w:p>
    <w:p w14:paraId="5D099929" w14:textId="4E35C651" w:rsidR="00397D96" w:rsidRDefault="00EB2217" w:rsidP="00582921">
      <w:pPr>
        <w:pStyle w:val="TdocText"/>
      </w:pPr>
      <w:r>
        <w:t xml:space="preserve">The WUS sequence generation for </w:t>
      </w:r>
      <w:r w:rsidR="009D5F84">
        <w:t>NB-IoT</w:t>
      </w:r>
      <w:r>
        <w:t xml:space="preserve"> is defined in Section </w:t>
      </w:r>
      <w:r w:rsidR="00F7279A" w:rsidRPr="00F7279A">
        <w:t>10.2.6B.1</w:t>
      </w:r>
      <w:r>
        <w:t xml:space="preserve"> of </w:t>
      </w:r>
      <w:r w:rsidR="00360253">
        <w:rPr>
          <w:highlight w:val="yellow"/>
        </w:rPr>
        <w:fldChar w:fldCharType="begin"/>
      </w:r>
      <w:r w:rsidR="00360253">
        <w:instrText xml:space="preserve"> REF _Ref525558335 \r \h </w:instrText>
      </w:r>
      <w:r w:rsidR="00360253">
        <w:rPr>
          <w:highlight w:val="yellow"/>
        </w:rPr>
      </w:r>
      <w:r w:rsidR="00360253">
        <w:rPr>
          <w:highlight w:val="yellow"/>
        </w:rPr>
        <w:fldChar w:fldCharType="separate"/>
      </w:r>
      <w:r w:rsidR="00667C2E">
        <w:t>[4]</w:t>
      </w:r>
      <w:r w:rsidR="00360253">
        <w:rPr>
          <w:highlight w:val="yellow"/>
        </w:rPr>
        <w:fldChar w:fldCharType="end"/>
      </w:r>
      <w:r>
        <w:t xml:space="preserve">. In order to keep backwards compatibility with Rel-15 and, at the same time, minimize the impact on the </w:t>
      </w:r>
      <w:r w:rsidR="00BB5C45">
        <w:t xml:space="preserve">existing </w:t>
      </w:r>
      <w:r>
        <w:t>RAN1 specification, the following procedure for WUS sequence generation is proposed for Rel-16.</w:t>
      </w:r>
      <w:r w:rsidR="005A5313">
        <w:t xml:space="preserve"> The Gold RE-level scrambling sequence </w:t>
      </w:r>
      <w:r w:rsidR="005A5313" w:rsidRPr="00FD7E66">
        <w:rPr>
          <w:position w:val="-14"/>
        </w:rPr>
        <w:object w:dxaOrig="760" w:dyaOrig="380" w14:anchorId="21E7C5F0">
          <v:shape id="_x0000_i1026" type="#_x0000_t75" style="width:38.4pt;height:19.2pt" o:ole="">
            <v:imagedata r:id="rId14" o:title=""/>
          </v:shape>
          <o:OLEObject Type="Embed" ProgID="Equation.DSMT4" ShapeID="_x0000_i1026" DrawAspect="Content" ObjectID="_1611784911" r:id="rId15"/>
        </w:object>
      </w:r>
      <w:r w:rsidR="005A5313">
        <w:t xml:space="preserve"> is extended </w:t>
      </w:r>
      <w:r w:rsidR="005A5313" w:rsidRPr="00FD7E66">
        <w:rPr>
          <w:position w:val="-14"/>
        </w:rPr>
        <w:object w:dxaOrig="499" w:dyaOrig="400" w14:anchorId="42A2CDBE">
          <v:shape id="_x0000_i1027" type="#_x0000_t75" style="width:25.2pt;height:20.4pt" o:ole="">
            <v:imagedata r:id="rId16" o:title=""/>
          </v:shape>
          <o:OLEObject Type="Embed" ProgID="Equation.DSMT4" ShapeID="_x0000_i1027" DrawAspect="Content" ObjectID="_1611784912" r:id="rId17"/>
        </w:object>
      </w:r>
      <w:r w:rsidR="005A5313">
        <w:t xml:space="preserve"> times</w:t>
      </w:r>
      <w:r w:rsidR="00582921">
        <w:t xml:space="preserve">, </w:t>
      </w:r>
      <w:r w:rsidR="00582921" w:rsidRPr="00FD7E66">
        <w:rPr>
          <w:position w:val="-14"/>
        </w:rPr>
        <w:object w:dxaOrig="2720" w:dyaOrig="400" w14:anchorId="42239481">
          <v:shape id="_x0000_i1028" type="#_x0000_t75" style="width:135.6pt;height:20.4pt" o:ole="">
            <v:imagedata r:id="rId18" o:title=""/>
          </v:shape>
          <o:OLEObject Type="Embed" ProgID="Equation.DSMT4" ShapeID="_x0000_i1028" DrawAspect="Content" ObjectID="_1611784913" r:id="rId19"/>
        </w:object>
      </w:r>
      <w:r w:rsidR="00582921">
        <w:t>,</w:t>
      </w:r>
      <w:r w:rsidR="005A5313">
        <w:t xml:space="preserve"> where </w:t>
      </w:r>
      <w:r w:rsidR="005A5313" w:rsidRPr="008F379D">
        <w:rPr>
          <w:position w:val="-14"/>
        </w:rPr>
        <w:object w:dxaOrig="499" w:dyaOrig="400" w14:anchorId="4D13F9CB">
          <v:shape id="_x0000_i1029" type="#_x0000_t75" style="width:25.2pt;height:20.4pt" o:ole="">
            <v:imagedata r:id="rId16" o:title=""/>
          </v:shape>
          <o:OLEObject Type="Embed" ProgID="Equation.DSMT4" ShapeID="_x0000_i1029" DrawAspect="Content" ObjectID="_1611784914" r:id="rId20"/>
        </w:object>
      </w:r>
      <w:r w:rsidR="005A5313">
        <w:t xml:space="preserve"> is the total number of UE groups using the same initialization value </w:t>
      </w:r>
      <w:r w:rsidR="005A5313" w:rsidRPr="00FD7E66">
        <w:rPr>
          <w:position w:val="-14"/>
        </w:rPr>
        <w:object w:dxaOrig="740" w:dyaOrig="380" w14:anchorId="3BC557AF">
          <v:shape id="_x0000_i1030" type="#_x0000_t75" style="width:36.6pt;height:19.2pt" o:ole="">
            <v:imagedata r:id="rId21" o:title=""/>
          </v:shape>
          <o:OLEObject Type="Embed" ProgID="Equation.DSMT4" ShapeID="_x0000_i1030" DrawAspect="Content" ObjectID="_1611784915" r:id="rId22"/>
        </w:object>
      </w:r>
      <w:r w:rsidR="005A5313">
        <w:t xml:space="preserve"> as defined in Section </w:t>
      </w:r>
      <w:r w:rsidR="00A31E09" w:rsidRPr="00A31E09">
        <w:t>10.2.6B.1</w:t>
      </w:r>
      <w:r w:rsidR="005A5313">
        <w:t xml:space="preserve"> </w:t>
      </w:r>
      <w:r w:rsidR="005A5313">
        <w:rPr>
          <w:highlight w:val="yellow"/>
        </w:rPr>
        <w:fldChar w:fldCharType="begin"/>
      </w:r>
      <w:r w:rsidR="005A5313">
        <w:instrText xml:space="preserve"> REF _Ref525558335 \r \h </w:instrText>
      </w:r>
      <w:r w:rsidR="005A5313">
        <w:rPr>
          <w:highlight w:val="yellow"/>
        </w:rPr>
      </w:r>
      <w:r w:rsidR="005A5313">
        <w:rPr>
          <w:highlight w:val="yellow"/>
        </w:rPr>
        <w:fldChar w:fldCharType="separate"/>
      </w:r>
      <w:r w:rsidR="00A31E09">
        <w:t>[4]</w:t>
      </w:r>
      <w:r w:rsidR="005A5313">
        <w:rPr>
          <w:highlight w:val="yellow"/>
        </w:rPr>
        <w:fldChar w:fldCharType="end"/>
      </w:r>
      <w:r w:rsidR="005A5313">
        <w:t>.</w:t>
      </w:r>
      <w:r w:rsidR="00BB5C45">
        <w:t xml:space="preserve"> </w:t>
      </w:r>
      <w:r w:rsidR="0012560A">
        <w:t>For WUS scrambling</w:t>
      </w:r>
      <w:r w:rsidR="00166F17">
        <w:t>, a</w:t>
      </w:r>
      <w:r w:rsidR="00BB5C45">
        <w:t xml:space="preserve"> </w:t>
      </w:r>
      <w:r w:rsidR="00397D96">
        <w:t xml:space="preserve">shorter </w:t>
      </w:r>
      <w:r w:rsidR="00BB5C45">
        <w:t xml:space="preserve">subsequence </w:t>
      </w:r>
      <w:r w:rsidR="00582921" w:rsidRPr="00C85655">
        <w:rPr>
          <w:position w:val="-14"/>
        </w:rPr>
        <w:object w:dxaOrig="920" w:dyaOrig="380" w14:anchorId="59C552C9">
          <v:shape id="_x0000_i1031" type="#_x0000_t75" style="width:46.2pt;height:19.2pt" o:ole="">
            <v:imagedata r:id="rId23" o:title=""/>
          </v:shape>
          <o:OLEObject Type="Embed" ProgID="Equation.DSMT4" ShapeID="_x0000_i1031" DrawAspect="Content" ObjectID="_1611784916" r:id="rId24"/>
        </w:object>
      </w:r>
      <w:r w:rsidR="00582921">
        <w:t xml:space="preserve">, </w:t>
      </w:r>
      <w:r w:rsidR="00582921" w:rsidRPr="00C85655">
        <w:object w:dxaOrig="2220" w:dyaOrig="320" w14:anchorId="76FB8A1A">
          <v:shape id="_x0000_i1032" type="#_x0000_t75" style="width:111pt;height:15.6pt" o:ole="">
            <v:imagedata r:id="rId25" o:title=""/>
          </v:shape>
          <o:OLEObject Type="Embed" ProgID="Equation.DSMT4" ShapeID="_x0000_i1032" DrawAspect="Content" ObjectID="_1611784917" r:id="rId26"/>
        </w:object>
      </w:r>
      <w:r w:rsidR="00582921">
        <w:t xml:space="preserve">, </w:t>
      </w:r>
      <w:r w:rsidR="00BB5C45">
        <w:t xml:space="preserve">from the new long Gold sequence </w:t>
      </w:r>
      <w:r w:rsidR="00BB5C45" w:rsidRPr="008F379D">
        <w:rPr>
          <w:position w:val="-14"/>
        </w:rPr>
        <w:object w:dxaOrig="760" w:dyaOrig="380" w14:anchorId="5E06CE8E">
          <v:shape id="_x0000_i1033" type="#_x0000_t75" style="width:38.4pt;height:19.2pt" o:ole="">
            <v:imagedata r:id="rId14" o:title=""/>
          </v:shape>
          <o:OLEObject Type="Embed" ProgID="Equation.DSMT4" ShapeID="_x0000_i1033" DrawAspect="Content" ObjectID="_1611784918" r:id="rId27"/>
        </w:object>
      </w:r>
      <w:r w:rsidR="00BB5C45">
        <w:t xml:space="preserve"> is selected according to the UE group index </w:t>
      </w:r>
      <w:r w:rsidR="00397D96" w:rsidRPr="00FD7E66">
        <w:rPr>
          <w:position w:val="-6"/>
        </w:rPr>
        <w:object w:dxaOrig="180" w:dyaOrig="220" w14:anchorId="0FB6BD24">
          <v:shape id="_x0000_i1034" type="#_x0000_t75" style="width:9pt;height:11.4pt" o:ole="">
            <v:imagedata r:id="rId28" o:title=""/>
          </v:shape>
          <o:OLEObject Type="Embed" ProgID="Equation.DSMT4" ShapeID="_x0000_i1034" DrawAspect="Content" ObjectID="_1611784919" r:id="rId29"/>
        </w:object>
      </w:r>
      <w:r w:rsidR="00397D96">
        <w:t xml:space="preserve">, </w:t>
      </w:r>
      <w:r w:rsidR="002D3DF4" w:rsidRPr="00FD7E66">
        <w:rPr>
          <w:position w:val="-14"/>
        </w:rPr>
        <w:object w:dxaOrig="1840" w:dyaOrig="400" w14:anchorId="4F399A80">
          <v:shape id="_x0000_i1035" type="#_x0000_t75" style="width:92.4pt;height:20.4pt" o:ole="">
            <v:imagedata r:id="rId30" o:title=""/>
          </v:shape>
          <o:OLEObject Type="Embed" ProgID="Equation.DSMT4" ShapeID="_x0000_i1035" DrawAspect="Content" ObjectID="_1611784920" r:id="rId31"/>
        </w:object>
      </w:r>
      <w:r w:rsidR="00397D96">
        <w:t xml:space="preserve">, </w:t>
      </w:r>
      <w:r w:rsidR="00BB5C45">
        <w:t>as follows:</w:t>
      </w:r>
    </w:p>
    <w:p w14:paraId="0A2C37BB" w14:textId="5C7697EE" w:rsidR="005A2ED3" w:rsidRDefault="005E2E84" w:rsidP="005B0B95">
      <w:pPr>
        <w:pStyle w:val="TdocEquation"/>
      </w:pPr>
      <w:r w:rsidRPr="005E2E84">
        <w:tab/>
      </w:r>
      <w:r w:rsidR="00397D96" w:rsidRPr="005B0B95">
        <w:object w:dxaOrig="3140" w:dyaOrig="380" w14:anchorId="7B9FCB55">
          <v:shape id="_x0000_i1036" type="#_x0000_t75" style="width:156.6pt;height:19.2pt" o:ole="">
            <v:imagedata r:id="rId32" o:title=""/>
          </v:shape>
          <o:OLEObject Type="Embed" ProgID="Equation.DSMT4" ShapeID="_x0000_i1036" DrawAspect="Content" ObjectID="_1611784921" r:id="rId33"/>
        </w:object>
      </w:r>
      <w:r w:rsidR="00397D96" w:rsidRPr="005B0B95">
        <w:t>,</w:t>
      </w:r>
      <w:r w:rsidRPr="005B0B95">
        <w:tab/>
      </w:r>
      <w:r w:rsidR="005B0B95">
        <w:fldChar w:fldCharType="begin"/>
      </w:r>
      <w:r w:rsidR="005B0B95">
        <w:instrText xml:space="preserve"> MACROBUTTON MTPlaceRef \* MERGEFORMAT </w:instrText>
      </w:r>
      <w:r w:rsidR="005B0B95">
        <w:fldChar w:fldCharType="begin"/>
      </w:r>
      <w:r w:rsidR="005B0B95">
        <w:instrText xml:space="preserve"> SEQ MTEqn \h \* MERGEFORMAT </w:instrText>
      </w:r>
      <w:r w:rsidR="005B0B95">
        <w:fldChar w:fldCharType="end"/>
      </w:r>
      <w:r w:rsidR="005B0B95">
        <w:instrText>(</w:instrText>
      </w:r>
      <w:r w:rsidR="00E60882">
        <w:rPr>
          <w:noProof/>
        </w:rPr>
        <w:fldChar w:fldCharType="begin"/>
      </w:r>
      <w:r w:rsidR="00E60882">
        <w:rPr>
          <w:noProof/>
        </w:rPr>
        <w:instrText xml:space="preserve"> SEQ MTEqn \c \* Arabic \* MERGEFORMAT </w:instrText>
      </w:r>
      <w:r w:rsidR="00E60882">
        <w:rPr>
          <w:noProof/>
        </w:rPr>
        <w:fldChar w:fldCharType="separate"/>
      </w:r>
      <w:r w:rsidR="005B0B95">
        <w:rPr>
          <w:noProof/>
        </w:rPr>
        <w:instrText>1</w:instrText>
      </w:r>
      <w:r w:rsidR="00E60882">
        <w:rPr>
          <w:noProof/>
        </w:rPr>
        <w:fldChar w:fldCharType="end"/>
      </w:r>
      <w:r w:rsidR="005B0B95">
        <w:instrText>)</w:instrText>
      </w:r>
      <w:r w:rsidR="005B0B95">
        <w:fldChar w:fldCharType="end"/>
      </w:r>
    </w:p>
    <w:p w14:paraId="0050DA37" w14:textId="2F66B5C5" w:rsidR="001C3A5F" w:rsidRDefault="00A2440A" w:rsidP="00C85655">
      <w:pPr>
        <w:pStyle w:val="TdocText"/>
      </w:pPr>
      <w:r>
        <w:t xml:space="preserve">where an example correspondence between </w:t>
      </w:r>
      <w:r w:rsidR="0009763B">
        <w:t xml:space="preserve">the index </w:t>
      </w:r>
      <w:r w:rsidR="0009763B" w:rsidRPr="00FD7E66">
        <w:rPr>
          <w:position w:val="-6"/>
        </w:rPr>
        <w:object w:dxaOrig="180" w:dyaOrig="220" w14:anchorId="599473B4">
          <v:shape id="_x0000_i1037" type="#_x0000_t75" style="width:9pt;height:11.4pt" o:ole="">
            <v:imagedata r:id="rId28" o:title=""/>
          </v:shape>
          <o:OLEObject Type="Embed" ProgID="Equation.DSMT4" ShapeID="_x0000_i1037" DrawAspect="Content" ObjectID="_1611784922" r:id="rId34"/>
        </w:object>
      </w:r>
      <w:r w:rsidR="0009763B">
        <w:t xml:space="preserve"> and UE groups is given in </w:t>
      </w:r>
      <w:r w:rsidR="00C85655">
        <w:fldChar w:fldCharType="begin"/>
      </w:r>
      <w:r w:rsidR="00C85655">
        <w:instrText xml:space="preserve"> REF _Ref525564325 \h </w:instrText>
      </w:r>
      <w:r w:rsidR="00C85655">
        <w:fldChar w:fldCharType="separate"/>
      </w:r>
      <w:r w:rsidR="00C85655">
        <w:t xml:space="preserve">Table </w:t>
      </w:r>
      <w:r w:rsidR="00C85655">
        <w:rPr>
          <w:noProof/>
        </w:rPr>
        <w:t>1</w:t>
      </w:r>
      <w:r w:rsidR="00C85655">
        <w:fldChar w:fldCharType="end"/>
      </w:r>
      <w:r w:rsidR="0009763B">
        <w:t>.</w:t>
      </w:r>
    </w:p>
    <w:p w14:paraId="068EBFB5" w14:textId="4ECFFFA1" w:rsidR="00210956" w:rsidRDefault="00210956" w:rsidP="00C85655">
      <w:pPr>
        <w:pStyle w:val="TdocTableCaption"/>
      </w:pPr>
      <w:bookmarkStart w:id="16" w:name="_Ref525564325"/>
      <w:r>
        <w:t xml:space="preserve">Table </w:t>
      </w:r>
      <w:r w:rsidR="00094D19">
        <w:rPr>
          <w:noProof/>
        </w:rPr>
        <w:fldChar w:fldCharType="begin"/>
      </w:r>
      <w:r w:rsidR="00094D19">
        <w:rPr>
          <w:noProof/>
        </w:rPr>
        <w:instrText xml:space="preserve"> SEQ Table \* ARABIC </w:instrText>
      </w:r>
      <w:r w:rsidR="00094D19">
        <w:rPr>
          <w:noProof/>
        </w:rPr>
        <w:fldChar w:fldCharType="separate"/>
      </w:r>
      <w:r>
        <w:rPr>
          <w:noProof/>
        </w:rPr>
        <w:t>1</w:t>
      </w:r>
      <w:r w:rsidR="00094D19">
        <w:rPr>
          <w:noProof/>
        </w:rPr>
        <w:fldChar w:fldCharType="end"/>
      </w:r>
      <w:bookmarkEnd w:id="16"/>
      <w:r>
        <w:t>.</w:t>
      </w:r>
    </w:p>
    <w:tbl>
      <w:tblPr>
        <w:tblStyle w:val="TableGrid"/>
        <w:tblW w:w="0" w:type="auto"/>
        <w:tblInd w:w="3256" w:type="dxa"/>
        <w:tblLook w:val="04A0" w:firstRow="1" w:lastRow="0" w:firstColumn="1" w:lastColumn="0" w:noHBand="0" w:noVBand="1"/>
      </w:tblPr>
      <w:tblGrid>
        <w:gridCol w:w="1901"/>
        <w:gridCol w:w="1902"/>
      </w:tblGrid>
      <w:tr w:rsidR="00205039" w14:paraId="2212E672" w14:textId="77777777" w:rsidTr="00C85655">
        <w:tc>
          <w:tcPr>
            <w:tcW w:w="1901" w:type="dxa"/>
            <w:shd w:val="clear" w:color="auto" w:fill="D0CECE" w:themeFill="background2" w:themeFillShade="E6"/>
          </w:tcPr>
          <w:p w14:paraId="3FDEC4F3" w14:textId="30F24DDA" w:rsidR="00205039" w:rsidRDefault="00205039" w:rsidP="00C85655">
            <w:pPr>
              <w:pStyle w:val="TdocTableCap"/>
              <w:jc w:val="center"/>
            </w:pPr>
            <w:r>
              <w:t xml:space="preserve">UE group index, </w:t>
            </w:r>
            <w:r w:rsidRPr="00FD7E66">
              <w:rPr>
                <w:position w:val="-6"/>
              </w:rPr>
              <w:object w:dxaOrig="180" w:dyaOrig="220" w14:anchorId="0FE3CB13">
                <v:shape id="_x0000_i1038" type="#_x0000_t75" style="width:9pt;height:11.4pt" o:ole="">
                  <v:imagedata r:id="rId28" o:title=""/>
                </v:shape>
                <o:OLEObject Type="Embed" ProgID="Equation.DSMT4" ShapeID="_x0000_i1038" DrawAspect="Content" ObjectID="_1611784923" r:id="rId35"/>
              </w:object>
            </w:r>
          </w:p>
        </w:tc>
        <w:tc>
          <w:tcPr>
            <w:tcW w:w="1902" w:type="dxa"/>
            <w:shd w:val="clear" w:color="auto" w:fill="D0CECE" w:themeFill="background2" w:themeFillShade="E6"/>
          </w:tcPr>
          <w:p w14:paraId="603666CE" w14:textId="7F2AFF6C" w:rsidR="00205039" w:rsidRDefault="00205039" w:rsidP="00C85655">
            <w:pPr>
              <w:pStyle w:val="TdocTableCap"/>
              <w:jc w:val="center"/>
            </w:pPr>
            <w:r>
              <w:t>UE group</w:t>
            </w:r>
          </w:p>
        </w:tc>
      </w:tr>
      <w:tr w:rsidR="00205039" w14:paraId="7EBE1AF3" w14:textId="77777777" w:rsidTr="00C85655">
        <w:tc>
          <w:tcPr>
            <w:tcW w:w="1901" w:type="dxa"/>
          </w:tcPr>
          <w:p w14:paraId="4A1F75AF" w14:textId="6F92055B" w:rsidR="00205039" w:rsidRDefault="00205039" w:rsidP="00C85655">
            <w:pPr>
              <w:pStyle w:val="TdocTableContent"/>
              <w:jc w:val="center"/>
            </w:pPr>
            <w:r>
              <w:t>0</w:t>
            </w:r>
          </w:p>
        </w:tc>
        <w:tc>
          <w:tcPr>
            <w:tcW w:w="1902" w:type="dxa"/>
          </w:tcPr>
          <w:p w14:paraId="33F2A559" w14:textId="37D559A3" w:rsidR="00205039" w:rsidRDefault="00205039" w:rsidP="00C85655">
            <w:pPr>
              <w:pStyle w:val="TdocTableContent"/>
              <w:jc w:val="center"/>
            </w:pPr>
            <w:r>
              <w:t>Legacy Rel-15</w:t>
            </w:r>
          </w:p>
        </w:tc>
      </w:tr>
      <w:tr w:rsidR="00F05CA2" w14:paraId="2F572080" w14:textId="77777777" w:rsidTr="00C85655">
        <w:tc>
          <w:tcPr>
            <w:tcW w:w="1901" w:type="dxa"/>
          </w:tcPr>
          <w:p w14:paraId="5E1CD164" w14:textId="4FE47635" w:rsidR="00F05CA2" w:rsidRDefault="00F05CA2" w:rsidP="00F05CA2">
            <w:pPr>
              <w:pStyle w:val="TdocTableContent"/>
              <w:jc w:val="center"/>
            </w:pPr>
            <w:r>
              <w:t>1</w:t>
            </w:r>
          </w:p>
        </w:tc>
        <w:tc>
          <w:tcPr>
            <w:tcW w:w="1902" w:type="dxa"/>
          </w:tcPr>
          <w:p w14:paraId="1299BF93" w14:textId="728D9837" w:rsidR="00F05CA2" w:rsidRDefault="00F05CA2" w:rsidP="00F05CA2">
            <w:pPr>
              <w:pStyle w:val="TdocTableContent"/>
              <w:jc w:val="center"/>
            </w:pPr>
            <w:r>
              <w:t>UE common</w:t>
            </w:r>
          </w:p>
        </w:tc>
      </w:tr>
      <w:tr w:rsidR="00F05CA2" w14:paraId="721A9017" w14:textId="77777777" w:rsidTr="00C85655">
        <w:tc>
          <w:tcPr>
            <w:tcW w:w="1901" w:type="dxa"/>
          </w:tcPr>
          <w:p w14:paraId="3C86ADE2" w14:textId="0A97BCBA" w:rsidR="00F05CA2" w:rsidRDefault="00F05CA2" w:rsidP="00F05CA2">
            <w:pPr>
              <w:pStyle w:val="TdocTableContent"/>
              <w:jc w:val="center"/>
            </w:pPr>
            <w:r>
              <w:t>2</w:t>
            </w:r>
          </w:p>
        </w:tc>
        <w:tc>
          <w:tcPr>
            <w:tcW w:w="1902" w:type="dxa"/>
          </w:tcPr>
          <w:p w14:paraId="15C999B6" w14:textId="3D156D6B" w:rsidR="00F05CA2" w:rsidRDefault="00F05CA2" w:rsidP="00F05CA2">
            <w:pPr>
              <w:pStyle w:val="TdocTableContent"/>
              <w:jc w:val="center"/>
            </w:pPr>
            <w:r>
              <w:t>UE group-0</w:t>
            </w:r>
          </w:p>
        </w:tc>
      </w:tr>
      <w:tr w:rsidR="00F05CA2" w14:paraId="4407854F" w14:textId="77777777" w:rsidTr="00C85655">
        <w:tc>
          <w:tcPr>
            <w:tcW w:w="1901" w:type="dxa"/>
          </w:tcPr>
          <w:p w14:paraId="377F959C" w14:textId="0005E713" w:rsidR="00F05CA2" w:rsidRDefault="00F05CA2" w:rsidP="00F05CA2">
            <w:pPr>
              <w:pStyle w:val="TdocTableContent"/>
              <w:jc w:val="center"/>
            </w:pPr>
            <w:r>
              <w:t>3</w:t>
            </w:r>
          </w:p>
        </w:tc>
        <w:tc>
          <w:tcPr>
            <w:tcW w:w="1902" w:type="dxa"/>
          </w:tcPr>
          <w:p w14:paraId="349B4735" w14:textId="55D7654F" w:rsidR="00F05CA2" w:rsidRDefault="00F05CA2" w:rsidP="00F05CA2">
            <w:pPr>
              <w:pStyle w:val="TdocTableContent"/>
              <w:jc w:val="center"/>
            </w:pPr>
            <w:r>
              <w:t>UE group-1</w:t>
            </w:r>
          </w:p>
        </w:tc>
      </w:tr>
    </w:tbl>
    <w:p w14:paraId="2204B053" w14:textId="513FBEDB" w:rsidR="00D557AF" w:rsidRDefault="00996C95" w:rsidP="00C85655">
      <w:pPr>
        <w:pStyle w:val="TdocText"/>
      </w:pPr>
      <w:r>
        <w:t xml:space="preserve">The procedure is illustrated in </w:t>
      </w:r>
      <w:r w:rsidR="00302992">
        <w:fldChar w:fldCharType="begin"/>
      </w:r>
      <w:r w:rsidR="00302992">
        <w:instrText xml:space="preserve"> REF _Ref525566939 \h </w:instrText>
      </w:r>
      <w:r w:rsidR="00302992">
        <w:fldChar w:fldCharType="separate"/>
      </w:r>
      <w:r w:rsidR="0035637C">
        <w:t xml:space="preserve">Figure </w:t>
      </w:r>
      <w:r w:rsidR="0035637C">
        <w:rPr>
          <w:noProof/>
        </w:rPr>
        <w:t>2</w:t>
      </w:r>
      <w:r w:rsidR="00302992">
        <w:fldChar w:fldCharType="end"/>
      </w:r>
      <w:r>
        <w:t>.</w:t>
      </w:r>
    </w:p>
    <w:p w14:paraId="07E3D49B" w14:textId="43566EBA" w:rsidR="00740E55" w:rsidRDefault="005D6F37" w:rsidP="0017253C">
      <w:pPr>
        <w:pStyle w:val="TdocFigure"/>
        <w:keepNext/>
      </w:pPr>
      <w:r>
        <w:object w:dxaOrig="5329" w:dyaOrig="4344" w14:anchorId="088A8657">
          <v:shape id="_x0000_i1039" type="#_x0000_t75" style="width:213pt;height:173.4pt;mso-position-horizontal:absolute" o:ole="">
            <v:imagedata r:id="rId36" o:title=""/>
          </v:shape>
          <o:OLEObject Type="Embed" ProgID="Visio.Drawing.15" ShapeID="_x0000_i1039" DrawAspect="Content" ObjectID="_1611784924" r:id="rId37"/>
        </w:object>
      </w:r>
    </w:p>
    <w:p w14:paraId="38077F6C" w14:textId="4F228748" w:rsidR="00302992" w:rsidRDefault="00302992" w:rsidP="0017253C">
      <w:pPr>
        <w:pStyle w:val="TdocFigureCaption"/>
      </w:pPr>
      <w:bookmarkStart w:id="17" w:name="_Ref525566939"/>
      <w:r>
        <w:t xml:space="preserve">Figure </w:t>
      </w:r>
      <w:r w:rsidR="00094D19">
        <w:rPr>
          <w:noProof/>
        </w:rPr>
        <w:fldChar w:fldCharType="begin"/>
      </w:r>
      <w:r w:rsidR="00094D19">
        <w:rPr>
          <w:noProof/>
        </w:rPr>
        <w:instrText xml:space="preserve"> SEQ Figure \* ARABIC </w:instrText>
      </w:r>
      <w:r w:rsidR="00094D19">
        <w:rPr>
          <w:noProof/>
        </w:rPr>
        <w:fldChar w:fldCharType="separate"/>
      </w:r>
      <w:r>
        <w:rPr>
          <w:noProof/>
        </w:rPr>
        <w:t>2</w:t>
      </w:r>
      <w:r w:rsidR="00094D19">
        <w:rPr>
          <w:noProof/>
        </w:rPr>
        <w:fldChar w:fldCharType="end"/>
      </w:r>
      <w:bookmarkEnd w:id="17"/>
      <w:r>
        <w:t xml:space="preserve">. </w:t>
      </w:r>
      <w:r w:rsidRPr="002D6CE4">
        <w:t>Illustration of WUS sequence generation in Rel-16.</w:t>
      </w:r>
    </w:p>
    <w:p w14:paraId="7B6C3E9F" w14:textId="1776767D" w:rsidR="007127AB" w:rsidRDefault="007127AB" w:rsidP="0017253C">
      <w:pPr>
        <w:pStyle w:val="TdocText"/>
      </w:pPr>
      <w:r>
        <w:t>It can be easily see</w:t>
      </w:r>
      <w:r w:rsidR="00953C87">
        <w:t>n</w:t>
      </w:r>
      <w:r>
        <w:t xml:space="preserve"> that for the group of legacy Rel-15 UEs</w:t>
      </w:r>
      <w:r w:rsidR="00197DA8">
        <w:t xml:space="preserve"> </w:t>
      </w:r>
      <w:r w:rsidR="008578A7">
        <w:t>(</w:t>
      </w:r>
      <w:r w:rsidR="008578A7" w:rsidRPr="0017253C">
        <w:rPr>
          <w:position w:val="-6"/>
        </w:rPr>
        <w:object w:dxaOrig="540" w:dyaOrig="279" w14:anchorId="0ADDE6A5">
          <v:shape id="_x0000_i1040" type="#_x0000_t75" style="width:27pt;height:14.4pt" o:ole="">
            <v:imagedata r:id="rId38" o:title=""/>
          </v:shape>
          <o:OLEObject Type="Embed" ProgID="Equation.DSMT4" ShapeID="_x0000_i1040" DrawAspect="Content" ObjectID="_1611784925" r:id="rId39"/>
        </w:object>
      </w:r>
      <w:r w:rsidR="008578A7">
        <w:t>)</w:t>
      </w:r>
      <w:r w:rsidR="00197DA8">
        <w:t xml:space="preserve">, the proposed procedure produces the same WUS as </w:t>
      </w:r>
      <w:r w:rsidR="008578A7">
        <w:t xml:space="preserve">in Rel-15, </w:t>
      </w:r>
      <w:r w:rsidR="00197DA8">
        <w:t>thus</w:t>
      </w:r>
      <w:r w:rsidR="008578A7">
        <w:t xml:space="preserve">, </w:t>
      </w:r>
      <w:r w:rsidR="00197DA8">
        <w:t xml:space="preserve">providing </w:t>
      </w:r>
      <w:r w:rsidR="008578A7">
        <w:t xml:space="preserve">the required </w:t>
      </w:r>
      <w:r w:rsidR="00197DA8">
        <w:t>backwards compatibility</w:t>
      </w:r>
      <w:r w:rsidR="008578A7">
        <w:t>.</w:t>
      </w:r>
    </w:p>
    <w:p w14:paraId="013759DB" w14:textId="0AE35415" w:rsidR="00196175" w:rsidRDefault="00196175" w:rsidP="00196175">
      <w:pPr>
        <w:pStyle w:val="TdocText"/>
      </w:pPr>
      <w:r>
        <w:t xml:space="preserve">There are other ways to generate multiple WUSes for different UE groups based on the legacy WUS generation such as scrambling initialization, Zadoff-Chu phase shift, </w:t>
      </w:r>
      <w:r w:rsidR="00953C87">
        <w:t xml:space="preserve">and </w:t>
      </w:r>
      <w:r>
        <w:t xml:space="preserve">orthogonal cover codes (OCCs) in the frequency domain. According to </w:t>
      </w:r>
      <w:r w:rsidR="00E7442C">
        <w:rPr>
          <w:highlight w:val="yellow"/>
        </w:rPr>
        <w:fldChar w:fldCharType="begin"/>
      </w:r>
      <w:r w:rsidR="00E7442C">
        <w:instrText xml:space="preserve"> REF _Ref1150870 \r \h </w:instrText>
      </w:r>
      <w:r w:rsidR="00E7442C">
        <w:rPr>
          <w:highlight w:val="yellow"/>
        </w:rPr>
      </w:r>
      <w:r w:rsidR="00E7442C">
        <w:rPr>
          <w:highlight w:val="yellow"/>
        </w:rPr>
        <w:fldChar w:fldCharType="separate"/>
      </w:r>
      <w:r w:rsidR="00E7442C">
        <w:t>[4]</w:t>
      </w:r>
      <w:r w:rsidR="00E7442C">
        <w:rPr>
          <w:highlight w:val="yellow"/>
        </w:rPr>
        <w:fldChar w:fldCharType="end"/>
      </w:r>
      <w:r>
        <w:t>, the most promising approach is OCC in the frequency domain. Below the cross-correlation result analysis is provided for the proposed UE-group WUS sequence generation (also referred as phase shifted scrambling code, i.e., PSSC) and OCC (</w:t>
      </w:r>
      <w:r>
        <w:rPr>
          <w:highlight w:val="yellow"/>
        </w:rPr>
        <w:fldChar w:fldCharType="begin"/>
      </w:r>
      <w:r>
        <w:instrText xml:space="preserve"> REF _Ref1039188 \h </w:instrText>
      </w:r>
      <w:r>
        <w:rPr>
          <w:highlight w:val="yellow"/>
        </w:rPr>
      </w:r>
      <w:r>
        <w:rPr>
          <w:highlight w:val="yellow"/>
        </w:rPr>
        <w:fldChar w:fldCharType="separate"/>
      </w:r>
      <w:r>
        <w:t xml:space="preserve">Figure </w:t>
      </w:r>
      <w:r>
        <w:rPr>
          <w:noProof/>
        </w:rPr>
        <w:t>3</w:t>
      </w:r>
      <w:r>
        <w:rPr>
          <w:highlight w:val="yellow"/>
        </w:rPr>
        <w:fldChar w:fldCharType="end"/>
      </w:r>
      <w:r>
        <w:t xml:space="preserve">). The ratio of the max cross-correlation value in the time domain within a timing window </w:t>
      </w:r>
      <w:r w:rsidRPr="00A71FB5">
        <w:rPr>
          <w:rFonts w:ascii="Symbol" w:hAnsi="Symbol"/>
        </w:rPr>
        <w:t></w:t>
      </w:r>
      <w:r>
        <w:t>t to the max autocorrelation peak at zero timing offset is considered. Although we confirm that the max cross-correlation value is better (i.e., lower) in OCC case,</w:t>
      </w:r>
      <w:r w:rsidR="00953C87">
        <w:t xml:space="preserve"> it only corresponds to a very small portion of cases, while </w:t>
      </w:r>
      <w:r>
        <w:t xml:space="preserve">the rest part of CDF curves </w:t>
      </w:r>
      <w:r w:rsidR="00953C87">
        <w:t xml:space="preserve">corresponding to most cases </w:t>
      </w:r>
      <w:r>
        <w:t>demonstrates lower cross-correlations for the proposed design.</w:t>
      </w:r>
    </w:p>
    <w:p w14:paraId="437ED696" w14:textId="77777777" w:rsidR="00196175" w:rsidRDefault="00196175" w:rsidP="00196175">
      <w:pPr>
        <w:pStyle w:val="TdocFigure"/>
        <w:keepNext/>
      </w:pPr>
      <w:r w:rsidRPr="005743F8">
        <w:rPr>
          <w:noProof/>
          <w:lang w:eastAsia="zh-CN"/>
        </w:rPr>
        <w:drawing>
          <wp:inline distT="0" distB="0" distL="0" distR="0" wp14:anchorId="4D6AE8A9" wp14:editId="196C8559">
            <wp:extent cx="4100400" cy="307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100400" cy="3070800"/>
                    </a:xfrm>
                    <a:prstGeom prst="rect">
                      <a:avLst/>
                    </a:prstGeom>
                    <a:noFill/>
                    <a:ln>
                      <a:noFill/>
                    </a:ln>
                  </pic:spPr>
                </pic:pic>
              </a:graphicData>
            </a:graphic>
          </wp:inline>
        </w:drawing>
      </w:r>
    </w:p>
    <w:p w14:paraId="73FB22E4" w14:textId="77777777" w:rsidR="00196175" w:rsidRDefault="00196175" w:rsidP="00196175">
      <w:pPr>
        <w:pStyle w:val="TdocFigureCaption"/>
      </w:pPr>
      <w:bookmarkStart w:id="18" w:name="_Ref1039188"/>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8"/>
      <w:r>
        <w:t xml:space="preserve">. Cross-correlation results analysis for different timing windows </w:t>
      </w:r>
      <w:r w:rsidRPr="00A71FB5">
        <w:rPr>
          <w:rFonts w:ascii="Symbol" w:hAnsi="Symbol"/>
        </w:rPr>
        <w:t></w:t>
      </w:r>
      <w:r>
        <w:t>t (samples @ 1.92MHz sampling rate), no frequency offset</w:t>
      </w:r>
      <w:r w:rsidRPr="002D6CE4">
        <w:t>.</w:t>
      </w:r>
    </w:p>
    <w:p w14:paraId="04766770" w14:textId="77777777" w:rsidR="00196175" w:rsidRDefault="00196175" w:rsidP="00196175">
      <w:pPr>
        <w:pStyle w:val="TdocText"/>
      </w:pPr>
      <w:r>
        <w:lastRenderedPageBreak/>
        <w:t>Based on that, the following proposal can be made:</w:t>
      </w:r>
    </w:p>
    <w:p w14:paraId="68E8F6D1" w14:textId="77777777" w:rsidR="00197DA8" w:rsidRDefault="00197DA8" w:rsidP="0017253C">
      <w:pPr>
        <w:pStyle w:val="TdocText"/>
      </w:pPr>
    </w:p>
    <w:p w14:paraId="69634AEE" w14:textId="75861382" w:rsidR="00167EDB" w:rsidRDefault="00167EDB" w:rsidP="0017253C">
      <w:pPr>
        <w:pStyle w:val="TdocProposal"/>
      </w:pPr>
      <w:r>
        <w:t xml:space="preserve">Proposal </w:t>
      </w:r>
      <w:r w:rsidR="00854600">
        <w:t>3</w:t>
      </w:r>
      <w:r w:rsidR="001403B5">
        <w:t>:</w:t>
      </w:r>
    </w:p>
    <w:p w14:paraId="44525F25" w14:textId="46C8514A" w:rsidR="001403B5" w:rsidRDefault="00F11399" w:rsidP="0017253C">
      <w:pPr>
        <w:pStyle w:val="TdocProposalText"/>
      </w:pPr>
      <w:r>
        <w:t>UE</w:t>
      </w:r>
      <w:r w:rsidR="006F1E9E">
        <w:t xml:space="preserve">-group WUS sequence generation in Rel-16 is based on </w:t>
      </w:r>
      <w:r w:rsidR="006F1E9E" w:rsidRPr="00FD7E66">
        <w:rPr>
          <w:position w:val="-14"/>
        </w:rPr>
        <w:object w:dxaOrig="499" w:dyaOrig="400" w14:anchorId="502A4D76">
          <v:shape id="_x0000_i1041" type="#_x0000_t75" style="width:25.2pt;height:20.4pt" o:ole="">
            <v:imagedata r:id="rId16" o:title=""/>
          </v:shape>
          <o:OLEObject Type="Embed" ProgID="Equation.DSMT4" ShapeID="_x0000_i1041" DrawAspect="Content" ObjectID="_1611784926" r:id="rId41"/>
        </w:object>
      </w:r>
      <w:r w:rsidR="006F1E9E">
        <w:t xml:space="preserve"> times longer RE-level scrambling Gold sequence, where </w:t>
      </w:r>
      <w:r w:rsidR="006F1E9E" w:rsidRPr="008F379D">
        <w:rPr>
          <w:position w:val="-14"/>
        </w:rPr>
        <w:object w:dxaOrig="499" w:dyaOrig="400" w14:anchorId="2AD7D843">
          <v:shape id="_x0000_i1042" type="#_x0000_t75" style="width:25.2pt;height:20.4pt" o:ole="">
            <v:imagedata r:id="rId16" o:title=""/>
          </v:shape>
          <o:OLEObject Type="Embed" ProgID="Equation.DSMT4" ShapeID="_x0000_i1042" DrawAspect="Content" ObjectID="_1611784927" r:id="rId42"/>
        </w:object>
      </w:r>
      <w:r w:rsidR="006F1E9E">
        <w:t xml:space="preserve"> is the total number of UE groups (including legacy Rel-15 UEs).</w:t>
      </w:r>
    </w:p>
    <w:p w14:paraId="0E146518" w14:textId="354881F0" w:rsidR="008610ED" w:rsidRDefault="008610ED" w:rsidP="0017253C">
      <w:pPr>
        <w:pStyle w:val="TdocProposalText"/>
      </w:pPr>
      <w:r>
        <w:t>The initialization value for the long Gold scrambling sequence is reused from Rel-15.</w:t>
      </w:r>
    </w:p>
    <w:p w14:paraId="39AD9753" w14:textId="78FA212E" w:rsidR="008610ED" w:rsidRPr="001C3A5F" w:rsidRDefault="005A0057" w:rsidP="0017253C">
      <w:pPr>
        <w:pStyle w:val="TdocProposalText"/>
      </w:pPr>
      <w:r>
        <w:t xml:space="preserve">The UE-group WUS sequence is a shorter subsequence from the long Gold scrambling sequence defined by the UE group index </w:t>
      </w:r>
      <w:r w:rsidRPr="00FD7E66">
        <w:rPr>
          <w:position w:val="-6"/>
        </w:rPr>
        <w:object w:dxaOrig="180" w:dyaOrig="220" w14:anchorId="5EACBEC8">
          <v:shape id="_x0000_i1043" type="#_x0000_t75" style="width:9pt;height:11.4pt" o:ole="">
            <v:imagedata r:id="rId28" o:title=""/>
          </v:shape>
          <o:OLEObject Type="Embed" ProgID="Equation.DSMT4" ShapeID="_x0000_i1043" DrawAspect="Content" ObjectID="_1611784928" r:id="rId43"/>
        </w:object>
      </w:r>
      <w:r>
        <w:t>.</w:t>
      </w:r>
    </w:p>
    <w:p w14:paraId="529BB75A" w14:textId="77777777" w:rsidR="003069A3" w:rsidRPr="004021A6" w:rsidRDefault="003069A3" w:rsidP="004021A6"/>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D7E689D" w:rsidR="00A72C6C" w:rsidRPr="00073E3D" w:rsidRDefault="00A72C6C" w:rsidP="00366D26">
      <w:pPr>
        <w:pStyle w:val="TdocText"/>
        <w:rPr>
          <w:lang w:eastAsia="zh-CN"/>
        </w:rPr>
      </w:pPr>
      <w:r w:rsidRPr="00073E3D">
        <w:rPr>
          <w:lang w:eastAsia="zh-CN"/>
        </w:rPr>
        <w:t xml:space="preserve">In this contribution, we discussed </w:t>
      </w:r>
      <w:r w:rsidR="00B83B95">
        <w:rPr>
          <w:lang w:eastAsia="zh-CN"/>
        </w:rPr>
        <w:t xml:space="preserve">consideration on </w:t>
      </w:r>
      <w:r w:rsidR="00943663" w:rsidRPr="00A35853">
        <w:rPr>
          <w:lang w:eastAsia="zh-CN"/>
        </w:rPr>
        <w:t xml:space="preserve">UE-group WUS for </w:t>
      </w:r>
      <w:r w:rsidR="00167944">
        <w:rPr>
          <w:lang w:eastAsia="zh-CN"/>
        </w:rPr>
        <w:t>NB-IoT</w:t>
      </w:r>
      <w:r w:rsidR="00167944" w:rsidRPr="00A35853">
        <w:rPr>
          <w:lang w:eastAsia="zh-CN"/>
        </w:rPr>
        <w:t xml:space="preserve"> </w:t>
      </w:r>
      <w:r w:rsidR="00943663" w:rsidRPr="00A35853">
        <w:rPr>
          <w:lang w:eastAsia="zh-CN"/>
        </w:rPr>
        <w:t>devices in Rel-16</w:t>
      </w:r>
      <w:r w:rsidR="00C87BD0">
        <w:rPr>
          <w:lang w:eastAsia="zh-CN"/>
        </w:rPr>
        <w:t xml:space="preserve">. </w:t>
      </w:r>
      <w:r w:rsidRPr="00073E3D">
        <w:rPr>
          <w:lang w:eastAsia="zh-CN"/>
        </w:rPr>
        <w:t>Our proposals are summarized as below:</w:t>
      </w:r>
    </w:p>
    <w:p w14:paraId="08692848" w14:textId="77777777" w:rsidR="00E608EB" w:rsidRPr="006A10E4" w:rsidRDefault="00E608EB" w:rsidP="00366D26"/>
    <w:p w14:paraId="3A2897E7" w14:textId="19B27CCE" w:rsidR="00854600" w:rsidRPr="00A57355" w:rsidRDefault="00854600" w:rsidP="00854600">
      <w:pPr>
        <w:pStyle w:val="TdocProposal"/>
      </w:pPr>
      <w:r>
        <w:t xml:space="preserve">Proposal </w:t>
      </w:r>
      <w:r w:rsidR="00196175">
        <w:t>1</w:t>
      </w:r>
      <w:r w:rsidRPr="00A57355">
        <w:t>:</w:t>
      </w:r>
    </w:p>
    <w:p w14:paraId="55AD4DC7" w14:textId="77777777" w:rsidR="00524994" w:rsidRDefault="001D6016" w:rsidP="00854600">
      <w:pPr>
        <w:pStyle w:val="TdocProposalText"/>
      </w:pPr>
      <w:r>
        <w:t>T</w:t>
      </w:r>
      <w:r w:rsidRPr="00E42140">
        <w:t xml:space="preserve">DM </w:t>
      </w:r>
      <w:r>
        <w:t xml:space="preserve">is used </w:t>
      </w:r>
      <w:r w:rsidRPr="00E42140">
        <w:t xml:space="preserve">to </w:t>
      </w:r>
      <w:r>
        <w:t>multiplex Rel-16 WUS and the legacy Rel-15 WUS transmissions.</w:t>
      </w:r>
    </w:p>
    <w:p w14:paraId="4FA2A2B6" w14:textId="748D9C10" w:rsidR="00854600" w:rsidRDefault="00854600" w:rsidP="00854600">
      <w:pPr>
        <w:pStyle w:val="TdocProposalText"/>
      </w:pPr>
      <w:r w:rsidRPr="00E42140">
        <w:t xml:space="preserve">Support </w:t>
      </w:r>
      <w:r>
        <w:t>single sequence C</w:t>
      </w:r>
      <w:r w:rsidRPr="00E42140">
        <w:t xml:space="preserve">DM to </w:t>
      </w:r>
      <w:r>
        <w:t>multiplex Rel-16 WUS transmissions</w:t>
      </w:r>
      <w:r w:rsidRPr="00E42140" w:rsidDel="000F25FA">
        <w:t xml:space="preserve"> </w:t>
      </w:r>
    </w:p>
    <w:p w14:paraId="5C689713" w14:textId="77777777" w:rsidR="00196175" w:rsidRDefault="00196175" w:rsidP="00196175"/>
    <w:p w14:paraId="33789B87" w14:textId="5093A5F6" w:rsidR="00196175" w:rsidRDefault="00196175" w:rsidP="00196175">
      <w:pPr>
        <w:pStyle w:val="TdocProposal"/>
      </w:pPr>
      <w:r>
        <w:t>Proposal 2</w:t>
      </w:r>
      <w:r w:rsidRPr="00A57355">
        <w:t>:</w:t>
      </w:r>
    </w:p>
    <w:p w14:paraId="34F36BE6" w14:textId="77777777" w:rsidR="00196175" w:rsidRPr="00E42140" w:rsidRDefault="00196175" w:rsidP="00196175">
      <w:pPr>
        <w:pStyle w:val="TdocProposalText"/>
      </w:pPr>
      <w:r w:rsidRPr="00E42140">
        <w:t xml:space="preserve">Max number of UE groups is </w:t>
      </w:r>
      <w:r>
        <w:t>4</w:t>
      </w:r>
      <w:r w:rsidRPr="00E42140">
        <w:t>.</w:t>
      </w:r>
    </w:p>
    <w:p w14:paraId="2B7AD94F" w14:textId="77777777" w:rsidR="00073570" w:rsidRDefault="00073570" w:rsidP="00366D26"/>
    <w:p w14:paraId="0095FD1B" w14:textId="77777777" w:rsidR="00854600" w:rsidRDefault="00854600" w:rsidP="00854600">
      <w:pPr>
        <w:pStyle w:val="TdocProposal"/>
      </w:pPr>
      <w:r>
        <w:t>Proposal 3:</w:t>
      </w:r>
    </w:p>
    <w:p w14:paraId="151B993A" w14:textId="77777777" w:rsidR="00854600" w:rsidRDefault="00854600" w:rsidP="00854600">
      <w:pPr>
        <w:pStyle w:val="TdocProposalText"/>
      </w:pPr>
      <w:r>
        <w:t xml:space="preserve">UE-group WUS sequence generation in Rel-16 is based on </w:t>
      </w:r>
      <w:r w:rsidRPr="00FD7E66">
        <w:rPr>
          <w:position w:val="-14"/>
        </w:rPr>
        <w:object w:dxaOrig="499" w:dyaOrig="400" w14:anchorId="66714800">
          <v:shape id="_x0000_i1044" type="#_x0000_t75" style="width:25.2pt;height:20.4pt" o:ole="">
            <v:imagedata r:id="rId16" o:title=""/>
          </v:shape>
          <o:OLEObject Type="Embed" ProgID="Equation.DSMT4" ShapeID="_x0000_i1044" DrawAspect="Content" ObjectID="_1611784929" r:id="rId44"/>
        </w:object>
      </w:r>
      <w:r>
        <w:t xml:space="preserve"> times longer RE-level scrambling Gold sequence, where </w:t>
      </w:r>
      <w:r w:rsidRPr="008F379D">
        <w:rPr>
          <w:position w:val="-14"/>
        </w:rPr>
        <w:object w:dxaOrig="499" w:dyaOrig="400" w14:anchorId="22E4182B">
          <v:shape id="_x0000_i1045" type="#_x0000_t75" style="width:25.2pt;height:20.4pt" o:ole="">
            <v:imagedata r:id="rId16" o:title=""/>
          </v:shape>
          <o:OLEObject Type="Embed" ProgID="Equation.DSMT4" ShapeID="_x0000_i1045" DrawAspect="Content" ObjectID="_1611784930" r:id="rId45"/>
        </w:object>
      </w:r>
      <w:r>
        <w:t xml:space="preserve"> is the total number of UE groups (including legacy Rel-15 UEs).</w:t>
      </w:r>
    </w:p>
    <w:p w14:paraId="5ED2042F" w14:textId="77777777" w:rsidR="00854600" w:rsidRDefault="00854600" w:rsidP="00854600">
      <w:pPr>
        <w:pStyle w:val="TdocProposalText"/>
      </w:pPr>
      <w:r>
        <w:t>The initialization value for the long Gold scrambling sequence is reused from Rel-15.</w:t>
      </w:r>
    </w:p>
    <w:p w14:paraId="39F77AAB" w14:textId="77777777" w:rsidR="00854600" w:rsidRPr="001C3A5F" w:rsidRDefault="00854600" w:rsidP="00854600">
      <w:pPr>
        <w:pStyle w:val="TdocProposalText"/>
      </w:pPr>
      <w:r>
        <w:t xml:space="preserve">The UE-group WUS sequence is a shorter subsequence from the long Gold scrambling sequence defined by the UE group index </w:t>
      </w:r>
      <w:r w:rsidRPr="00FD7E66">
        <w:rPr>
          <w:position w:val="-6"/>
        </w:rPr>
        <w:object w:dxaOrig="180" w:dyaOrig="220" w14:anchorId="2380003E">
          <v:shape id="_x0000_i1046" type="#_x0000_t75" style="width:9pt;height:11.4pt" o:ole="">
            <v:imagedata r:id="rId28" o:title=""/>
          </v:shape>
          <o:OLEObject Type="Embed" ProgID="Equation.DSMT4" ShapeID="_x0000_i1046" DrawAspect="Content" ObjectID="_1611784931" r:id="rId46"/>
        </w:object>
      </w:r>
      <w:r>
        <w:t>.</w:t>
      </w:r>
    </w:p>
    <w:p w14:paraId="537F621D" w14:textId="77777777" w:rsidR="00C67851" w:rsidRDefault="00C67851"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19" w:name="_Ref513808269"/>
      <w:r w:rsidRPr="00BF183C">
        <w:t>RP-181450, “Rel-16 MTC enhancements for LTE”, Ericsson, 3GPP TSG RAN meeting #80, La Jolla, USA, June 2018</w:t>
      </w:r>
      <w:r w:rsidR="00700053" w:rsidRPr="00BF183C">
        <w:t>.</w:t>
      </w:r>
      <w:bookmarkEnd w:id="19"/>
    </w:p>
    <w:p w14:paraId="16B06919" w14:textId="2AA4186E" w:rsidR="006178BC" w:rsidRDefault="006178BC" w:rsidP="00BF183C">
      <w:pPr>
        <w:pStyle w:val="TdocReference"/>
      </w:pPr>
      <w:bookmarkStart w:id="20" w:name="_Ref525477075"/>
      <w:r w:rsidRPr="00BF183C">
        <w:t>RAN1 Chairman’s Notes. 3GPP TSG RAN WG1 Meeting #</w:t>
      </w:r>
      <w:r w:rsidR="00B47FA9" w:rsidRPr="00BF183C">
        <w:t>9</w:t>
      </w:r>
      <w:r w:rsidR="00B47FA9">
        <w:t>5</w:t>
      </w:r>
      <w:r w:rsidRPr="00BF183C">
        <w:t xml:space="preserve">, </w:t>
      </w:r>
      <w:r w:rsidR="00B47FA9">
        <w:t>Spokane</w:t>
      </w:r>
      <w:r w:rsidRPr="00BF183C">
        <w:t xml:space="preserve">, </w:t>
      </w:r>
      <w:r w:rsidR="00B47FA9">
        <w:t>USA</w:t>
      </w:r>
      <w:r w:rsidRPr="00BF183C">
        <w:t xml:space="preserve">, </w:t>
      </w:r>
      <w:r w:rsidR="00B47FA9">
        <w:t>November</w:t>
      </w:r>
      <w:r w:rsidR="00B47FA9" w:rsidRPr="00BF183C">
        <w:t xml:space="preserve"> </w:t>
      </w:r>
      <w:r w:rsidR="00644BDC">
        <w:t>12</w:t>
      </w:r>
      <w:r w:rsidRPr="00495855">
        <w:rPr>
          <w:vertAlign w:val="superscript"/>
        </w:rPr>
        <w:t>th</w:t>
      </w:r>
      <w:r w:rsidR="00B47FA9">
        <w:t>-16th</w:t>
      </w:r>
      <w:r w:rsidRPr="00BF183C">
        <w:t>, 2018.</w:t>
      </w:r>
      <w:bookmarkEnd w:id="20"/>
    </w:p>
    <w:p w14:paraId="4B71526B" w14:textId="008572CA" w:rsidR="00360253" w:rsidRDefault="00360253" w:rsidP="00360253">
      <w:pPr>
        <w:pStyle w:val="TdocReference"/>
      </w:pPr>
      <w:bookmarkStart w:id="21" w:name="_Ref525558335"/>
      <w:r w:rsidRPr="00360253">
        <w:t>3GPP TS 36.211</w:t>
      </w:r>
      <w:r>
        <w:t xml:space="preserve">. </w:t>
      </w:r>
      <w:r w:rsidRPr="00360253">
        <w:t>V15.2.0</w:t>
      </w:r>
      <w:r>
        <w:t xml:space="preserve">. Evolved Universal Terrestrial Radio Access (E-UTRA); Physical channels and modulation (Release 15). </w:t>
      </w:r>
      <w:r w:rsidRPr="00360253">
        <w:t>2018-06</w:t>
      </w:r>
      <w:r>
        <w:t>.</w:t>
      </w:r>
      <w:bookmarkEnd w:id="21"/>
    </w:p>
    <w:p w14:paraId="734454A9" w14:textId="767260AD" w:rsidR="00196175" w:rsidRPr="00BF183C" w:rsidRDefault="00196175" w:rsidP="00196175">
      <w:pPr>
        <w:pStyle w:val="TdocReference"/>
      </w:pPr>
      <w:bookmarkStart w:id="22" w:name="_Ref1150870"/>
      <w:r>
        <w:lastRenderedPageBreak/>
        <w:t>R1-</w:t>
      </w:r>
      <w:r w:rsidRPr="00196175">
        <w:t>1812127</w:t>
      </w:r>
      <w:r>
        <w:t>, “</w:t>
      </w:r>
      <w:r w:rsidRPr="00196175">
        <w:t>UE-group wake-up signal in NB-IoT</w:t>
      </w:r>
      <w:r>
        <w:t xml:space="preserve">”, Ericsson, </w:t>
      </w:r>
      <w:r w:rsidRPr="00BF183C">
        <w:t>3GPP TSG RAN WG1 Meeting #9</w:t>
      </w:r>
      <w:r>
        <w:t>5</w:t>
      </w:r>
      <w:r w:rsidRPr="00BF183C">
        <w:t xml:space="preserve">, </w:t>
      </w:r>
      <w:r>
        <w:t>Spokane</w:t>
      </w:r>
      <w:r w:rsidRPr="00BF183C">
        <w:t xml:space="preserve">, </w:t>
      </w:r>
      <w:r>
        <w:t>USA</w:t>
      </w:r>
      <w:r w:rsidRPr="00BF183C">
        <w:t xml:space="preserve">, </w:t>
      </w:r>
      <w:r>
        <w:t>November</w:t>
      </w:r>
      <w:r w:rsidRPr="00BF183C">
        <w:t xml:space="preserve"> </w:t>
      </w:r>
      <w:r>
        <w:t>12</w:t>
      </w:r>
      <w:r w:rsidRPr="00385C8B">
        <w:rPr>
          <w:vertAlign w:val="superscript"/>
        </w:rPr>
        <w:t>th</w:t>
      </w:r>
      <w:r>
        <w:t>-16th</w:t>
      </w:r>
      <w:r w:rsidRPr="00BF183C">
        <w:t>, 2018.</w:t>
      </w:r>
      <w:bookmarkEnd w:id="22"/>
    </w:p>
    <w:p w14:paraId="4DBBAB6F" w14:textId="77777777" w:rsidR="00700053" w:rsidRPr="00700053" w:rsidRDefault="00700053" w:rsidP="00700053">
      <w:pPr>
        <w:rPr>
          <w:i/>
        </w:rPr>
      </w:pPr>
    </w:p>
    <w:sectPr w:rsidR="00700053" w:rsidRPr="00700053" w:rsidSect="00D86B37">
      <w:headerReference w:type="even" r:id="rId47"/>
      <w:footerReference w:type="even" r:id="rId48"/>
      <w:footerReference w:type="default" r:id="rId4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A8482" w14:textId="77777777" w:rsidR="004D7320" w:rsidRDefault="004D7320">
      <w:r>
        <w:separator/>
      </w:r>
    </w:p>
  </w:endnote>
  <w:endnote w:type="continuationSeparator" w:id="0">
    <w:p w14:paraId="6637309C" w14:textId="77777777" w:rsidR="004D7320" w:rsidRDefault="004D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E06E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06E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EF761" w14:textId="77777777" w:rsidR="004D7320" w:rsidRDefault="004D7320">
      <w:r>
        <w:separator/>
      </w:r>
    </w:p>
  </w:footnote>
  <w:footnote w:type="continuationSeparator" w:id="0">
    <w:p w14:paraId="4DDAF448" w14:textId="77777777" w:rsidR="004D7320" w:rsidRDefault="004D7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2"/>
  </w:num>
  <w:num w:numId="5">
    <w:abstractNumId w:val="6"/>
  </w:num>
  <w:num w:numId="6">
    <w:abstractNumId w:val="1"/>
  </w:num>
  <w:num w:numId="7">
    <w:abstractNumId w:val="11"/>
  </w:num>
  <w:num w:numId="8">
    <w:abstractNumId w:val="10"/>
  </w:num>
  <w:num w:numId="9">
    <w:abstractNumId w:val="7"/>
  </w:num>
  <w:num w:numId="10">
    <w:abstractNumId w:val="13"/>
  </w:num>
  <w:num w:numId="11">
    <w:abstractNumId w:val="8"/>
  </w:num>
  <w:num w:numId="12">
    <w:abstractNumId w:val="8"/>
  </w:num>
  <w:num w:numId="13">
    <w:abstractNumId w:val="9"/>
  </w:num>
  <w:num w:numId="1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07F37"/>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1D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4D19"/>
    <w:rsid w:val="00095671"/>
    <w:rsid w:val="00095920"/>
    <w:rsid w:val="00095F47"/>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785"/>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5FA"/>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D3"/>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944"/>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17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8D2"/>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39B"/>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016"/>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38E"/>
    <w:rsid w:val="0024174E"/>
    <w:rsid w:val="00241C7B"/>
    <w:rsid w:val="00241FA4"/>
    <w:rsid w:val="002421F2"/>
    <w:rsid w:val="00242B2A"/>
    <w:rsid w:val="00242CAE"/>
    <w:rsid w:val="00243ACD"/>
    <w:rsid w:val="00243DCC"/>
    <w:rsid w:val="00244000"/>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5CF"/>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0BF2"/>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5D5"/>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37C"/>
    <w:rsid w:val="003567C9"/>
    <w:rsid w:val="00356BE8"/>
    <w:rsid w:val="00356CEC"/>
    <w:rsid w:val="00356E66"/>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133"/>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B3"/>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2C1"/>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15"/>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36C"/>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50"/>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5855"/>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6E0A"/>
    <w:rsid w:val="004D710C"/>
    <w:rsid w:val="004D7320"/>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48E0"/>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99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993"/>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9BA"/>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40D5"/>
    <w:rsid w:val="005A4999"/>
    <w:rsid w:val="005A4E38"/>
    <w:rsid w:val="005A50CE"/>
    <w:rsid w:val="005A5313"/>
    <w:rsid w:val="005A588D"/>
    <w:rsid w:val="005A59CF"/>
    <w:rsid w:val="005A6A3A"/>
    <w:rsid w:val="005A6FA1"/>
    <w:rsid w:val="005A7555"/>
    <w:rsid w:val="005A7F72"/>
    <w:rsid w:val="005B032F"/>
    <w:rsid w:val="005B095C"/>
    <w:rsid w:val="005B0A63"/>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6F37"/>
    <w:rsid w:val="005D75D7"/>
    <w:rsid w:val="005D7741"/>
    <w:rsid w:val="005D7E04"/>
    <w:rsid w:val="005E0082"/>
    <w:rsid w:val="005E033D"/>
    <w:rsid w:val="005E06E9"/>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4C11"/>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620"/>
    <w:rsid w:val="00642D10"/>
    <w:rsid w:val="00643769"/>
    <w:rsid w:val="006437A9"/>
    <w:rsid w:val="00643973"/>
    <w:rsid w:val="00644102"/>
    <w:rsid w:val="00644200"/>
    <w:rsid w:val="0064428B"/>
    <w:rsid w:val="00644511"/>
    <w:rsid w:val="0064486C"/>
    <w:rsid w:val="00644BA9"/>
    <w:rsid w:val="00644BDC"/>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B8F"/>
    <w:rsid w:val="00657F67"/>
    <w:rsid w:val="006601F9"/>
    <w:rsid w:val="006602D1"/>
    <w:rsid w:val="006605DC"/>
    <w:rsid w:val="0066159B"/>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67C2E"/>
    <w:rsid w:val="00670119"/>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DB5"/>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2F9"/>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4B"/>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67A34"/>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0A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82E"/>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CDA"/>
    <w:rsid w:val="00796F91"/>
    <w:rsid w:val="0079775A"/>
    <w:rsid w:val="00797DAA"/>
    <w:rsid w:val="00797FCF"/>
    <w:rsid w:val="007A0616"/>
    <w:rsid w:val="007A089E"/>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244"/>
    <w:rsid w:val="0085130C"/>
    <w:rsid w:val="00851B22"/>
    <w:rsid w:val="008521C5"/>
    <w:rsid w:val="00852338"/>
    <w:rsid w:val="00852CA7"/>
    <w:rsid w:val="00852F3B"/>
    <w:rsid w:val="00853B2A"/>
    <w:rsid w:val="00853C45"/>
    <w:rsid w:val="00854075"/>
    <w:rsid w:val="00854090"/>
    <w:rsid w:val="008540E5"/>
    <w:rsid w:val="008545D6"/>
    <w:rsid w:val="00854600"/>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4D25"/>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C93"/>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2E75"/>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3B15"/>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6D6D"/>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25A"/>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47030"/>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C87"/>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5F84"/>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120"/>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9"/>
    <w:rsid w:val="00A31E88"/>
    <w:rsid w:val="00A321EE"/>
    <w:rsid w:val="00A325C2"/>
    <w:rsid w:val="00A325CC"/>
    <w:rsid w:val="00A327E2"/>
    <w:rsid w:val="00A32C37"/>
    <w:rsid w:val="00A32D52"/>
    <w:rsid w:val="00A33C3D"/>
    <w:rsid w:val="00A33C9E"/>
    <w:rsid w:val="00A34334"/>
    <w:rsid w:val="00A35735"/>
    <w:rsid w:val="00A35853"/>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166"/>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93B"/>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11E"/>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528"/>
    <w:rsid w:val="00AB57AD"/>
    <w:rsid w:val="00AB583A"/>
    <w:rsid w:val="00AB5F9A"/>
    <w:rsid w:val="00AB642C"/>
    <w:rsid w:val="00AB675F"/>
    <w:rsid w:val="00AB7134"/>
    <w:rsid w:val="00AB76D5"/>
    <w:rsid w:val="00AB7787"/>
    <w:rsid w:val="00AB78AC"/>
    <w:rsid w:val="00AC0816"/>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2D"/>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0D"/>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BBB"/>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47FA9"/>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37A"/>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2E90"/>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3D9A"/>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642"/>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9B5"/>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70B"/>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6E71"/>
    <w:rsid w:val="00C67231"/>
    <w:rsid w:val="00C6737D"/>
    <w:rsid w:val="00C67851"/>
    <w:rsid w:val="00C7040D"/>
    <w:rsid w:val="00C70B8C"/>
    <w:rsid w:val="00C71468"/>
    <w:rsid w:val="00C71DCC"/>
    <w:rsid w:val="00C72045"/>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9EF"/>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E7A1D"/>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72"/>
    <w:rsid w:val="00CF6C9A"/>
    <w:rsid w:val="00CF6F64"/>
    <w:rsid w:val="00CF7CCF"/>
    <w:rsid w:val="00D00522"/>
    <w:rsid w:val="00D00B22"/>
    <w:rsid w:val="00D00E6A"/>
    <w:rsid w:val="00D017EE"/>
    <w:rsid w:val="00D0182B"/>
    <w:rsid w:val="00D0186E"/>
    <w:rsid w:val="00D01C73"/>
    <w:rsid w:val="00D02369"/>
    <w:rsid w:val="00D02C36"/>
    <w:rsid w:val="00D02E17"/>
    <w:rsid w:val="00D04304"/>
    <w:rsid w:val="00D043E7"/>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385"/>
    <w:rsid w:val="00D15387"/>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6E2"/>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860"/>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4E0"/>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6F20"/>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2F81"/>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08"/>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959"/>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82"/>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42C"/>
    <w:rsid w:val="00E746C8"/>
    <w:rsid w:val="00E7476B"/>
    <w:rsid w:val="00E74B5A"/>
    <w:rsid w:val="00E74DDD"/>
    <w:rsid w:val="00E74FA5"/>
    <w:rsid w:val="00E7524F"/>
    <w:rsid w:val="00E7556D"/>
    <w:rsid w:val="00E75616"/>
    <w:rsid w:val="00E756FB"/>
    <w:rsid w:val="00E75A6B"/>
    <w:rsid w:val="00E75C0F"/>
    <w:rsid w:val="00E75F9B"/>
    <w:rsid w:val="00E76141"/>
    <w:rsid w:val="00E76270"/>
    <w:rsid w:val="00E76316"/>
    <w:rsid w:val="00E76ED7"/>
    <w:rsid w:val="00E77040"/>
    <w:rsid w:val="00E770E1"/>
    <w:rsid w:val="00E773D4"/>
    <w:rsid w:val="00E7797B"/>
    <w:rsid w:val="00E77B21"/>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4D55"/>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3E8"/>
    <w:rsid w:val="00F03466"/>
    <w:rsid w:val="00F0388F"/>
    <w:rsid w:val="00F03891"/>
    <w:rsid w:val="00F03E80"/>
    <w:rsid w:val="00F04551"/>
    <w:rsid w:val="00F04D11"/>
    <w:rsid w:val="00F04D51"/>
    <w:rsid w:val="00F04F3E"/>
    <w:rsid w:val="00F04F98"/>
    <w:rsid w:val="00F0522E"/>
    <w:rsid w:val="00F05A6F"/>
    <w:rsid w:val="00F05CA2"/>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7B4"/>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9A"/>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E58"/>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ind w:left="714" w:hanging="357"/>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table" w:customStyle="1" w:styleId="TableGrid1">
    <w:name w:val="Table Grid1"/>
    <w:basedOn w:val="TableNormal"/>
    <w:next w:val="TableGrid"/>
    <w:uiPriority w:val="39"/>
    <w:rsid w:val="00657B8F"/>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516745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vsdx"/><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oleObject" Target="embeddings/oleObject20.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package" Target="embeddings/Microsoft_Visio_Drawing22.vsdx"/><Relationship Id="rId40" Type="http://schemas.openxmlformats.org/officeDocument/2006/relationships/image" Target="media/image13.emf"/><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emf"/><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A6228"/>
    <w:rsid w:val="002D53E2"/>
    <w:rsid w:val="002F0A35"/>
    <w:rsid w:val="002F5FAA"/>
    <w:rsid w:val="002F657B"/>
    <w:rsid w:val="00321E54"/>
    <w:rsid w:val="00337705"/>
    <w:rsid w:val="0037553D"/>
    <w:rsid w:val="003900AA"/>
    <w:rsid w:val="003C59B3"/>
    <w:rsid w:val="003E4262"/>
    <w:rsid w:val="003F2210"/>
    <w:rsid w:val="003F66E1"/>
    <w:rsid w:val="00407E31"/>
    <w:rsid w:val="00476617"/>
    <w:rsid w:val="0048152C"/>
    <w:rsid w:val="0048598D"/>
    <w:rsid w:val="004977CB"/>
    <w:rsid w:val="004B7469"/>
    <w:rsid w:val="004F291A"/>
    <w:rsid w:val="004F2C80"/>
    <w:rsid w:val="00570372"/>
    <w:rsid w:val="005753F5"/>
    <w:rsid w:val="005A26C6"/>
    <w:rsid w:val="005A450D"/>
    <w:rsid w:val="005B4ABE"/>
    <w:rsid w:val="00663B7E"/>
    <w:rsid w:val="006D12F2"/>
    <w:rsid w:val="007458D0"/>
    <w:rsid w:val="00776A9A"/>
    <w:rsid w:val="007A0D38"/>
    <w:rsid w:val="008179CE"/>
    <w:rsid w:val="00821D80"/>
    <w:rsid w:val="00844EC5"/>
    <w:rsid w:val="0087561F"/>
    <w:rsid w:val="00886685"/>
    <w:rsid w:val="008B0D2C"/>
    <w:rsid w:val="008B41F5"/>
    <w:rsid w:val="008C2918"/>
    <w:rsid w:val="008D2A6A"/>
    <w:rsid w:val="008E7FF0"/>
    <w:rsid w:val="0091228F"/>
    <w:rsid w:val="00943380"/>
    <w:rsid w:val="0095350A"/>
    <w:rsid w:val="00997A41"/>
    <w:rsid w:val="009E096C"/>
    <w:rsid w:val="009F1421"/>
    <w:rsid w:val="00A06413"/>
    <w:rsid w:val="00A36DF4"/>
    <w:rsid w:val="00A51F59"/>
    <w:rsid w:val="00AF095E"/>
    <w:rsid w:val="00B37061"/>
    <w:rsid w:val="00B51BF0"/>
    <w:rsid w:val="00B551EC"/>
    <w:rsid w:val="00B7228A"/>
    <w:rsid w:val="00BB2454"/>
    <w:rsid w:val="00BC1075"/>
    <w:rsid w:val="00BF1A13"/>
    <w:rsid w:val="00BF62C2"/>
    <w:rsid w:val="00C26E16"/>
    <w:rsid w:val="00CA564B"/>
    <w:rsid w:val="00D5690D"/>
    <w:rsid w:val="00DA6126"/>
    <w:rsid w:val="00DE6291"/>
    <w:rsid w:val="00E01672"/>
    <w:rsid w:val="00E56570"/>
    <w:rsid w:val="00E61BA5"/>
    <w:rsid w:val="00E6725E"/>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B68A9D-1002-4947-91A8-64516DF691F0}">
  <ds:schemaRefs>
    <ds:schemaRef ds:uri="http://schemas.openxmlformats.org/officeDocument/2006/bibliography"/>
  </ds:schemaRefs>
</ds:datastoreItem>
</file>

<file path=customXml/itemProps5.xml><?xml version="1.0" encoding="utf-8"?>
<ds:datastoreItem xmlns:ds="http://schemas.openxmlformats.org/officeDocument/2006/customXml" ds:itemID="{AF972945-6045-46C1-A915-3F421E701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6</Pages>
  <Words>1456</Words>
  <Characters>7633</Characters>
  <Application>Microsoft Office Word</Application>
  <DocSecurity>0</DocSecurity>
  <Lines>149</Lines>
  <Paragraphs>104</Paragraphs>
  <ScaleCrop>false</ScaleCrop>
  <HeadingPairs>
    <vt:vector size="2" baseType="variant">
      <vt:variant>
        <vt:lpstr>Title</vt:lpstr>
      </vt:variant>
      <vt:variant>
        <vt:i4>1</vt:i4>
      </vt:variant>
    </vt:vector>
  </HeadingPairs>
  <TitlesOfParts>
    <vt:vector size="1" baseType="lpstr">
      <vt:lpstr>UE-group wake-up signal for NB-IoT</vt:lpstr>
    </vt:vector>
  </TitlesOfParts>
  <Company>Intel</Company>
  <LinksUpToDate>false</LinksUpToDate>
  <CharactersWithSpaces>8985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NB-IoT</dc:title>
  <dc:subject>R1-1902457</dc:subject>
  <dc:creator>Morozov, Gregory</dc:creator>
  <cp:keywords>CTPClassification=CTP_PUBLIC:VisualMarkings=, CTPClassification=CTP_NT</cp:keywords>
  <dc:description>Athens, Greece, 25th February – 1st March, 2018</dc:description>
  <cp:lastModifiedBy>Intel</cp:lastModifiedBy>
  <cp:revision>2</cp:revision>
  <cp:lastPrinted>2011-11-09T22:49:00Z</cp:lastPrinted>
  <dcterms:created xsi:type="dcterms:W3CDTF">2019-02-16T07:20:00Z</dcterms:created>
  <dcterms:modified xsi:type="dcterms:W3CDTF">2019-02-16T07:20:00Z</dcterms:modified>
  <cp:category>#96</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b6a82d13-f655-4da1-a964-fe0c6da53e17</vt:lpwstr>
  </property>
  <property fmtid="{D5CDD505-2E9C-101B-9397-08002B2CF9AE}" pid="4" name="CTP_TimeStamp">
    <vt:lpwstr>2019-02-16 06:48:20Z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