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742D17AE" w:rsidR="007F637A" w:rsidRPr="00FD3DDC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2D3C0D">
        <w:rPr>
          <w:rFonts w:ascii="Arial" w:hAnsi="Arial" w:cs="Arial"/>
          <w:b/>
          <w:sz w:val="24"/>
          <w:szCs w:val="24"/>
        </w:rPr>
        <w:t>6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2D3C0D">
        <w:rPr>
          <w:rFonts w:ascii="Arial" w:hAnsi="Arial" w:cs="Arial"/>
          <w:b/>
          <w:sz w:val="24"/>
          <w:szCs w:val="24"/>
        </w:rPr>
        <w:t>190</w:t>
      </w:r>
      <w:r w:rsidR="00CB5142">
        <w:rPr>
          <w:rFonts w:ascii="Arial" w:hAnsi="Arial" w:cs="Arial"/>
          <w:b/>
          <w:sz w:val="24"/>
          <w:szCs w:val="24"/>
        </w:rPr>
        <w:t>2373</w:t>
      </w:r>
    </w:p>
    <w:p w14:paraId="7B06AEC4" w14:textId="036F84EC" w:rsidR="007F637A" w:rsidRDefault="002D3C0D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</w:t>
      </w:r>
      <w:r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February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</w:t>
      </w:r>
      <w:r w:rsidRPr="00FD3DDC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March </w:t>
      </w:r>
      <w:r w:rsidR="00FD3DDC">
        <w:rPr>
          <w:rFonts w:ascii="Arial" w:hAnsi="Arial" w:cs="Arial"/>
          <w:b/>
          <w:sz w:val="24"/>
          <w:szCs w:val="24"/>
        </w:rPr>
        <w:t>2019</w:t>
      </w:r>
    </w:p>
    <w:p w14:paraId="4A6B87B1" w14:textId="1EFA327A" w:rsidR="007F637A" w:rsidRPr="00FD021C" w:rsidRDefault="002D3C0D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val="en-US" w:eastAsia="zh-CN"/>
        </w:rPr>
        <w:t>Athens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Greece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794458F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</w:t>
      </w:r>
      <w:r w:rsidR="00BA445D">
        <w:rPr>
          <w:sz w:val="22"/>
          <w:szCs w:val="22"/>
          <w:lang w:val="sv-FI"/>
        </w:rPr>
        <w:t>8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12B06C67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D056D0">
        <w:rPr>
          <w:sz w:val="22"/>
          <w:szCs w:val="22"/>
        </w:rPr>
        <w:t>Use of control region</w:t>
      </w:r>
      <w:r w:rsidR="00FA0631" w:rsidRPr="00FA0631">
        <w:rPr>
          <w:sz w:val="22"/>
          <w:szCs w:val="22"/>
        </w:rPr>
        <w:t xml:space="preserve"> </w:t>
      </w:r>
      <w:r w:rsidR="00D056D0">
        <w:rPr>
          <w:sz w:val="22"/>
          <w:szCs w:val="22"/>
        </w:rPr>
        <w:t xml:space="preserve">for </w:t>
      </w:r>
      <w:proofErr w:type="spellStart"/>
      <w:r w:rsidR="00D056D0">
        <w:rPr>
          <w:sz w:val="22"/>
          <w:szCs w:val="22"/>
        </w:rPr>
        <w:t>eMTC</w:t>
      </w:r>
      <w:proofErr w:type="spellEnd"/>
      <w:r w:rsidR="00D056D0">
        <w:rPr>
          <w:sz w:val="22"/>
          <w:szCs w:val="22"/>
        </w:rPr>
        <w:t xml:space="preserve"> UEs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9A74535" w14:textId="188AC7EE" w:rsidR="003C43C6" w:rsidRPr="00FA0631" w:rsidRDefault="003C43C6" w:rsidP="003C43C6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In RAN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1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#</w:t>
      </w:r>
      <w:r w:rsidR="002D3C0D">
        <w:rPr>
          <w:rFonts w:eastAsia="Batang"/>
          <w:snapToGrid w:val="0"/>
          <w:kern w:val="2"/>
          <w:sz w:val="22"/>
          <w:szCs w:val="22"/>
          <w:lang w:eastAsia="ko-KR"/>
        </w:rPr>
        <w:t xml:space="preserve">95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meeting, the following agreements for using LTE control region for DL transmission were achieved [</w:t>
      </w:r>
      <w:r w:rsidR="00A60814">
        <w:rPr>
          <w:rFonts w:eastAsia="Batang"/>
          <w:snapToGrid w:val="0"/>
          <w:kern w:val="2"/>
          <w:sz w:val="22"/>
          <w:szCs w:val="22"/>
          <w:lang w:eastAsia="ko-KR"/>
        </w:rPr>
        <w:t>1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]. </w:t>
      </w:r>
    </w:p>
    <w:p w14:paraId="62439AE8" w14:textId="58ED71F2" w:rsidR="003C43C6" w:rsidRDefault="003C43C6" w:rsidP="003C43C6">
      <w:pPr>
        <w:rPr>
          <w:sz w:val="18"/>
          <w:lang w:eastAsia="x-none"/>
        </w:rPr>
      </w:pPr>
    </w:p>
    <w:p w14:paraId="338EC6C5" w14:textId="77777777" w:rsidR="0014423E" w:rsidRPr="00F64705" w:rsidRDefault="0014423E" w:rsidP="0014423E">
      <w:pPr>
        <w:rPr>
          <w:b/>
          <w:sz w:val="22"/>
          <w:szCs w:val="22"/>
          <w:highlight w:val="green"/>
          <w:lang w:eastAsia="x-none"/>
        </w:rPr>
      </w:pPr>
      <w:r w:rsidRPr="00F64705">
        <w:rPr>
          <w:b/>
          <w:sz w:val="22"/>
          <w:szCs w:val="22"/>
          <w:highlight w:val="green"/>
          <w:lang w:eastAsia="x-none"/>
        </w:rPr>
        <w:t xml:space="preserve">Agreement </w:t>
      </w:r>
    </w:p>
    <w:p w14:paraId="2DFDB842" w14:textId="5BB6F944" w:rsidR="002D3C0D" w:rsidRPr="00FD3DDC" w:rsidRDefault="002D3C0D" w:rsidP="00FD3DDC">
      <w:pPr>
        <w:pStyle w:val="ListParagraph"/>
        <w:numPr>
          <w:ilvl w:val="0"/>
          <w:numId w:val="33"/>
        </w:numPr>
        <w:spacing w:after="120"/>
        <w:ind w:left="714" w:hanging="357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FD3DDC">
        <w:rPr>
          <w:rFonts w:ascii="Times New Roman" w:eastAsia="Batang" w:hAnsi="Times New Roman"/>
          <w:snapToGrid w:val="0"/>
          <w:kern w:val="2"/>
          <w:lang w:val="en-GB" w:eastAsia="ko-KR"/>
        </w:rPr>
        <w:t>LTE control channel can be used for MPDCCH that is used to schedule broadcast PDSCH channel</w:t>
      </w:r>
    </w:p>
    <w:p w14:paraId="1A129836" w14:textId="77777777" w:rsidR="002D3C0D" w:rsidRPr="00FD3DDC" w:rsidRDefault="002D3C0D" w:rsidP="00FD3DDC">
      <w:pPr>
        <w:pStyle w:val="ListParagraph"/>
        <w:numPr>
          <w:ilvl w:val="0"/>
          <w:numId w:val="33"/>
        </w:numPr>
        <w:spacing w:after="120"/>
        <w:ind w:left="714" w:hanging="357"/>
        <w:jc w:val="both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FD3DDC">
        <w:rPr>
          <w:rFonts w:ascii="Times New Roman" w:eastAsia="Batang" w:hAnsi="Times New Roman"/>
          <w:snapToGrid w:val="0"/>
          <w:kern w:val="2"/>
          <w:lang w:val="en-GB" w:eastAsia="ko-KR"/>
        </w:rPr>
        <w:t>For MPDCCH transmission in LTE control region, part of the MPDCCH are mapped into the LTE DL control region.</w:t>
      </w:r>
    </w:p>
    <w:p w14:paraId="10BC971C" w14:textId="50176BA7" w:rsidR="002D3C0D" w:rsidRPr="00FD3DDC" w:rsidRDefault="002D3C0D" w:rsidP="00FD3DDC">
      <w:pPr>
        <w:pStyle w:val="ListParagraph"/>
        <w:numPr>
          <w:ilvl w:val="0"/>
          <w:numId w:val="33"/>
        </w:numPr>
        <w:rPr>
          <w:rFonts w:eastAsia="Batang"/>
          <w:snapToGrid w:val="0"/>
          <w:kern w:val="2"/>
          <w:lang w:eastAsia="ko-KR"/>
        </w:rPr>
      </w:pPr>
      <w:r w:rsidRPr="00FD3DDC">
        <w:rPr>
          <w:rFonts w:ascii="Times New Roman" w:eastAsia="Batang" w:hAnsi="Times New Roman"/>
          <w:snapToGrid w:val="0"/>
          <w:kern w:val="2"/>
          <w:lang w:val="en-GB" w:eastAsia="ko-KR"/>
        </w:rPr>
        <w:t>For PDSCH transmission in LTE control region, rate-matching is done using legacy mapping then wrap around starting with OFDM symbol 0.</w:t>
      </w:r>
    </w:p>
    <w:p w14:paraId="294A28BD" w14:textId="77777777" w:rsidR="0014423E" w:rsidRPr="0014423E" w:rsidRDefault="0014423E" w:rsidP="0014423E">
      <w:pPr>
        <w:pStyle w:val="ListParagraph"/>
        <w:rPr>
          <w:sz w:val="18"/>
          <w:lang w:eastAsia="x-none"/>
        </w:rPr>
      </w:pPr>
      <w:bookmarkStart w:id="0" w:name="_Ref178064866"/>
    </w:p>
    <w:p w14:paraId="56AAF8D4" w14:textId="7D317E59" w:rsidR="00CB61F7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3C43C6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continue to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</w:t>
      </w:r>
      <w:r w:rsidR="002D3C0D">
        <w:rPr>
          <w:rFonts w:eastAsia="Batang"/>
          <w:snapToGrid w:val="0"/>
          <w:kern w:val="2"/>
          <w:sz w:val="22"/>
          <w:szCs w:val="22"/>
          <w:lang w:eastAsia="ko-KR"/>
        </w:rPr>
        <w:t xml:space="preserve">remaining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 xml:space="preserve">using LTE control region for DL transmission for </w:t>
      </w:r>
      <w:proofErr w:type="spellStart"/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bookmarkEnd w:id="0"/>
    <w:p w14:paraId="6085A115" w14:textId="59ECAA73" w:rsidR="004000E8" w:rsidRPr="00690821" w:rsidRDefault="00FA0631" w:rsidP="00690821">
      <w:pPr>
        <w:pStyle w:val="Heading1"/>
        <w:numPr>
          <w:ilvl w:val="0"/>
          <w:numId w:val="39"/>
        </w:numPr>
        <w:rPr>
          <w:rFonts w:eastAsia="宋体"/>
          <w:lang w:val="en-US" w:eastAsia="en-US"/>
        </w:rPr>
      </w:pPr>
      <w:r w:rsidRPr="00690821">
        <w:rPr>
          <w:rFonts w:eastAsia="宋体"/>
          <w:lang w:val="en-US" w:eastAsia="en-US"/>
        </w:rPr>
        <w:t>Discussion</w:t>
      </w:r>
    </w:p>
    <w:p w14:paraId="3B529463" w14:textId="5BC1A60F" w:rsidR="00F54278" w:rsidRPr="00F54278" w:rsidRDefault="00F54278" w:rsidP="00F54278">
      <w:pPr>
        <w:pStyle w:val="Heading2"/>
        <w:spacing w:before="120"/>
        <w:rPr>
          <w:sz w:val="28"/>
          <w:szCs w:val="28"/>
        </w:rPr>
      </w:pPr>
      <w:r w:rsidRPr="00F54278">
        <w:rPr>
          <w:sz w:val="28"/>
          <w:szCs w:val="28"/>
        </w:rPr>
        <w:t>2.</w:t>
      </w:r>
      <w:r w:rsidR="00A60814">
        <w:rPr>
          <w:sz w:val="28"/>
          <w:szCs w:val="28"/>
        </w:rPr>
        <w:t>1</w:t>
      </w:r>
      <w:r w:rsidR="00A60814" w:rsidRPr="00F54278">
        <w:rPr>
          <w:sz w:val="28"/>
          <w:szCs w:val="28"/>
        </w:rPr>
        <w:t xml:space="preserve"> </w:t>
      </w:r>
      <w:r>
        <w:rPr>
          <w:sz w:val="28"/>
          <w:szCs w:val="28"/>
        </w:rPr>
        <w:t>MPDCCH</w:t>
      </w:r>
      <w:r w:rsidR="00A60814">
        <w:rPr>
          <w:sz w:val="28"/>
          <w:szCs w:val="28"/>
        </w:rPr>
        <w:t xml:space="preserve"> RE mapping</w:t>
      </w:r>
      <w:r>
        <w:rPr>
          <w:sz w:val="28"/>
          <w:szCs w:val="28"/>
        </w:rPr>
        <w:t xml:space="preserve"> in LTE control </w:t>
      </w:r>
      <w:r w:rsidRPr="00F54278">
        <w:rPr>
          <w:rFonts w:hint="eastAsia"/>
          <w:sz w:val="28"/>
          <w:szCs w:val="28"/>
        </w:rPr>
        <w:t>region</w:t>
      </w:r>
    </w:p>
    <w:p w14:paraId="0A5DEF0B" w14:textId="75735B14" w:rsidR="00A60814" w:rsidRDefault="00CB5142" w:rsidP="00942F81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  <w:r>
        <w:rPr>
          <w:b w:val="0"/>
          <w:kern w:val="2"/>
          <w:sz w:val="22"/>
          <w:szCs w:val="22"/>
        </w:rPr>
        <w:t>According to the agreement</w:t>
      </w:r>
      <w:r w:rsidR="00A60814">
        <w:rPr>
          <w:b w:val="0"/>
          <w:kern w:val="2"/>
          <w:sz w:val="22"/>
          <w:szCs w:val="22"/>
        </w:rPr>
        <w:t xml:space="preserve">, part of MPDCCH are mapped into the LTE control region when LTE control region is used for MPDCCH. There could be several different options </w:t>
      </w:r>
      <w:r>
        <w:rPr>
          <w:b w:val="0"/>
          <w:kern w:val="2"/>
          <w:sz w:val="22"/>
          <w:szCs w:val="22"/>
        </w:rPr>
        <w:t>on</w:t>
      </w:r>
      <w:r w:rsidR="00A60814">
        <w:rPr>
          <w:b w:val="0"/>
          <w:kern w:val="2"/>
          <w:sz w:val="22"/>
          <w:szCs w:val="22"/>
        </w:rPr>
        <w:t xml:space="preserve"> copying part of MPDCCH into LTE control region as shown in Figure 1-3 below.</w:t>
      </w:r>
    </w:p>
    <w:p w14:paraId="493CF5A3" w14:textId="5B4468A4" w:rsidR="003B6FD1" w:rsidRDefault="00E00588" w:rsidP="00942F81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  <w:r>
        <w:rPr>
          <w:rFonts w:hint="eastAsia"/>
          <w:b w:val="0"/>
          <w:kern w:val="2"/>
          <w:sz w:val="22"/>
          <w:szCs w:val="22"/>
        </w:rPr>
        <w:t>T</w:t>
      </w:r>
      <w:r>
        <w:rPr>
          <w:b w:val="0"/>
          <w:kern w:val="2"/>
          <w:sz w:val="22"/>
          <w:szCs w:val="22"/>
        </w:rPr>
        <w:t xml:space="preserve">he first option </w:t>
      </w:r>
      <w:r w:rsidR="00BA6E5F">
        <w:rPr>
          <w:b w:val="0"/>
          <w:kern w:val="2"/>
          <w:sz w:val="22"/>
          <w:szCs w:val="22"/>
        </w:rPr>
        <w:t xml:space="preserve">shown in Figure 1 </w:t>
      </w:r>
      <w:r>
        <w:rPr>
          <w:b w:val="0"/>
          <w:kern w:val="2"/>
          <w:sz w:val="22"/>
          <w:szCs w:val="22"/>
        </w:rPr>
        <w:t>is to copy the first X symbols</w:t>
      </w:r>
      <w:r w:rsidR="00751182">
        <w:rPr>
          <w:b w:val="0"/>
          <w:kern w:val="2"/>
          <w:sz w:val="22"/>
          <w:szCs w:val="22"/>
        </w:rPr>
        <w:t xml:space="preserve"> of data region, where X=1, 2 or 3 depends on control region size. Similarly</w:t>
      </w:r>
      <w:r w:rsidR="003B6FD1">
        <w:rPr>
          <w:b w:val="0"/>
          <w:kern w:val="2"/>
          <w:sz w:val="22"/>
          <w:szCs w:val="22"/>
        </w:rPr>
        <w:t xml:space="preserve">, </w:t>
      </w:r>
      <w:r w:rsidR="00751182">
        <w:rPr>
          <w:b w:val="0"/>
          <w:kern w:val="2"/>
          <w:sz w:val="22"/>
          <w:szCs w:val="22"/>
        </w:rPr>
        <w:t>the second option</w:t>
      </w:r>
      <w:r w:rsidR="003B6FD1">
        <w:rPr>
          <w:b w:val="0"/>
          <w:kern w:val="2"/>
          <w:sz w:val="22"/>
          <w:szCs w:val="22"/>
        </w:rPr>
        <w:t xml:space="preserve"> will copy</w:t>
      </w:r>
      <w:r w:rsidR="00751182">
        <w:rPr>
          <w:b w:val="0"/>
          <w:kern w:val="2"/>
          <w:sz w:val="22"/>
          <w:szCs w:val="22"/>
        </w:rPr>
        <w:t xml:space="preserve"> the last X symbols of data region to control region. For both options, </w:t>
      </w:r>
      <w:r w:rsidR="003B6FD1">
        <w:rPr>
          <w:b w:val="0"/>
          <w:kern w:val="2"/>
          <w:sz w:val="22"/>
          <w:szCs w:val="22"/>
        </w:rPr>
        <w:t xml:space="preserve">puncturing shall be applied for the REs that are reserved for CRS in control region, e.g. on the first and second OFDM symbols. Furthermore, </w:t>
      </w:r>
      <w:r w:rsidR="00EC3B6F">
        <w:rPr>
          <w:b w:val="0"/>
          <w:kern w:val="2"/>
          <w:sz w:val="22"/>
          <w:szCs w:val="22"/>
        </w:rPr>
        <w:t>it needs to discuss whether the RSs</w:t>
      </w:r>
      <w:r w:rsidR="00CB5142">
        <w:rPr>
          <w:b w:val="0"/>
          <w:kern w:val="2"/>
          <w:sz w:val="22"/>
          <w:szCs w:val="22"/>
        </w:rPr>
        <w:t xml:space="preserve"> </w:t>
      </w:r>
      <w:r w:rsidR="00EC3B6F">
        <w:rPr>
          <w:b w:val="0"/>
          <w:kern w:val="2"/>
          <w:sz w:val="22"/>
          <w:szCs w:val="22"/>
        </w:rPr>
        <w:t>(i.e. CRS and/or DMRS) transmitted in data region can also be copied to control region. It seems copy</w:t>
      </w:r>
      <w:r w:rsidR="00CB5142">
        <w:rPr>
          <w:b w:val="0"/>
          <w:kern w:val="2"/>
          <w:sz w:val="22"/>
          <w:szCs w:val="22"/>
        </w:rPr>
        <w:t>ing</w:t>
      </w:r>
      <w:r w:rsidR="00EC3B6F">
        <w:rPr>
          <w:b w:val="0"/>
          <w:kern w:val="2"/>
          <w:sz w:val="22"/>
          <w:szCs w:val="22"/>
        </w:rPr>
        <w:t xml:space="preserve"> </w:t>
      </w:r>
      <w:r w:rsidR="00CB5142">
        <w:rPr>
          <w:b w:val="0"/>
          <w:kern w:val="2"/>
          <w:sz w:val="22"/>
          <w:szCs w:val="22"/>
        </w:rPr>
        <w:t xml:space="preserve">part of </w:t>
      </w:r>
      <w:r w:rsidR="00EC3B6F">
        <w:rPr>
          <w:b w:val="0"/>
          <w:kern w:val="2"/>
          <w:sz w:val="22"/>
          <w:szCs w:val="22"/>
        </w:rPr>
        <w:t xml:space="preserve">RSs to control region is not fully aligned with the agreement which </w:t>
      </w:r>
      <w:r w:rsidR="00CB5142">
        <w:rPr>
          <w:b w:val="0"/>
          <w:kern w:val="2"/>
          <w:sz w:val="22"/>
          <w:szCs w:val="22"/>
        </w:rPr>
        <w:t xml:space="preserve">only </w:t>
      </w:r>
      <w:r w:rsidR="00EC3B6F">
        <w:rPr>
          <w:b w:val="0"/>
          <w:kern w:val="2"/>
          <w:sz w:val="22"/>
          <w:szCs w:val="22"/>
        </w:rPr>
        <w:t xml:space="preserve">allows using the control region for PDSCH and MPDCCH transmission. However, if </w:t>
      </w:r>
      <w:r w:rsidR="00CB5142">
        <w:rPr>
          <w:b w:val="0"/>
          <w:kern w:val="2"/>
          <w:sz w:val="22"/>
          <w:szCs w:val="22"/>
        </w:rPr>
        <w:t xml:space="preserve">part of the </w:t>
      </w:r>
      <w:r w:rsidR="00EC3B6F">
        <w:rPr>
          <w:b w:val="0"/>
          <w:kern w:val="2"/>
          <w:sz w:val="22"/>
          <w:szCs w:val="22"/>
        </w:rPr>
        <w:t xml:space="preserve">RSs </w:t>
      </w:r>
      <w:proofErr w:type="gramStart"/>
      <w:r w:rsidR="00EC3B6F">
        <w:rPr>
          <w:b w:val="0"/>
          <w:kern w:val="2"/>
          <w:sz w:val="22"/>
          <w:szCs w:val="22"/>
        </w:rPr>
        <w:t>are</w:t>
      </w:r>
      <w:proofErr w:type="gramEnd"/>
      <w:r w:rsidR="00EC3B6F">
        <w:rPr>
          <w:b w:val="0"/>
          <w:kern w:val="2"/>
          <w:sz w:val="22"/>
          <w:szCs w:val="22"/>
        </w:rPr>
        <w:t xml:space="preserve"> not copied to control region then some REs in control region are</w:t>
      </w:r>
      <w:r w:rsidR="00CB5142">
        <w:rPr>
          <w:b w:val="0"/>
          <w:kern w:val="2"/>
          <w:sz w:val="22"/>
          <w:szCs w:val="22"/>
        </w:rPr>
        <w:t xml:space="preserve"> left empty and</w:t>
      </w:r>
      <w:r w:rsidR="00EC3B6F">
        <w:rPr>
          <w:b w:val="0"/>
          <w:kern w:val="2"/>
          <w:sz w:val="22"/>
          <w:szCs w:val="22"/>
        </w:rPr>
        <w:t xml:space="preserve"> not used for any transmission resulting in inefficient resource utilization. </w:t>
      </w:r>
    </w:p>
    <w:p w14:paraId="56B5B49A" w14:textId="0936B3A7" w:rsidR="00EC3B6F" w:rsidRDefault="00EC3B6F" w:rsidP="00942F81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  <w:r>
        <w:rPr>
          <w:rFonts w:hint="eastAsia"/>
          <w:b w:val="0"/>
          <w:kern w:val="2"/>
          <w:sz w:val="22"/>
          <w:szCs w:val="22"/>
        </w:rPr>
        <w:t>I</w:t>
      </w:r>
      <w:r>
        <w:rPr>
          <w:b w:val="0"/>
          <w:kern w:val="2"/>
          <w:sz w:val="22"/>
          <w:szCs w:val="22"/>
        </w:rPr>
        <w:t xml:space="preserve">n Figure 3, we show another option to copy part of MPDCCH to control region, i.e. repeating the first X symbols of the second slot (i.e. OFDM symbol 7, 8 and 9) to control region. Because the same CRS RE mapping in the first and second slots of the subframe, </w:t>
      </w:r>
      <w:r w:rsidR="00CB5142">
        <w:rPr>
          <w:b w:val="0"/>
          <w:kern w:val="2"/>
          <w:sz w:val="22"/>
          <w:szCs w:val="22"/>
        </w:rPr>
        <w:t xml:space="preserve">the abovementioned </w:t>
      </w:r>
      <w:r>
        <w:rPr>
          <w:b w:val="0"/>
          <w:kern w:val="2"/>
          <w:sz w:val="22"/>
          <w:szCs w:val="22"/>
        </w:rPr>
        <w:t xml:space="preserve">puncturing </w:t>
      </w:r>
      <w:r w:rsidR="00CB5142">
        <w:rPr>
          <w:b w:val="0"/>
          <w:kern w:val="2"/>
          <w:sz w:val="22"/>
          <w:szCs w:val="22"/>
        </w:rPr>
        <w:t>is not needed</w:t>
      </w:r>
      <w:r>
        <w:rPr>
          <w:b w:val="0"/>
          <w:kern w:val="2"/>
          <w:sz w:val="22"/>
          <w:szCs w:val="22"/>
        </w:rPr>
        <w:t xml:space="preserve">. All the REs in the control region except for </w:t>
      </w:r>
      <w:r w:rsidR="00CB5142">
        <w:rPr>
          <w:b w:val="0"/>
          <w:kern w:val="2"/>
          <w:sz w:val="22"/>
          <w:szCs w:val="22"/>
        </w:rPr>
        <w:t xml:space="preserve">the </w:t>
      </w:r>
      <w:r>
        <w:rPr>
          <w:b w:val="0"/>
          <w:kern w:val="2"/>
          <w:sz w:val="22"/>
          <w:szCs w:val="22"/>
        </w:rPr>
        <w:t xml:space="preserve">REs </w:t>
      </w:r>
      <w:r w:rsidR="001A2AF4">
        <w:rPr>
          <w:b w:val="0"/>
          <w:kern w:val="2"/>
          <w:sz w:val="22"/>
          <w:szCs w:val="22"/>
        </w:rPr>
        <w:t xml:space="preserve">reserved for CRS </w:t>
      </w:r>
      <w:r>
        <w:rPr>
          <w:b w:val="0"/>
          <w:kern w:val="2"/>
          <w:sz w:val="22"/>
          <w:szCs w:val="22"/>
        </w:rPr>
        <w:t xml:space="preserve">can be used for MPDCCH transmission. </w:t>
      </w:r>
    </w:p>
    <w:p w14:paraId="247C0FC9" w14:textId="3F157801" w:rsidR="00E00588" w:rsidRDefault="00EC3B6F" w:rsidP="004F4FD6">
      <w:pPr>
        <w:pStyle w:val="LGTdoc1"/>
        <w:spacing w:beforeLines="0" w:before="120" w:after="220" w:afterAutospacing="0"/>
        <w:jc w:val="center"/>
        <w:rPr>
          <w:b w:val="0"/>
          <w:kern w:val="2"/>
          <w:sz w:val="22"/>
          <w:szCs w:val="22"/>
        </w:rPr>
      </w:pPr>
      <w:r w:rsidRPr="00EC3B6F">
        <w:rPr>
          <w:b w:val="0"/>
          <w:kern w:val="2"/>
          <w:sz w:val="22"/>
          <w:szCs w:val="22"/>
          <w:lang w:val="en-US"/>
        </w:rPr>
        <w:object w:dxaOrig="4302" w:dyaOrig="3766" w14:anchorId="6BB5F8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pt;height:188.5pt" o:ole="">
            <v:imagedata r:id="rId8" o:title=""/>
          </v:shape>
          <o:OLEObject Type="Embed" ProgID="Excel.Sheet.12" ShapeID="_x0000_i1025" DrawAspect="Content" ObjectID="_1611745290" r:id="rId9"/>
        </w:object>
      </w:r>
    </w:p>
    <w:p w14:paraId="6C05FEC7" w14:textId="4E2F710B" w:rsidR="004F4FD6" w:rsidRDefault="004F4FD6" w:rsidP="004F4FD6">
      <w:pPr>
        <w:pStyle w:val="LGTdoc1"/>
        <w:spacing w:beforeLines="0" w:before="120" w:after="220" w:afterAutospacing="0"/>
        <w:jc w:val="center"/>
        <w:rPr>
          <w:b w:val="0"/>
          <w:kern w:val="2"/>
          <w:sz w:val="22"/>
          <w:szCs w:val="22"/>
        </w:rPr>
      </w:pPr>
      <w:r>
        <w:rPr>
          <w:rFonts w:hint="eastAsia"/>
          <w:b w:val="0"/>
          <w:kern w:val="2"/>
          <w:sz w:val="22"/>
          <w:szCs w:val="22"/>
        </w:rPr>
        <w:t>F</w:t>
      </w:r>
      <w:r>
        <w:rPr>
          <w:b w:val="0"/>
          <w:kern w:val="2"/>
          <w:sz w:val="22"/>
          <w:szCs w:val="22"/>
        </w:rPr>
        <w:t>igure 1: Copy the first X symbols to LTE control region</w:t>
      </w:r>
    </w:p>
    <w:bookmarkStart w:id="1" w:name="_MON_1611559367"/>
    <w:bookmarkEnd w:id="1"/>
    <w:p w14:paraId="0D109C80" w14:textId="5004758B" w:rsidR="00EC3B6F" w:rsidRDefault="00EC3B6F" w:rsidP="004F4FD6">
      <w:pPr>
        <w:pStyle w:val="LGTdoc1"/>
        <w:spacing w:beforeLines="0" w:before="120" w:after="220" w:afterAutospacing="0"/>
        <w:jc w:val="center"/>
        <w:rPr>
          <w:b w:val="0"/>
          <w:kern w:val="2"/>
          <w:sz w:val="22"/>
          <w:szCs w:val="22"/>
        </w:rPr>
      </w:pPr>
      <w:r w:rsidRPr="00EC3B6F">
        <w:rPr>
          <w:b w:val="0"/>
          <w:kern w:val="2"/>
          <w:sz w:val="22"/>
          <w:szCs w:val="22"/>
          <w:lang w:val="en-US"/>
        </w:rPr>
        <w:object w:dxaOrig="4302" w:dyaOrig="3766" w14:anchorId="0EB8BDBB">
          <v:shape id="_x0000_i1026" type="#_x0000_t75" style="width:215pt;height:188.5pt" o:ole="">
            <v:imagedata r:id="rId10" o:title=""/>
          </v:shape>
          <o:OLEObject Type="Embed" ProgID="Excel.Sheet.12" ShapeID="_x0000_i1026" DrawAspect="Content" ObjectID="_1611745291" r:id="rId11"/>
        </w:object>
      </w:r>
    </w:p>
    <w:p w14:paraId="60697822" w14:textId="6CE7F3BE" w:rsidR="00EC3B6F" w:rsidRDefault="00EC3B6F" w:rsidP="00EC3B6F">
      <w:pPr>
        <w:pStyle w:val="LGTdoc1"/>
        <w:spacing w:beforeLines="0" w:before="120" w:after="220" w:afterAutospacing="0"/>
        <w:jc w:val="center"/>
        <w:rPr>
          <w:b w:val="0"/>
          <w:kern w:val="2"/>
          <w:sz w:val="22"/>
          <w:szCs w:val="22"/>
        </w:rPr>
      </w:pPr>
      <w:r>
        <w:rPr>
          <w:rFonts w:hint="eastAsia"/>
          <w:b w:val="0"/>
          <w:kern w:val="2"/>
          <w:sz w:val="22"/>
          <w:szCs w:val="22"/>
        </w:rPr>
        <w:t>F</w:t>
      </w:r>
      <w:r>
        <w:rPr>
          <w:b w:val="0"/>
          <w:kern w:val="2"/>
          <w:sz w:val="22"/>
          <w:szCs w:val="22"/>
        </w:rPr>
        <w:t>igure 2: Copy the last X symbols to LTE control region</w:t>
      </w:r>
    </w:p>
    <w:p w14:paraId="197EA1BC" w14:textId="2A74A0A2" w:rsidR="00EC3B6F" w:rsidRDefault="00EC3B6F" w:rsidP="00EC3B6F">
      <w:pPr>
        <w:pStyle w:val="LGTdoc1"/>
        <w:spacing w:beforeLines="0" w:before="120" w:after="220" w:afterAutospacing="0"/>
        <w:jc w:val="center"/>
        <w:rPr>
          <w:b w:val="0"/>
          <w:kern w:val="2"/>
          <w:sz w:val="22"/>
          <w:szCs w:val="22"/>
        </w:rPr>
      </w:pPr>
      <w:r w:rsidRPr="00EC3B6F">
        <w:rPr>
          <w:b w:val="0"/>
          <w:kern w:val="2"/>
          <w:sz w:val="22"/>
          <w:szCs w:val="22"/>
          <w:lang w:val="en-US"/>
        </w:rPr>
        <w:object w:dxaOrig="4302" w:dyaOrig="3766" w14:anchorId="04396F6F">
          <v:shape id="_x0000_i1027" type="#_x0000_t75" style="width:215pt;height:188.5pt" o:ole="">
            <v:imagedata r:id="rId12" o:title=""/>
          </v:shape>
          <o:OLEObject Type="Embed" ProgID="Excel.Sheet.12" ShapeID="_x0000_i1027" DrawAspect="Content" ObjectID="_1611745292" r:id="rId13"/>
        </w:object>
      </w:r>
    </w:p>
    <w:p w14:paraId="4109436E" w14:textId="3AA3B5C4" w:rsidR="00EC3B6F" w:rsidRDefault="00EC3B6F" w:rsidP="00EC3B6F">
      <w:pPr>
        <w:pStyle w:val="LGTdoc1"/>
        <w:spacing w:beforeLines="0" w:before="120" w:after="220" w:afterAutospacing="0"/>
        <w:jc w:val="center"/>
        <w:rPr>
          <w:b w:val="0"/>
          <w:kern w:val="2"/>
          <w:sz w:val="22"/>
          <w:szCs w:val="22"/>
        </w:rPr>
      </w:pPr>
      <w:r>
        <w:rPr>
          <w:rFonts w:hint="eastAsia"/>
          <w:b w:val="0"/>
          <w:kern w:val="2"/>
          <w:sz w:val="22"/>
          <w:szCs w:val="22"/>
        </w:rPr>
        <w:t>F</w:t>
      </w:r>
      <w:r>
        <w:rPr>
          <w:b w:val="0"/>
          <w:kern w:val="2"/>
          <w:sz w:val="22"/>
          <w:szCs w:val="22"/>
        </w:rPr>
        <w:t>igure 3: Repeat the first X symbols of the second slot to LTE control region</w:t>
      </w:r>
    </w:p>
    <w:p w14:paraId="1046C4C6" w14:textId="4277F1A9" w:rsidR="00AE5C8C" w:rsidRDefault="00AE5C8C" w:rsidP="00F64705">
      <w:pPr>
        <w:pStyle w:val="LGTdoc1"/>
        <w:spacing w:beforeLines="0" w:before="24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lastRenderedPageBreak/>
        <w:t xml:space="preserve">Proposal </w:t>
      </w:r>
      <w:r w:rsidR="001A2AF4">
        <w:rPr>
          <w:sz w:val="22"/>
          <w:szCs w:val="22"/>
          <w:u w:val="single"/>
        </w:rPr>
        <w:t>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MPDCCH transmission in LTE control region, </w:t>
      </w:r>
      <w:r w:rsidR="001A2AF4">
        <w:rPr>
          <w:sz w:val="22"/>
          <w:szCs w:val="22"/>
        </w:rPr>
        <w:t xml:space="preserve">the first X symbols of the second slot are </w:t>
      </w:r>
      <w:r>
        <w:rPr>
          <w:sz w:val="22"/>
          <w:szCs w:val="22"/>
        </w:rPr>
        <w:t>copied to LTE control region</w:t>
      </w:r>
      <w:r w:rsidR="001A2AF4">
        <w:rPr>
          <w:sz w:val="22"/>
          <w:szCs w:val="22"/>
        </w:rPr>
        <w:t xml:space="preserve"> where X is equal to control region size.</w:t>
      </w:r>
    </w:p>
    <w:p w14:paraId="201CE80A" w14:textId="1B3323C5" w:rsidR="001A2AF4" w:rsidRPr="00F54278" w:rsidRDefault="001A2AF4" w:rsidP="001A2AF4">
      <w:pPr>
        <w:pStyle w:val="Heading2"/>
        <w:spacing w:before="120"/>
        <w:rPr>
          <w:sz w:val="28"/>
          <w:szCs w:val="28"/>
        </w:rPr>
      </w:pPr>
      <w:r w:rsidRPr="00F54278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F54278">
        <w:rPr>
          <w:sz w:val="28"/>
          <w:szCs w:val="28"/>
        </w:rPr>
        <w:t xml:space="preserve"> </w:t>
      </w:r>
      <w:r>
        <w:rPr>
          <w:sz w:val="28"/>
          <w:szCs w:val="28"/>
        </w:rPr>
        <w:t>TDD Special subframe configuration 0 and 5</w:t>
      </w:r>
    </w:p>
    <w:p w14:paraId="03183674" w14:textId="13368D24" w:rsidR="00995758" w:rsidRDefault="001A2AF4" w:rsidP="001A2AF4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Currently, both PDSCH and MPDCCH are not allowed to transmit in TDD special subframe configuration 0 and 5. 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This is because 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excluding 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>OFDM symbol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reserved for </w:t>
      </w:r>
      <w:r w:rsidR="00A91D64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control region the available REs for PDSCH and MPDCCH transmission is 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>very small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. However, if control region is used for PDSCH and MPDCCH transmission, </w:t>
      </w:r>
      <w:r w:rsidR="00A91D64">
        <w:rPr>
          <w:rFonts w:eastAsia="Batang"/>
          <w:snapToGrid w:val="0"/>
          <w:kern w:val="2"/>
          <w:sz w:val="22"/>
          <w:szCs w:val="22"/>
          <w:lang w:eastAsia="ko-KR"/>
        </w:rPr>
        <w:t xml:space="preserve">all the three OFDM symbols of 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>TDD special subframe configuration 0 and 5</w:t>
      </w:r>
      <w:r w:rsidR="00A91D64">
        <w:rPr>
          <w:rFonts w:eastAsia="Batang"/>
          <w:snapToGrid w:val="0"/>
          <w:kern w:val="2"/>
          <w:sz w:val="22"/>
          <w:szCs w:val="22"/>
          <w:lang w:eastAsia="ko-KR"/>
        </w:rPr>
        <w:t xml:space="preserve"> can be used, and it seems possible to support PDSCH and MPDCCH in TDD special subframe configuration 0 and 5.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p w14:paraId="0119A838" w14:textId="77777777" w:rsidR="00995758" w:rsidRPr="00FD3DDC" w:rsidRDefault="00995758" w:rsidP="001A2AF4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599CDD1" w14:textId="60788F05" w:rsidR="00A91D64" w:rsidRPr="00FD3DDC" w:rsidRDefault="00A91D64" w:rsidP="001A2AF4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For backward compatibility, MPDCCH transmission in TDD special subframe configuration 0 and 5 is supported only for MPDCCH mapped to UE specific search space without repetition. A new ECCE may be defined. For example, the number of EREGs per ECCE can be increased to 16, corresponding to 1 ECCE per PRB pair. Alternatively, we can reuse the ECCE definition for TDD special subframe configuration 1, 2, 6, 7, 9 or 10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i.e. using N=8 for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ECCE to E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REG mapping but 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>restrict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supported aggregation levels for MPDCCH in special subframe configuration 0/5 by excluding the case of AL=1. </w:t>
      </w:r>
    </w:p>
    <w:p w14:paraId="391F4DEF" w14:textId="08A2B7E8" w:rsidR="001A2AF4" w:rsidRPr="0068319D" w:rsidRDefault="001A2AF4" w:rsidP="001A2AF4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0D6251">
        <w:rPr>
          <w:sz w:val="22"/>
          <w:szCs w:val="22"/>
          <w:u w:val="single"/>
        </w:rPr>
        <w:t>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0D6251">
        <w:rPr>
          <w:sz w:val="22"/>
          <w:szCs w:val="22"/>
        </w:rPr>
        <w:t xml:space="preserve">Support </w:t>
      </w:r>
      <w:r>
        <w:rPr>
          <w:sz w:val="22"/>
          <w:szCs w:val="22"/>
        </w:rPr>
        <w:t xml:space="preserve">MPDCCH/PDSCH transmission in </w:t>
      </w:r>
      <w:r w:rsidR="000D6251">
        <w:rPr>
          <w:sz w:val="22"/>
          <w:szCs w:val="22"/>
        </w:rPr>
        <w:t xml:space="preserve">TDD </w:t>
      </w:r>
      <w:r>
        <w:rPr>
          <w:sz w:val="22"/>
          <w:szCs w:val="22"/>
        </w:rPr>
        <w:t>special subframe configuration 0</w:t>
      </w:r>
      <w:r w:rsidR="000D6251">
        <w:rPr>
          <w:sz w:val="22"/>
          <w:szCs w:val="22"/>
        </w:rPr>
        <w:t xml:space="preserve"> and </w:t>
      </w:r>
      <w:r>
        <w:rPr>
          <w:sz w:val="22"/>
          <w:szCs w:val="22"/>
        </w:rPr>
        <w:t>5</w:t>
      </w:r>
      <w:r w:rsidR="000D625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29DD28D1" w14:textId="5DAC407D" w:rsidR="00AB4372" w:rsidRPr="00F54278" w:rsidRDefault="00AB4372" w:rsidP="00AB4372">
      <w:pPr>
        <w:pStyle w:val="Heading2"/>
        <w:spacing w:before="120"/>
        <w:rPr>
          <w:sz w:val="28"/>
          <w:szCs w:val="28"/>
        </w:rPr>
      </w:pPr>
      <w:r w:rsidRPr="00F54278">
        <w:rPr>
          <w:sz w:val="28"/>
          <w:szCs w:val="28"/>
        </w:rPr>
        <w:t>2.</w:t>
      </w:r>
      <w:r w:rsidR="00DA549C">
        <w:rPr>
          <w:sz w:val="28"/>
          <w:szCs w:val="28"/>
        </w:rPr>
        <w:t>3</w:t>
      </w:r>
      <w:r w:rsidRPr="00F54278">
        <w:rPr>
          <w:sz w:val="28"/>
          <w:szCs w:val="28"/>
        </w:rPr>
        <w:t xml:space="preserve"> </w:t>
      </w:r>
      <w:r>
        <w:rPr>
          <w:sz w:val="28"/>
          <w:szCs w:val="28"/>
        </w:rPr>
        <w:t>Configuration</w:t>
      </w:r>
    </w:p>
    <w:p w14:paraId="6234B226" w14:textId="6DDEB12C" w:rsidR="00942F81" w:rsidRDefault="00AB4372" w:rsidP="0069082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For configuration of the use of LTE control region for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MPDCCH/PDSCH, several options can be considered.</w:t>
      </w:r>
    </w:p>
    <w:p w14:paraId="10F2BD09" w14:textId="3804490B" w:rsidR="00AB4372" w:rsidRPr="00DC71C8" w:rsidRDefault="00AB4372" w:rsidP="00AB4372">
      <w:pPr>
        <w:pStyle w:val="ListParagraph"/>
        <w:widowControl w:val="0"/>
        <w:numPr>
          <w:ilvl w:val="0"/>
          <w:numId w:val="41"/>
        </w:numPr>
        <w:wordWrap w:val="0"/>
        <w:spacing w:after="120"/>
        <w:contextualSpacing/>
        <w:jc w:val="both"/>
        <w:rPr>
          <w:rFonts w:ascii="Times New Roman" w:eastAsia="Batang" w:hAnsi="Times New Roman"/>
          <w:snapToGrid w:val="0"/>
          <w:kern w:val="2"/>
          <w:lang w:eastAsia="ko-KR"/>
        </w:rPr>
      </w:pPr>
      <w:r>
        <w:rPr>
          <w:rFonts w:ascii="Times New Roman" w:eastAsia="Batang" w:hAnsi="Times New Roman"/>
          <w:snapToGrid w:val="0"/>
          <w:kern w:val="2"/>
          <w:lang w:val="en-US" w:eastAsia="ko-KR"/>
        </w:rPr>
        <w:t>MIB</w:t>
      </w:r>
    </w:p>
    <w:p w14:paraId="4B4ABE10" w14:textId="2D9CC188" w:rsidR="00AB4372" w:rsidRPr="00DC71C8" w:rsidRDefault="00AB4372" w:rsidP="00AB4372">
      <w:pPr>
        <w:pStyle w:val="ListParagraph"/>
        <w:widowControl w:val="0"/>
        <w:numPr>
          <w:ilvl w:val="0"/>
          <w:numId w:val="41"/>
        </w:numPr>
        <w:wordWrap w:val="0"/>
        <w:spacing w:after="120"/>
        <w:contextualSpacing/>
        <w:jc w:val="both"/>
        <w:rPr>
          <w:rFonts w:ascii="Times New Roman" w:eastAsia="Batang" w:hAnsi="Times New Roman"/>
          <w:snapToGrid w:val="0"/>
          <w:kern w:val="2"/>
          <w:lang w:eastAsia="ko-KR"/>
        </w:rPr>
      </w:pPr>
      <w:r>
        <w:rPr>
          <w:rFonts w:ascii="Times New Roman" w:eastAsia="Batang" w:hAnsi="Times New Roman"/>
          <w:snapToGrid w:val="0"/>
          <w:kern w:val="2"/>
          <w:lang w:val="en-US" w:eastAsia="ko-KR"/>
        </w:rPr>
        <w:t>SIB1-BR or SIBs</w:t>
      </w:r>
    </w:p>
    <w:p w14:paraId="0D6A43B5" w14:textId="573FF233" w:rsidR="00AB4372" w:rsidRPr="00DC71C8" w:rsidRDefault="00AB4372" w:rsidP="00AB4372">
      <w:pPr>
        <w:pStyle w:val="ListParagraph"/>
        <w:widowControl w:val="0"/>
        <w:numPr>
          <w:ilvl w:val="0"/>
          <w:numId w:val="41"/>
        </w:numPr>
        <w:wordWrap w:val="0"/>
        <w:spacing w:after="120"/>
        <w:contextualSpacing/>
        <w:jc w:val="both"/>
        <w:rPr>
          <w:rFonts w:ascii="Times New Roman" w:eastAsia="Batang" w:hAnsi="Times New Roman"/>
          <w:snapToGrid w:val="0"/>
          <w:kern w:val="2"/>
          <w:lang w:eastAsia="ko-KR"/>
        </w:rPr>
      </w:pPr>
      <w:r>
        <w:rPr>
          <w:rFonts w:ascii="Times New Roman" w:eastAsia="Batang" w:hAnsi="Times New Roman"/>
          <w:snapToGrid w:val="0"/>
          <w:kern w:val="2"/>
          <w:lang w:val="en-US" w:eastAsia="ko-KR"/>
        </w:rPr>
        <w:t>RRC signaling</w:t>
      </w:r>
    </w:p>
    <w:p w14:paraId="39FD1BF2" w14:textId="77777777" w:rsidR="00DD19EC" w:rsidRPr="00F54278" w:rsidRDefault="00DD19EC" w:rsidP="0069082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013F277" w14:textId="0E7EC40D" w:rsidR="005A06CE" w:rsidRDefault="00690821" w:rsidP="0069082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 w:rsidR="00AB4372">
        <w:rPr>
          <w:rFonts w:eastAsia="Batang"/>
          <w:snapToGrid w:val="0"/>
          <w:kern w:val="2"/>
          <w:sz w:val="22"/>
          <w:szCs w:val="22"/>
          <w:lang w:eastAsia="ko-KR"/>
        </w:rPr>
        <w:t xml:space="preserve">mong the above options, we prefer to use SIB1-BR or SIBs to configure the use of LTE control region for MPDCCH/PDSCH. For other options we will see potential limitations. Using MIB is limited by the signalling overhead although the benefit is to support SIB1-BR transmitted in LTE control region. 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If RRC signalling is used for configuration, then the use of LTE control region for MPDCCH/PDSCH </w:t>
      </w:r>
      <w:r w:rsidR="00FA1D0C">
        <w:rPr>
          <w:rFonts w:eastAsia="Batang"/>
          <w:snapToGrid w:val="0"/>
          <w:kern w:val="2"/>
          <w:sz w:val="22"/>
          <w:szCs w:val="22"/>
          <w:lang w:eastAsia="ko-KR"/>
        </w:rPr>
        <w:t>is only supported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A1D0C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or unicast transmission. Therefore, a good trade-off is to use SIB1-BR or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other 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>SIB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 to configure the use of LTE control region for MPDCCH/PDSCH.</w:t>
      </w:r>
    </w:p>
    <w:p w14:paraId="1C7031FD" w14:textId="071614AE" w:rsidR="00AB4372" w:rsidRPr="00FD3DDC" w:rsidRDefault="00AB4372" w:rsidP="0069082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042EC6E0" w14:textId="29E81F38" w:rsidR="00690821" w:rsidRDefault="00FA1D0C" w:rsidP="0069082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According to [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1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],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the usage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control region for MPDCCH/PDSCH is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also supported 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proofErr w:type="spellStart"/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 deployment w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>ith NR. Differe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nt from LTE,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downlink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>control channel in NR is not wideband transmitted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 but based on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CORESET (control resource set). Therefore, for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coexistence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with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NR, the use of control region for DL transmission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cannot be wideband. 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>I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t may be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allowed for some </w:t>
      </w:r>
      <w:proofErr w:type="spellStart"/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withou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NR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PDCCH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but not for other </w:t>
      </w:r>
      <w:proofErr w:type="spellStart"/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 xml:space="preserve">overlapping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with NR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PDCCH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4A2D56A5" w14:textId="2575020E" w:rsidR="00AD43FB" w:rsidRPr="0068319D" w:rsidRDefault="00AD43FB" w:rsidP="00AD43FB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0D6251">
        <w:rPr>
          <w:sz w:val="22"/>
          <w:szCs w:val="22"/>
          <w:u w:val="single"/>
        </w:rPr>
        <w:t>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use of LTE control region is configured </w:t>
      </w:r>
      <w:r w:rsidR="000D6251">
        <w:rPr>
          <w:sz w:val="22"/>
          <w:szCs w:val="22"/>
        </w:rPr>
        <w:t xml:space="preserve">and enabled </w:t>
      </w:r>
      <w:r>
        <w:rPr>
          <w:sz w:val="22"/>
          <w:szCs w:val="22"/>
        </w:rPr>
        <w:t xml:space="preserve">via system information. The configuration can be narrowband or PRB specific </w:t>
      </w:r>
    </w:p>
    <w:p w14:paraId="7D198424" w14:textId="7AE3730E" w:rsidR="00DA549C" w:rsidRPr="00F54278" w:rsidRDefault="00DA549C" w:rsidP="00DA549C">
      <w:pPr>
        <w:pStyle w:val="Heading2"/>
        <w:spacing w:before="120"/>
        <w:rPr>
          <w:sz w:val="28"/>
          <w:szCs w:val="28"/>
        </w:rPr>
      </w:pPr>
      <w:r w:rsidRPr="00F54278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F54278">
        <w:rPr>
          <w:sz w:val="28"/>
          <w:szCs w:val="28"/>
        </w:rPr>
        <w:t xml:space="preserve"> </w:t>
      </w:r>
      <w:r>
        <w:rPr>
          <w:sz w:val="28"/>
          <w:szCs w:val="28"/>
        </w:rPr>
        <w:t>Others</w:t>
      </w:r>
    </w:p>
    <w:p w14:paraId="4F339E11" w14:textId="4EC9EA25" w:rsidR="005A240F" w:rsidRPr="00C37F70" w:rsidRDefault="00DA549C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When LTE control region is indicated for MPDCCH/PDSCH transmission, there is a question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whether to prevent the non-BL/CE UEs to access the cell. Therefore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it was proposed in [</w:t>
      </w:r>
      <w:r w:rsidR="00FD3DDC">
        <w:rPr>
          <w:rFonts w:eastAsia="Batang"/>
          <w:snapToGrid w:val="0"/>
          <w:kern w:val="2"/>
          <w:sz w:val="22"/>
          <w:szCs w:val="22"/>
          <w:lang w:eastAsia="ko-KR"/>
        </w:rPr>
        <w:t>2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] to have one bit 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>signalling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MIB to indicate whether LTE control </w:t>
      </w:r>
      <w:r w:rsidR="00CF3DB1">
        <w:rPr>
          <w:rFonts w:eastAsia="Batang"/>
          <w:snapToGrid w:val="0"/>
          <w:kern w:val="2"/>
          <w:sz w:val="22"/>
          <w:szCs w:val="22"/>
          <w:lang w:eastAsia="ko-KR"/>
        </w:rPr>
        <w:t>channels are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CF3DB1">
        <w:rPr>
          <w:rFonts w:eastAsia="Batang"/>
          <w:snapToGrid w:val="0"/>
          <w:kern w:val="2"/>
          <w:sz w:val="22"/>
          <w:szCs w:val="22"/>
          <w:lang w:eastAsia="ko-KR"/>
        </w:rPr>
        <w:t>transmitted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A1D0C">
        <w:rPr>
          <w:rFonts w:eastAsia="Batang"/>
          <w:snapToGrid w:val="0"/>
          <w:kern w:val="2"/>
          <w:sz w:val="22"/>
          <w:szCs w:val="22"/>
          <w:lang w:eastAsia="ko-KR"/>
        </w:rPr>
        <w:t>or not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 xml:space="preserve">. When the non-BL/CE UE reads the PBCH, it can obtain the information of network type and give up the SIB1 acquisition </w:t>
      </w:r>
      <w:r w:rsidR="00A56AD4">
        <w:rPr>
          <w:rFonts w:eastAsia="Batang"/>
          <w:snapToGrid w:val="0"/>
          <w:kern w:val="2"/>
          <w:sz w:val="22"/>
          <w:szCs w:val="22"/>
          <w:lang w:eastAsia="ko-KR"/>
        </w:rPr>
        <w:t xml:space="preserve">since 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there is no LTE control transmitted in the cell. This can save UE power and reduce the cell acquisition time. However, the </w:t>
      </w:r>
      <w:r w:rsidR="00CF3DB1">
        <w:rPr>
          <w:rFonts w:eastAsia="Batang"/>
          <w:snapToGrid w:val="0"/>
          <w:kern w:val="2"/>
          <w:sz w:val="22"/>
          <w:szCs w:val="22"/>
          <w:lang w:eastAsia="ko-KR"/>
        </w:rPr>
        <w:t>1-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 xml:space="preserve">bit cell type indicator is only known to Rel-16 </w:t>
      </w:r>
      <w:r w:rsidR="00A56AD4">
        <w:rPr>
          <w:rFonts w:eastAsia="Batang"/>
          <w:snapToGrid w:val="0"/>
          <w:kern w:val="2"/>
          <w:sz w:val="22"/>
          <w:szCs w:val="22"/>
          <w:lang w:eastAsia="ko-KR"/>
        </w:rPr>
        <w:t xml:space="preserve">non-BL/CE 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>UE, and the legacy LTE UEs</w:t>
      </w:r>
      <w:r w:rsidR="00A56AD4">
        <w:rPr>
          <w:rFonts w:eastAsia="Batang"/>
          <w:snapToGrid w:val="0"/>
          <w:kern w:val="2"/>
          <w:sz w:val="22"/>
          <w:szCs w:val="22"/>
          <w:lang w:eastAsia="ko-KR"/>
        </w:rPr>
        <w:t xml:space="preserve"> shall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A56AD4">
        <w:rPr>
          <w:rFonts w:eastAsia="Batang"/>
          <w:snapToGrid w:val="0"/>
          <w:kern w:val="2"/>
          <w:sz w:val="22"/>
          <w:szCs w:val="22"/>
          <w:lang w:eastAsia="ko-KR"/>
        </w:rPr>
        <w:t xml:space="preserve">follow the existing mechanism, i.e. 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>read</w:t>
      </w:r>
      <w:r w:rsidR="00A56AD4">
        <w:rPr>
          <w:rFonts w:eastAsia="Batang"/>
          <w:snapToGrid w:val="0"/>
          <w:kern w:val="2"/>
          <w:sz w:val="22"/>
          <w:szCs w:val="22"/>
          <w:lang w:eastAsia="ko-KR"/>
        </w:rPr>
        <w:t>ing</w:t>
      </w:r>
      <w:r w:rsidR="005A240F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SIBs to get the cell barring information. </w:t>
      </w:r>
    </w:p>
    <w:p w14:paraId="1A423C20" w14:textId="5A24F497" w:rsidR="00922154" w:rsidRPr="00A56AD4" w:rsidRDefault="00922154" w:rsidP="00723BDE">
      <w:pPr>
        <w:widowControl w:val="0"/>
        <w:spacing w:after="120"/>
        <w:contextualSpacing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8E38697" w14:textId="33286C14" w:rsidR="005A240F" w:rsidRPr="0068319D" w:rsidRDefault="005A240F" w:rsidP="005A240F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lastRenderedPageBreak/>
        <w:t xml:space="preserve">Proposal </w:t>
      </w:r>
      <w:r w:rsidR="000D6251">
        <w:rPr>
          <w:sz w:val="22"/>
          <w:szCs w:val="22"/>
          <w:u w:val="single"/>
        </w:rPr>
        <w:t>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5A240F">
        <w:rPr>
          <w:sz w:val="22"/>
          <w:szCs w:val="22"/>
        </w:rPr>
        <w:t>revent</w:t>
      </w:r>
      <w:r>
        <w:rPr>
          <w:sz w:val="22"/>
          <w:szCs w:val="22"/>
        </w:rPr>
        <w:t>ing the</w:t>
      </w:r>
      <w:r w:rsidRPr="005A240F">
        <w:rPr>
          <w:sz w:val="22"/>
          <w:szCs w:val="22"/>
        </w:rPr>
        <w:t xml:space="preserve"> non-BL/CE </w:t>
      </w:r>
      <w:r>
        <w:rPr>
          <w:sz w:val="22"/>
          <w:szCs w:val="22"/>
        </w:rPr>
        <w:t>UEs</w:t>
      </w:r>
      <w:r w:rsidRPr="005A240F">
        <w:rPr>
          <w:sz w:val="22"/>
          <w:szCs w:val="22"/>
        </w:rPr>
        <w:t xml:space="preserve"> from access</w:t>
      </w:r>
      <w:r>
        <w:rPr>
          <w:sz w:val="22"/>
          <w:szCs w:val="22"/>
        </w:rPr>
        <w:t>ing</w:t>
      </w:r>
      <w:r w:rsidRPr="005A24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Pr="005A240F">
        <w:rPr>
          <w:sz w:val="22"/>
          <w:szCs w:val="22"/>
        </w:rPr>
        <w:t xml:space="preserve">stand-alone </w:t>
      </w:r>
      <w:proofErr w:type="spellStart"/>
      <w:r w:rsidRPr="005A240F">
        <w:rPr>
          <w:sz w:val="22"/>
          <w:szCs w:val="22"/>
        </w:rPr>
        <w:t>eMTC</w:t>
      </w:r>
      <w:proofErr w:type="spellEnd"/>
      <w:r w:rsidRPr="005A240F">
        <w:rPr>
          <w:sz w:val="22"/>
          <w:szCs w:val="22"/>
        </w:rPr>
        <w:t xml:space="preserve"> system</w:t>
      </w:r>
      <w:r>
        <w:rPr>
          <w:sz w:val="22"/>
          <w:szCs w:val="22"/>
        </w:rPr>
        <w:t xml:space="preserve"> can be supported by using the existing cell barring mechanism </w:t>
      </w:r>
    </w:p>
    <w:p w14:paraId="527BA53C" w14:textId="19D4682F" w:rsidR="002037A4" w:rsidRDefault="00697EBC" w:rsidP="002037A4">
      <w:pPr>
        <w:pStyle w:val="Heading1"/>
      </w:pPr>
      <w:r>
        <w:t>3</w:t>
      </w:r>
      <w:r w:rsidR="002037A4">
        <w:tab/>
        <w:t>Summary</w:t>
      </w:r>
    </w:p>
    <w:p w14:paraId="3E18BF19" w14:textId="562C6710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</w:t>
      </w:r>
      <w:r w:rsidR="00FD3DDC">
        <w:rPr>
          <w:rFonts w:eastAsia="Batang"/>
          <w:snapToGrid w:val="0"/>
          <w:kern w:val="2"/>
          <w:sz w:val="22"/>
          <w:szCs w:val="22"/>
          <w:lang w:eastAsia="ko-KR"/>
        </w:rPr>
        <w:t xml:space="preserve">remaining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 xml:space="preserve">aspects </w:t>
      </w:r>
      <w:r w:rsidR="00697EBC"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="00697EBC"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using the control region for MPDCCH/PDSCH to the BL/CE UE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We have the following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proposals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:</w:t>
      </w:r>
    </w:p>
    <w:p w14:paraId="1909A86F" w14:textId="77777777" w:rsidR="00FD3DDC" w:rsidRDefault="00FD3DDC" w:rsidP="00CB5142">
      <w:pPr>
        <w:pStyle w:val="LGTdoc1"/>
        <w:spacing w:beforeLines="0" w:before="120" w:after="120" w:afterAutospacing="0"/>
        <w:rPr>
          <w:sz w:val="22"/>
          <w:szCs w:val="22"/>
        </w:rPr>
      </w:pPr>
      <w:bookmarkStart w:id="2" w:name="_In-sequence_SDU_delivery"/>
      <w:bookmarkEnd w:id="2"/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For MPDCCH transmission in LTE control region, the first X symbols of the second slot are copied to LTE control region where X is equal to control region size.</w:t>
      </w:r>
    </w:p>
    <w:p w14:paraId="0E012E8E" w14:textId="77777777" w:rsidR="00FD3DDC" w:rsidRPr="0068319D" w:rsidRDefault="00FD3DDC" w:rsidP="00CB5142">
      <w:pPr>
        <w:pStyle w:val="LGTdoc1"/>
        <w:spacing w:beforeLines="0" w:before="120" w:after="1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Support MPDCCH/PDSCH transmission in TDD special subframe configuration 0 and 5. </w:t>
      </w:r>
    </w:p>
    <w:p w14:paraId="52010F33" w14:textId="77777777" w:rsidR="000D6251" w:rsidRPr="0068319D" w:rsidRDefault="000D6251" w:rsidP="00CB5142">
      <w:pPr>
        <w:pStyle w:val="LGTdoc1"/>
        <w:spacing w:beforeLines="0" w:before="120" w:after="1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use of LTE control region is configured and enabled via system information. The configuration can be narrowband or PRB specific </w:t>
      </w:r>
      <w:bookmarkStart w:id="3" w:name="_GoBack"/>
      <w:bookmarkEnd w:id="3"/>
    </w:p>
    <w:p w14:paraId="282D57A8" w14:textId="0AADC08C" w:rsidR="00CF3DB1" w:rsidRPr="0068319D" w:rsidRDefault="00CF3DB1" w:rsidP="00CB5142">
      <w:pPr>
        <w:pStyle w:val="LGTdoc1"/>
        <w:spacing w:beforeLines="0" w:before="120" w:after="1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FD3DDC">
        <w:rPr>
          <w:sz w:val="22"/>
          <w:szCs w:val="22"/>
          <w:u w:val="single"/>
        </w:rPr>
        <w:t>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5A240F">
        <w:rPr>
          <w:sz w:val="22"/>
          <w:szCs w:val="22"/>
        </w:rPr>
        <w:t>revent</w:t>
      </w:r>
      <w:r>
        <w:rPr>
          <w:sz w:val="22"/>
          <w:szCs w:val="22"/>
        </w:rPr>
        <w:t>ing the</w:t>
      </w:r>
      <w:r w:rsidRPr="005A240F">
        <w:rPr>
          <w:sz w:val="22"/>
          <w:szCs w:val="22"/>
        </w:rPr>
        <w:t xml:space="preserve"> non-BL/CE </w:t>
      </w:r>
      <w:r>
        <w:rPr>
          <w:sz w:val="22"/>
          <w:szCs w:val="22"/>
        </w:rPr>
        <w:t>UEs</w:t>
      </w:r>
      <w:r w:rsidRPr="005A240F">
        <w:rPr>
          <w:sz w:val="22"/>
          <w:szCs w:val="22"/>
        </w:rPr>
        <w:t xml:space="preserve"> from access</w:t>
      </w:r>
      <w:r>
        <w:rPr>
          <w:sz w:val="22"/>
          <w:szCs w:val="22"/>
        </w:rPr>
        <w:t>ing</w:t>
      </w:r>
      <w:r w:rsidRPr="005A24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Pr="005A240F">
        <w:rPr>
          <w:sz w:val="22"/>
          <w:szCs w:val="22"/>
        </w:rPr>
        <w:t xml:space="preserve">stand-alone </w:t>
      </w:r>
      <w:proofErr w:type="spellStart"/>
      <w:r w:rsidRPr="005A240F">
        <w:rPr>
          <w:sz w:val="22"/>
          <w:szCs w:val="22"/>
        </w:rPr>
        <w:t>eMTC</w:t>
      </w:r>
      <w:proofErr w:type="spellEnd"/>
      <w:r w:rsidRPr="005A240F">
        <w:rPr>
          <w:sz w:val="22"/>
          <w:szCs w:val="22"/>
        </w:rPr>
        <w:t xml:space="preserve"> system</w:t>
      </w:r>
      <w:r>
        <w:rPr>
          <w:sz w:val="22"/>
          <w:szCs w:val="22"/>
        </w:rPr>
        <w:t xml:space="preserve"> can be supported by using the existing cell barring mechanism 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1E95576" w14:textId="1CEF5512" w:rsidR="005A06CE" w:rsidRDefault="005A06CE" w:rsidP="005A06CE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 w:rsidRPr="00504EAE">
        <w:rPr>
          <w:rFonts w:ascii="Times New Roman" w:hAnsi="Times New Roman"/>
          <w:snapToGrid w:val="0"/>
          <w:sz w:val="22"/>
          <w:szCs w:val="22"/>
        </w:rPr>
        <w:t>[</w:t>
      </w:r>
      <w:r w:rsidR="00A60814">
        <w:rPr>
          <w:rFonts w:ascii="Times New Roman" w:hAnsi="Times New Roman"/>
          <w:snapToGrid w:val="0"/>
          <w:sz w:val="22"/>
          <w:szCs w:val="22"/>
        </w:rPr>
        <w:t>1</w:t>
      </w:r>
      <w:r w:rsidRPr="00504EAE">
        <w:rPr>
          <w:rFonts w:ascii="Times New Roman" w:hAnsi="Times New Roman"/>
          <w:snapToGrid w:val="0"/>
          <w:sz w:val="22"/>
          <w:szCs w:val="22"/>
        </w:rPr>
        <w:t>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</w:r>
      <w:r>
        <w:rPr>
          <w:rFonts w:ascii="Times New Roman" w:hAnsi="Times New Roman"/>
          <w:snapToGrid w:val="0"/>
          <w:sz w:val="22"/>
          <w:szCs w:val="22"/>
        </w:rPr>
        <w:t>3GPP RAN1#</w:t>
      </w:r>
      <w:r w:rsidR="00A60814">
        <w:rPr>
          <w:rFonts w:ascii="Times New Roman" w:hAnsi="Times New Roman"/>
          <w:snapToGrid w:val="0"/>
          <w:sz w:val="22"/>
          <w:szCs w:val="22"/>
        </w:rPr>
        <w:t>95</w:t>
      </w:r>
      <w:r>
        <w:rPr>
          <w:rFonts w:ascii="Times New Roman" w:hAnsi="Times New Roman"/>
          <w:snapToGrid w:val="0"/>
          <w:sz w:val="22"/>
          <w:szCs w:val="22"/>
        </w:rPr>
        <w:t xml:space="preserve">, Chairman’s notes, </w:t>
      </w:r>
      <w:r w:rsidR="00A60814">
        <w:rPr>
          <w:rFonts w:ascii="Times New Roman" w:hAnsi="Times New Roman"/>
          <w:snapToGrid w:val="0"/>
          <w:sz w:val="22"/>
          <w:szCs w:val="22"/>
        </w:rPr>
        <w:t xml:space="preserve">November </w:t>
      </w:r>
      <w:r>
        <w:rPr>
          <w:rFonts w:ascii="Times New Roman" w:hAnsi="Times New Roman"/>
          <w:snapToGrid w:val="0"/>
          <w:sz w:val="22"/>
          <w:szCs w:val="22"/>
        </w:rPr>
        <w:t>2018</w:t>
      </w:r>
    </w:p>
    <w:p w14:paraId="04798B3D" w14:textId="0B964DD7" w:rsidR="005A06CE" w:rsidRPr="00FA1D0C" w:rsidRDefault="005A240F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bookmarkStart w:id="4" w:name="_Ref522431900"/>
      <w:r>
        <w:rPr>
          <w:rFonts w:ascii="Times New Roman" w:hAnsi="Times New Roman"/>
          <w:snapToGrid w:val="0"/>
          <w:sz w:val="22"/>
          <w:szCs w:val="22"/>
        </w:rPr>
        <w:t>[</w:t>
      </w:r>
      <w:r w:rsidR="000D6251">
        <w:rPr>
          <w:rFonts w:ascii="Times New Roman" w:hAnsi="Times New Roman"/>
          <w:snapToGrid w:val="0"/>
          <w:sz w:val="22"/>
          <w:szCs w:val="22"/>
        </w:rPr>
        <w:t>2</w:t>
      </w:r>
      <w:r>
        <w:rPr>
          <w:rFonts w:ascii="Times New Roman" w:hAnsi="Times New Roman"/>
          <w:snapToGrid w:val="0"/>
          <w:sz w:val="22"/>
          <w:szCs w:val="22"/>
        </w:rPr>
        <w:t>]</w:t>
      </w:r>
      <w:r>
        <w:rPr>
          <w:rFonts w:ascii="Times New Roman" w:hAnsi="Times New Roman"/>
          <w:snapToGrid w:val="0"/>
          <w:sz w:val="22"/>
          <w:szCs w:val="22"/>
        </w:rPr>
        <w:tab/>
      </w:r>
      <w:r w:rsidRPr="005A240F">
        <w:rPr>
          <w:rFonts w:ascii="Times New Roman" w:hAnsi="Times New Roman"/>
          <w:snapToGrid w:val="0"/>
          <w:sz w:val="22"/>
          <w:szCs w:val="22"/>
        </w:rPr>
        <w:t>R1-1809173, “Initial views on the use of LTE control channel region for DL transmission,” Xiaomi Communications, RAN1#94, Gothenburg, Sweden.</w:t>
      </w:r>
      <w:bookmarkEnd w:id="4"/>
    </w:p>
    <w:sectPr w:rsidR="005A06CE" w:rsidRPr="00FA1D0C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0E42E" w14:textId="77777777" w:rsidR="00D24F79" w:rsidRDefault="00D24F79">
      <w:r>
        <w:separator/>
      </w:r>
    </w:p>
  </w:endnote>
  <w:endnote w:type="continuationSeparator" w:id="0">
    <w:p w14:paraId="54D7B96B" w14:textId="77777777" w:rsidR="00D24F79" w:rsidRDefault="00D2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A60814" w:rsidRDefault="00A6081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6322B" w14:textId="77777777" w:rsidR="00D24F79" w:rsidRDefault="00D24F79">
      <w:r>
        <w:separator/>
      </w:r>
    </w:p>
  </w:footnote>
  <w:footnote w:type="continuationSeparator" w:id="0">
    <w:p w14:paraId="4E35364E" w14:textId="77777777" w:rsidR="00D24F79" w:rsidRDefault="00D2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A60814" w:rsidRDefault="00A6081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1152D18"/>
    <w:multiLevelType w:val="hybridMultilevel"/>
    <w:tmpl w:val="6E7AD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A7229C"/>
    <w:multiLevelType w:val="hybridMultilevel"/>
    <w:tmpl w:val="EAB0E71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4B3799E"/>
    <w:multiLevelType w:val="hybridMultilevel"/>
    <w:tmpl w:val="D7C05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F1C0B"/>
    <w:multiLevelType w:val="hybridMultilevel"/>
    <w:tmpl w:val="286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D16301"/>
    <w:multiLevelType w:val="hybridMultilevel"/>
    <w:tmpl w:val="E132EA90"/>
    <w:lvl w:ilvl="0" w:tplc="4A8061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3DA79E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AFE4CD8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B98684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3FEBB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3070C1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1B6612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19A05B7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7D0EF03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49273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6F216AD"/>
    <w:multiLevelType w:val="hybridMultilevel"/>
    <w:tmpl w:val="559256A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54A37"/>
    <w:multiLevelType w:val="hybridMultilevel"/>
    <w:tmpl w:val="CEC28ECE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7531583"/>
    <w:multiLevelType w:val="multilevel"/>
    <w:tmpl w:val="95FC84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7"/>
  </w:num>
  <w:num w:numId="4">
    <w:abstractNumId w:val="28"/>
  </w:num>
  <w:num w:numId="5">
    <w:abstractNumId w:val="21"/>
  </w:num>
  <w:num w:numId="6">
    <w:abstractNumId w:val="32"/>
  </w:num>
  <w:num w:numId="7">
    <w:abstractNumId w:val="37"/>
  </w:num>
  <w:num w:numId="8">
    <w:abstractNumId w:val="22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36"/>
  </w:num>
  <w:num w:numId="15">
    <w:abstractNumId w:val="29"/>
  </w:num>
  <w:num w:numId="16">
    <w:abstractNumId w:val="39"/>
  </w:num>
  <w:num w:numId="17">
    <w:abstractNumId w:val="15"/>
  </w:num>
  <w:num w:numId="18">
    <w:abstractNumId w:val="17"/>
  </w:num>
  <w:num w:numId="19">
    <w:abstractNumId w:val="11"/>
  </w:num>
  <w:num w:numId="20">
    <w:abstractNumId w:val="42"/>
  </w:num>
  <w:num w:numId="21">
    <w:abstractNumId w:val="24"/>
  </w:num>
  <w:num w:numId="22">
    <w:abstractNumId w:val="41"/>
  </w:num>
  <w:num w:numId="23">
    <w:abstractNumId w:val="16"/>
  </w:num>
  <w:num w:numId="24">
    <w:abstractNumId w:val="30"/>
  </w:num>
  <w:num w:numId="25">
    <w:abstractNumId w:val="43"/>
  </w:num>
  <w:num w:numId="26">
    <w:abstractNumId w:val="3"/>
  </w:num>
  <w:num w:numId="27">
    <w:abstractNumId w:val="14"/>
  </w:num>
  <w:num w:numId="28">
    <w:abstractNumId w:val="38"/>
  </w:num>
  <w:num w:numId="29">
    <w:abstractNumId w:val="8"/>
  </w:num>
  <w:num w:numId="30">
    <w:abstractNumId w:val="10"/>
  </w:num>
  <w:num w:numId="31">
    <w:abstractNumId w:val="35"/>
  </w:num>
  <w:num w:numId="32">
    <w:abstractNumId w:val="13"/>
  </w:num>
  <w:num w:numId="33">
    <w:abstractNumId w:val="31"/>
  </w:num>
  <w:num w:numId="34">
    <w:abstractNumId w:val="18"/>
  </w:num>
  <w:num w:numId="35">
    <w:abstractNumId w:val="12"/>
  </w:num>
  <w:num w:numId="36">
    <w:abstractNumId w:val="4"/>
  </w:num>
  <w:num w:numId="37">
    <w:abstractNumId w:val="26"/>
  </w:num>
  <w:num w:numId="38">
    <w:abstractNumId w:val="25"/>
  </w:num>
  <w:num w:numId="39">
    <w:abstractNumId w:val="40"/>
  </w:num>
  <w:num w:numId="40">
    <w:abstractNumId w:val="20"/>
  </w:num>
  <w:num w:numId="41">
    <w:abstractNumId w:val="6"/>
  </w:num>
  <w:num w:numId="42">
    <w:abstractNumId w:val="9"/>
  </w:num>
  <w:num w:numId="43">
    <w:abstractNumId w:val="33"/>
  </w:num>
  <w:num w:numId="44">
    <w:abstractNumId w:val="7"/>
  </w:num>
  <w:num w:numId="4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3CB7"/>
    <w:rsid w:val="000444EF"/>
    <w:rsid w:val="00045FC2"/>
    <w:rsid w:val="00047A9F"/>
    <w:rsid w:val="00052A07"/>
    <w:rsid w:val="000534E3"/>
    <w:rsid w:val="0005606A"/>
    <w:rsid w:val="00057117"/>
    <w:rsid w:val="00061512"/>
    <w:rsid w:val="000616E7"/>
    <w:rsid w:val="00061A5C"/>
    <w:rsid w:val="0006487E"/>
    <w:rsid w:val="00065E1A"/>
    <w:rsid w:val="00076617"/>
    <w:rsid w:val="000774F0"/>
    <w:rsid w:val="00077E5F"/>
    <w:rsid w:val="0008036A"/>
    <w:rsid w:val="00081AE6"/>
    <w:rsid w:val="00083055"/>
    <w:rsid w:val="00084D3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1E2F"/>
    <w:rsid w:val="000B2719"/>
    <w:rsid w:val="000B3A8F"/>
    <w:rsid w:val="000B4AB9"/>
    <w:rsid w:val="000B4C0A"/>
    <w:rsid w:val="000B58C3"/>
    <w:rsid w:val="000B61E9"/>
    <w:rsid w:val="000C165A"/>
    <w:rsid w:val="000C2E19"/>
    <w:rsid w:val="000C3CAE"/>
    <w:rsid w:val="000D0D07"/>
    <w:rsid w:val="000D4797"/>
    <w:rsid w:val="000D6251"/>
    <w:rsid w:val="000E0527"/>
    <w:rsid w:val="000E1E92"/>
    <w:rsid w:val="000E32C2"/>
    <w:rsid w:val="000E5728"/>
    <w:rsid w:val="000F06D6"/>
    <w:rsid w:val="000F0EB1"/>
    <w:rsid w:val="000F1106"/>
    <w:rsid w:val="000F360A"/>
    <w:rsid w:val="000F3BE9"/>
    <w:rsid w:val="000F3F6C"/>
    <w:rsid w:val="000F43F8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23E"/>
    <w:rsid w:val="00144EF9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2AF4"/>
    <w:rsid w:val="001A6173"/>
    <w:rsid w:val="001A6CBA"/>
    <w:rsid w:val="001B0D97"/>
    <w:rsid w:val="001B5A5D"/>
    <w:rsid w:val="001B7F7F"/>
    <w:rsid w:val="001C0423"/>
    <w:rsid w:val="001C1CE5"/>
    <w:rsid w:val="001C3D2A"/>
    <w:rsid w:val="001D3E9B"/>
    <w:rsid w:val="001D51BA"/>
    <w:rsid w:val="001D5298"/>
    <w:rsid w:val="001D53E7"/>
    <w:rsid w:val="001D6342"/>
    <w:rsid w:val="001D6CFA"/>
    <w:rsid w:val="001D6D53"/>
    <w:rsid w:val="001E58E2"/>
    <w:rsid w:val="001E7AED"/>
    <w:rsid w:val="001F3916"/>
    <w:rsid w:val="001F54C5"/>
    <w:rsid w:val="001F5ABC"/>
    <w:rsid w:val="001F662C"/>
    <w:rsid w:val="001F707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00C"/>
    <w:rsid w:val="0027144F"/>
    <w:rsid w:val="00271813"/>
    <w:rsid w:val="00271F3A"/>
    <w:rsid w:val="00272F7E"/>
    <w:rsid w:val="00273278"/>
    <w:rsid w:val="002737F4"/>
    <w:rsid w:val="002801E1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B6F1F"/>
    <w:rsid w:val="002B7627"/>
    <w:rsid w:val="002C14BD"/>
    <w:rsid w:val="002C41E6"/>
    <w:rsid w:val="002D071A"/>
    <w:rsid w:val="002D34B2"/>
    <w:rsid w:val="002D3C0D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6BDA"/>
    <w:rsid w:val="00342BD7"/>
    <w:rsid w:val="003448C6"/>
    <w:rsid w:val="00346DB5"/>
    <w:rsid w:val="00347712"/>
    <w:rsid w:val="003477B1"/>
    <w:rsid w:val="00357380"/>
    <w:rsid w:val="003602D9"/>
    <w:rsid w:val="003604CE"/>
    <w:rsid w:val="003623B1"/>
    <w:rsid w:val="00370E47"/>
    <w:rsid w:val="00372E27"/>
    <w:rsid w:val="003742AC"/>
    <w:rsid w:val="003752FC"/>
    <w:rsid w:val="00377CE1"/>
    <w:rsid w:val="00382F26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6FD1"/>
    <w:rsid w:val="003B7FE5"/>
    <w:rsid w:val="003C11C8"/>
    <w:rsid w:val="003C2702"/>
    <w:rsid w:val="003C3487"/>
    <w:rsid w:val="003C43C6"/>
    <w:rsid w:val="003C6BA0"/>
    <w:rsid w:val="003C7806"/>
    <w:rsid w:val="003C7A67"/>
    <w:rsid w:val="003D0B8C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2D7"/>
    <w:rsid w:val="00444F56"/>
    <w:rsid w:val="00446488"/>
    <w:rsid w:val="00450020"/>
    <w:rsid w:val="004517AA"/>
    <w:rsid w:val="00452CAC"/>
    <w:rsid w:val="004533D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4892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4F4FD6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06CE"/>
    <w:rsid w:val="005A209A"/>
    <w:rsid w:val="005A240F"/>
    <w:rsid w:val="005A662D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167ED"/>
    <w:rsid w:val="00620A71"/>
    <w:rsid w:val="00620D80"/>
    <w:rsid w:val="006234A6"/>
    <w:rsid w:val="00630001"/>
    <w:rsid w:val="006311B3"/>
    <w:rsid w:val="0063284C"/>
    <w:rsid w:val="006349E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0DDA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821"/>
    <w:rsid w:val="006917FB"/>
    <w:rsid w:val="00694A9F"/>
    <w:rsid w:val="00695FC2"/>
    <w:rsid w:val="00696949"/>
    <w:rsid w:val="00697052"/>
    <w:rsid w:val="00697876"/>
    <w:rsid w:val="00697EBC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AE5"/>
    <w:rsid w:val="006C5EC9"/>
    <w:rsid w:val="006C6059"/>
    <w:rsid w:val="006C7522"/>
    <w:rsid w:val="006D0F2A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BF3"/>
    <w:rsid w:val="00723BDE"/>
    <w:rsid w:val="007257D0"/>
    <w:rsid w:val="00726EA6"/>
    <w:rsid w:val="00727208"/>
    <w:rsid w:val="00727680"/>
    <w:rsid w:val="007311FE"/>
    <w:rsid w:val="007348B1"/>
    <w:rsid w:val="007362A6"/>
    <w:rsid w:val="00736D7D"/>
    <w:rsid w:val="00740E58"/>
    <w:rsid w:val="00744270"/>
    <w:rsid w:val="007445A0"/>
    <w:rsid w:val="00745140"/>
    <w:rsid w:val="0074524B"/>
    <w:rsid w:val="00747D8B"/>
    <w:rsid w:val="00751182"/>
    <w:rsid w:val="00751228"/>
    <w:rsid w:val="007571E1"/>
    <w:rsid w:val="007604B2"/>
    <w:rsid w:val="00765281"/>
    <w:rsid w:val="00766BAD"/>
    <w:rsid w:val="007729A2"/>
    <w:rsid w:val="00773A4B"/>
    <w:rsid w:val="007755F2"/>
    <w:rsid w:val="00776971"/>
    <w:rsid w:val="007800DC"/>
    <w:rsid w:val="00780A80"/>
    <w:rsid w:val="0078177E"/>
    <w:rsid w:val="0078304C"/>
    <w:rsid w:val="00783673"/>
    <w:rsid w:val="00785490"/>
    <w:rsid w:val="007861EB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18F8"/>
    <w:rsid w:val="007D5901"/>
    <w:rsid w:val="007D7526"/>
    <w:rsid w:val="007E4610"/>
    <w:rsid w:val="007E4715"/>
    <w:rsid w:val="007E505B"/>
    <w:rsid w:val="007E7091"/>
    <w:rsid w:val="007F637A"/>
    <w:rsid w:val="007F7B75"/>
    <w:rsid w:val="00803FAE"/>
    <w:rsid w:val="0080605F"/>
    <w:rsid w:val="00807786"/>
    <w:rsid w:val="00811FCB"/>
    <w:rsid w:val="00813E86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512A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154"/>
    <w:rsid w:val="00931BD9"/>
    <w:rsid w:val="00935F86"/>
    <w:rsid w:val="009368F3"/>
    <w:rsid w:val="00937364"/>
    <w:rsid w:val="00941636"/>
    <w:rsid w:val="00942F81"/>
    <w:rsid w:val="009431E4"/>
    <w:rsid w:val="00943742"/>
    <w:rsid w:val="00945C05"/>
    <w:rsid w:val="00946945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4A15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90630"/>
    <w:rsid w:val="00991761"/>
    <w:rsid w:val="00994DCA"/>
    <w:rsid w:val="00995758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8E4"/>
    <w:rsid w:val="009E598E"/>
    <w:rsid w:val="009F0779"/>
    <w:rsid w:val="009F08F3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D9B"/>
    <w:rsid w:val="00A52E1D"/>
    <w:rsid w:val="00A56AD4"/>
    <w:rsid w:val="00A56D68"/>
    <w:rsid w:val="00A60814"/>
    <w:rsid w:val="00A61499"/>
    <w:rsid w:val="00A62A77"/>
    <w:rsid w:val="00A63483"/>
    <w:rsid w:val="00A657D7"/>
    <w:rsid w:val="00A660AC"/>
    <w:rsid w:val="00A6689A"/>
    <w:rsid w:val="00A67E6C"/>
    <w:rsid w:val="00A71B99"/>
    <w:rsid w:val="00A72EC2"/>
    <w:rsid w:val="00A739D0"/>
    <w:rsid w:val="00A761D4"/>
    <w:rsid w:val="00A77EC4"/>
    <w:rsid w:val="00A81818"/>
    <w:rsid w:val="00A918B5"/>
    <w:rsid w:val="00A91D64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372"/>
    <w:rsid w:val="00AB4AB8"/>
    <w:rsid w:val="00AB655E"/>
    <w:rsid w:val="00AB731D"/>
    <w:rsid w:val="00AC007F"/>
    <w:rsid w:val="00AC14AD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3FB"/>
    <w:rsid w:val="00AD4A5A"/>
    <w:rsid w:val="00AE27AC"/>
    <w:rsid w:val="00AE40E0"/>
    <w:rsid w:val="00AE4DBA"/>
    <w:rsid w:val="00AE4F07"/>
    <w:rsid w:val="00AE5C8C"/>
    <w:rsid w:val="00AE60EC"/>
    <w:rsid w:val="00AF1C5D"/>
    <w:rsid w:val="00AF42D7"/>
    <w:rsid w:val="00B006FE"/>
    <w:rsid w:val="00B007CB"/>
    <w:rsid w:val="00B02AA9"/>
    <w:rsid w:val="00B02FA3"/>
    <w:rsid w:val="00B041DD"/>
    <w:rsid w:val="00B04628"/>
    <w:rsid w:val="00B05084"/>
    <w:rsid w:val="00B12997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509B4"/>
    <w:rsid w:val="00B548B7"/>
    <w:rsid w:val="00B61DD3"/>
    <w:rsid w:val="00B664C7"/>
    <w:rsid w:val="00B66B6E"/>
    <w:rsid w:val="00B739F6"/>
    <w:rsid w:val="00B74EBA"/>
    <w:rsid w:val="00B81A6C"/>
    <w:rsid w:val="00B82D26"/>
    <w:rsid w:val="00B85DE5"/>
    <w:rsid w:val="00B8750A"/>
    <w:rsid w:val="00B90F73"/>
    <w:rsid w:val="00B93B59"/>
    <w:rsid w:val="00B9406A"/>
    <w:rsid w:val="00BA2280"/>
    <w:rsid w:val="00BA2A08"/>
    <w:rsid w:val="00BA445D"/>
    <w:rsid w:val="00BA56D2"/>
    <w:rsid w:val="00BA6E5F"/>
    <w:rsid w:val="00BA76E0"/>
    <w:rsid w:val="00BB0390"/>
    <w:rsid w:val="00BB2A25"/>
    <w:rsid w:val="00BB51E9"/>
    <w:rsid w:val="00BB5E3F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682C"/>
    <w:rsid w:val="00C279B5"/>
    <w:rsid w:val="00C27C45"/>
    <w:rsid w:val="00C3719D"/>
    <w:rsid w:val="00C37CB2"/>
    <w:rsid w:val="00C37F70"/>
    <w:rsid w:val="00C405AB"/>
    <w:rsid w:val="00C417E1"/>
    <w:rsid w:val="00C464AA"/>
    <w:rsid w:val="00C473A5"/>
    <w:rsid w:val="00C52930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B40"/>
    <w:rsid w:val="00CA03EB"/>
    <w:rsid w:val="00CA1A04"/>
    <w:rsid w:val="00CA1ED8"/>
    <w:rsid w:val="00CA512D"/>
    <w:rsid w:val="00CB1F63"/>
    <w:rsid w:val="00CB5142"/>
    <w:rsid w:val="00CB5E40"/>
    <w:rsid w:val="00CB61F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9F"/>
    <w:rsid w:val="00CE3997"/>
    <w:rsid w:val="00CE7561"/>
    <w:rsid w:val="00CF1354"/>
    <w:rsid w:val="00CF3B1F"/>
    <w:rsid w:val="00CF3BF6"/>
    <w:rsid w:val="00CF3DB1"/>
    <w:rsid w:val="00CF625B"/>
    <w:rsid w:val="00CF687E"/>
    <w:rsid w:val="00D0349B"/>
    <w:rsid w:val="00D056D0"/>
    <w:rsid w:val="00D10249"/>
    <w:rsid w:val="00D115C3"/>
    <w:rsid w:val="00D11897"/>
    <w:rsid w:val="00D13135"/>
    <w:rsid w:val="00D13E4E"/>
    <w:rsid w:val="00D165E7"/>
    <w:rsid w:val="00D239A7"/>
    <w:rsid w:val="00D23F47"/>
    <w:rsid w:val="00D24F79"/>
    <w:rsid w:val="00D36E71"/>
    <w:rsid w:val="00D37D87"/>
    <w:rsid w:val="00D40B33"/>
    <w:rsid w:val="00D41AA9"/>
    <w:rsid w:val="00D4318F"/>
    <w:rsid w:val="00D438BF"/>
    <w:rsid w:val="00D440F8"/>
    <w:rsid w:val="00D4520A"/>
    <w:rsid w:val="00D50B47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49C"/>
    <w:rsid w:val="00DA56E8"/>
    <w:rsid w:val="00DA69F4"/>
    <w:rsid w:val="00DB0A9F"/>
    <w:rsid w:val="00DB377D"/>
    <w:rsid w:val="00DC2D36"/>
    <w:rsid w:val="00DC53EF"/>
    <w:rsid w:val="00DC71C8"/>
    <w:rsid w:val="00DD19EC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0588"/>
    <w:rsid w:val="00E029CE"/>
    <w:rsid w:val="00E07B58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91C"/>
    <w:rsid w:val="00E93FFE"/>
    <w:rsid w:val="00E94F8A"/>
    <w:rsid w:val="00EA0473"/>
    <w:rsid w:val="00EA5F9D"/>
    <w:rsid w:val="00EA7A41"/>
    <w:rsid w:val="00EB077B"/>
    <w:rsid w:val="00EB388E"/>
    <w:rsid w:val="00EB4EA2"/>
    <w:rsid w:val="00EC1D6E"/>
    <w:rsid w:val="00EC24D5"/>
    <w:rsid w:val="00EC27C6"/>
    <w:rsid w:val="00EC3B6F"/>
    <w:rsid w:val="00EC4207"/>
    <w:rsid w:val="00EC5653"/>
    <w:rsid w:val="00EC71CE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37BC5"/>
    <w:rsid w:val="00F40F0C"/>
    <w:rsid w:val="00F4766C"/>
    <w:rsid w:val="00F5060E"/>
    <w:rsid w:val="00F507D1"/>
    <w:rsid w:val="00F519CE"/>
    <w:rsid w:val="00F51ADA"/>
    <w:rsid w:val="00F54278"/>
    <w:rsid w:val="00F60203"/>
    <w:rsid w:val="00F607C5"/>
    <w:rsid w:val="00F60DEA"/>
    <w:rsid w:val="00F6302A"/>
    <w:rsid w:val="00F63950"/>
    <w:rsid w:val="00F63EFF"/>
    <w:rsid w:val="00F64705"/>
    <w:rsid w:val="00F64C2B"/>
    <w:rsid w:val="00F651BE"/>
    <w:rsid w:val="00F676AC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12E2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1D0C"/>
    <w:rsid w:val="00FA2BB3"/>
    <w:rsid w:val="00FA5B81"/>
    <w:rsid w:val="00FA761F"/>
    <w:rsid w:val="00FB4C80"/>
    <w:rsid w:val="00FB6A6A"/>
    <w:rsid w:val="00FC7429"/>
    <w:rsid w:val="00FD07F6"/>
    <w:rsid w:val="00FD1EC8"/>
    <w:rsid w:val="00FD2B99"/>
    <w:rsid w:val="00FD3120"/>
    <w:rsid w:val="00FD3DDC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Heading1Char1">
    <w:name w:val="Heading 1 Char1"/>
    <w:rsid w:val="00F5427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7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07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89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027A5-4893-49A2-B42D-4E6F33E65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1219</TotalTime>
  <Pages>4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5</cp:revision>
  <cp:lastPrinted>2008-01-31T07:09:00Z</cp:lastPrinted>
  <dcterms:created xsi:type="dcterms:W3CDTF">2018-11-02T04:48:00Z</dcterms:created>
  <dcterms:modified xsi:type="dcterms:W3CDTF">2019-02-15T06:15:00Z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