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B5D3F" w14:textId="5EE64F06" w:rsidR="00113916" w:rsidRPr="00536C1E" w:rsidRDefault="00133C60" w:rsidP="00C06E27">
      <w:pPr>
        <w:tabs>
          <w:tab w:val="right" w:pos="9639"/>
        </w:tabs>
        <w:spacing w:after="60"/>
        <w:jc w:val="both"/>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536C1E">
        <w:rPr>
          <w:rFonts w:ascii="Arial" w:hAnsi="Arial"/>
          <w:b/>
        </w:rPr>
        <w:t xml:space="preserve">3GPP TSG RAN </w:t>
      </w:r>
      <w:r w:rsidR="00E501E8" w:rsidRPr="00E501E8">
        <w:rPr>
          <w:rFonts w:ascii="Arial" w:hAnsi="Arial"/>
          <w:b/>
        </w:rPr>
        <w:t xml:space="preserve">WG1 </w:t>
      </w:r>
      <w:r w:rsidR="00C608F6">
        <w:rPr>
          <w:rFonts w:ascii="Arial" w:hAnsi="Arial"/>
          <w:b/>
        </w:rPr>
        <w:t>#96</w:t>
      </w:r>
      <w:r w:rsidR="00D6375C" w:rsidRPr="00536C1E">
        <w:rPr>
          <w:rFonts w:ascii="Arial" w:hAnsi="Arial"/>
          <w:b/>
        </w:rPr>
        <w:tab/>
      </w:r>
      <w:r w:rsidR="00763F0E" w:rsidRPr="001E25A8">
        <w:rPr>
          <w:rFonts w:ascii="Arial" w:hAnsi="Arial"/>
          <w:b/>
        </w:rPr>
        <w:t>R1-</w:t>
      </w:r>
      <w:r w:rsidR="001E25A8" w:rsidRPr="001E25A8">
        <w:rPr>
          <w:rFonts w:ascii="Arial" w:hAnsi="Arial"/>
          <w:b/>
        </w:rPr>
        <w:t>1902181</w:t>
      </w:r>
    </w:p>
    <w:p w14:paraId="13153FF0" w14:textId="7CC4CB97" w:rsidR="00113916" w:rsidRPr="00F97042" w:rsidRDefault="00C608F6" w:rsidP="00C06E27">
      <w:pPr>
        <w:jc w:val="both"/>
        <w:rPr>
          <w:rFonts w:ascii="Arial" w:hAnsi="Arial"/>
          <w:b/>
          <w:lang w:val="en-AU"/>
        </w:rPr>
      </w:pPr>
      <w:r w:rsidRPr="00C608F6">
        <w:rPr>
          <w:rFonts w:ascii="Arial" w:hAnsi="Arial"/>
          <w:b/>
          <w:bCs/>
        </w:rPr>
        <w:t>Athens, Greece, 25</w:t>
      </w:r>
      <w:r w:rsidRPr="00C608F6">
        <w:rPr>
          <w:rFonts w:ascii="Arial" w:hAnsi="Arial"/>
          <w:b/>
          <w:bCs/>
          <w:vertAlign w:val="superscript"/>
        </w:rPr>
        <w:t>th</w:t>
      </w:r>
      <w:r w:rsidRPr="00C608F6">
        <w:rPr>
          <w:rFonts w:ascii="Arial" w:hAnsi="Arial"/>
          <w:b/>
          <w:bCs/>
        </w:rPr>
        <w:t xml:space="preserve"> February – 1</w:t>
      </w:r>
      <w:r w:rsidRPr="00C608F6">
        <w:rPr>
          <w:rFonts w:ascii="Arial" w:hAnsi="Arial"/>
          <w:b/>
          <w:bCs/>
          <w:vertAlign w:val="superscript"/>
        </w:rPr>
        <w:t>st</w:t>
      </w:r>
      <w:r w:rsidRPr="00C608F6">
        <w:rPr>
          <w:rFonts w:ascii="Arial" w:hAnsi="Arial"/>
          <w:b/>
          <w:bCs/>
        </w:rPr>
        <w:t xml:space="preserve"> March, 2019</w:t>
      </w:r>
    </w:p>
    <w:p w14:paraId="31428C04" w14:textId="77777777" w:rsidR="00EB3FDA" w:rsidRDefault="00EB3FDA" w:rsidP="00C06E27">
      <w:pPr>
        <w:tabs>
          <w:tab w:val="left" w:pos="1800"/>
        </w:tabs>
        <w:spacing w:after="60"/>
        <w:jc w:val="both"/>
        <w:rPr>
          <w:b/>
        </w:rPr>
      </w:pPr>
    </w:p>
    <w:p w14:paraId="61024746" w14:textId="77777777" w:rsidR="00DD4E7D" w:rsidRPr="00536C1E" w:rsidRDefault="00DD4E7D" w:rsidP="00C06E27">
      <w:pPr>
        <w:tabs>
          <w:tab w:val="left" w:pos="1800"/>
        </w:tabs>
        <w:spacing w:after="60"/>
        <w:jc w:val="both"/>
        <w:rPr>
          <w:rFonts w:eastAsia="MS Mincho"/>
          <w:b/>
        </w:rPr>
      </w:pPr>
      <w:r w:rsidRPr="00536C1E">
        <w:rPr>
          <w:b/>
        </w:rPr>
        <w:t>Agenda Item:</w:t>
      </w:r>
      <w:r w:rsidRPr="00536C1E">
        <w:rPr>
          <w:b/>
        </w:rPr>
        <w:tab/>
      </w:r>
      <w:r w:rsidR="008C090F">
        <w:rPr>
          <w:b/>
        </w:rPr>
        <w:t>7.2.6.</w:t>
      </w:r>
      <w:r w:rsidR="005000B8">
        <w:rPr>
          <w:b/>
        </w:rPr>
        <w:t>3</w:t>
      </w:r>
    </w:p>
    <w:p w14:paraId="2F752FC2" w14:textId="77777777" w:rsidR="00DD4E7D" w:rsidRPr="00536C1E" w:rsidRDefault="00DD4E7D" w:rsidP="00C06E27">
      <w:pPr>
        <w:tabs>
          <w:tab w:val="left" w:pos="1800"/>
        </w:tabs>
        <w:spacing w:after="60"/>
        <w:jc w:val="both"/>
        <w:rPr>
          <w:b/>
        </w:rPr>
      </w:pPr>
      <w:r w:rsidRPr="00536C1E">
        <w:rPr>
          <w:b/>
        </w:rPr>
        <w:t xml:space="preserve">Source: </w:t>
      </w:r>
      <w:r w:rsidRPr="00536C1E">
        <w:rPr>
          <w:b/>
        </w:rPr>
        <w:tab/>
      </w:r>
      <w:r w:rsidR="00E14CBF" w:rsidRPr="00536C1E">
        <w:rPr>
          <w:b/>
        </w:rPr>
        <w:t>Sony</w:t>
      </w:r>
      <w:r w:rsidR="005833B3" w:rsidRPr="00536C1E">
        <w:rPr>
          <w:b/>
        </w:rPr>
        <w:t xml:space="preserve"> </w:t>
      </w:r>
    </w:p>
    <w:p w14:paraId="3DB5EB76" w14:textId="77777777" w:rsidR="00DD4E7D" w:rsidRPr="00536C1E" w:rsidRDefault="00DD4E7D" w:rsidP="00C06E27">
      <w:pPr>
        <w:tabs>
          <w:tab w:val="left" w:pos="1800"/>
        </w:tabs>
        <w:spacing w:after="60"/>
        <w:ind w:left="1800" w:hanging="1800"/>
        <w:jc w:val="both"/>
        <w:rPr>
          <w:b/>
        </w:rPr>
      </w:pPr>
      <w:r w:rsidRPr="00536C1E">
        <w:rPr>
          <w:b/>
          <w:color w:val="000000"/>
        </w:rPr>
        <w:t>Title:</w:t>
      </w:r>
      <w:r w:rsidRPr="00536C1E">
        <w:rPr>
          <w:b/>
          <w:color w:val="000000"/>
        </w:rPr>
        <w:tab/>
      </w:r>
      <w:r w:rsidR="00E501E8" w:rsidRPr="00E501E8">
        <w:rPr>
          <w:b/>
          <w:color w:val="000000"/>
        </w:rPr>
        <w:t>Consideration on enhanced UL grant-free transmissions</w:t>
      </w:r>
    </w:p>
    <w:p w14:paraId="0716DA5F" w14:textId="6A605AA4" w:rsidR="00DD4E7D" w:rsidRPr="004A539C" w:rsidRDefault="0088521D" w:rsidP="00C06E27">
      <w:pPr>
        <w:tabs>
          <w:tab w:val="left" w:pos="1800"/>
        </w:tabs>
        <w:spacing w:after="60"/>
        <w:jc w:val="both"/>
        <w:rPr>
          <w:b/>
        </w:rPr>
      </w:pPr>
      <w:r>
        <w:rPr>
          <w:b/>
          <w:noProof/>
        </w:rPr>
        <mc:AlternateContent>
          <mc:Choice Requires="wps">
            <w:drawing>
              <wp:anchor distT="4294967295" distB="4294967295" distL="114300" distR="114300" simplePos="0" relativeHeight="251659264" behindDoc="0" locked="0" layoutInCell="1" allowOverlap="1" wp14:anchorId="273847E2" wp14:editId="129B4986">
                <wp:simplePos x="0" y="0"/>
                <wp:positionH relativeFrom="column">
                  <wp:posOffset>5080</wp:posOffset>
                </wp:positionH>
                <wp:positionV relativeFrom="paragraph">
                  <wp:posOffset>352424</wp:posOffset>
                </wp:positionV>
                <wp:extent cx="6103620" cy="0"/>
                <wp:effectExtent l="0" t="0" r="30480" b="19050"/>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0362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934F2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27.75pt" to="481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" strokecolor="black [3200]" strokeweight="1.5pt">
                <v:stroke joinstyle="miter"/>
                <o:lock v:ext="edit" shapetype="f"/>
                <w10:wrap type="topAndBottom"/>
              </v:line>
            </w:pict>
          </mc:Fallback>
        </mc:AlternateContent>
      </w:r>
      <w:r w:rsidR="00DD4E7D" w:rsidRPr="004A539C">
        <w:rPr>
          <w:b/>
        </w:rPr>
        <w:t>Document for:</w:t>
      </w:r>
      <w:r w:rsidR="004D2A00" w:rsidRPr="004A539C">
        <w:rPr>
          <w:b/>
        </w:rPr>
        <w:tab/>
        <w:t>Discussion</w:t>
      </w:r>
      <w:r w:rsidR="00E174F6" w:rsidRPr="004A539C">
        <w:rPr>
          <w:b/>
        </w:rPr>
        <w:t xml:space="preserve"> / decision</w:t>
      </w:r>
    </w:p>
    <w:p w14:paraId="12C43373" w14:textId="77777777" w:rsidR="00DD4E7D" w:rsidRDefault="00DD4E7D" w:rsidP="00C06E27">
      <w:pPr>
        <w:pStyle w:val="Heading1"/>
        <w:numPr>
          <w:ilvl w:val="0"/>
          <w:numId w:val="9"/>
        </w:numPr>
        <w:jc w:val="both"/>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2"/>
    <w:bookmarkEnd w:id="13"/>
    <w:p w14:paraId="0BF67A74" w14:textId="6DABC70E" w:rsidR="008C090F" w:rsidRDefault="004E52F8" w:rsidP="00C06E27">
      <w:pPr>
        <w:jc w:val="both"/>
        <w:rPr>
          <w:rFonts w:eastAsia="MS Mincho"/>
        </w:rPr>
      </w:pPr>
      <w:r>
        <w:rPr>
          <w:rFonts w:eastAsia="MS Mincho"/>
        </w:rPr>
        <w:t>In RAN1 #9</w:t>
      </w:r>
      <w:r w:rsidR="00150864">
        <w:rPr>
          <w:rFonts w:eastAsia="MS Mincho"/>
        </w:rPr>
        <w:t>5</w:t>
      </w:r>
      <w:r w:rsidR="00A236EF">
        <w:rPr>
          <w:rFonts w:eastAsia="MS Mincho"/>
        </w:rPr>
        <w:t xml:space="preserve"> and </w:t>
      </w:r>
      <w:r w:rsidR="00A236EF">
        <w:t>Ad-Hoc 1901</w:t>
      </w:r>
      <w:r w:rsidR="00A236EF">
        <w:rPr>
          <w:rFonts w:eastAsia="MS Mincho"/>
        </w:rPr>
        <w:t xml:space="preserve"> meeting</w:t>
      </w:r>
      <w:r>
        <w:rPr>
          <w:rFonts w:eastAsia="MS Mincho"/>
        </w:rPr>
        <w:t xml:space="preserve">, enhancements of UL grant-free transmissions for eURLLC </w:t>
      </w:r>
      <w:r w:rsidR="001F3FDD">
        <w:rPr>
          <w:rFonts w:eastAsia="MS Mincho"/>
        </w:rPr>
        <w:t>were</w:t>
      </w:r>
      <w:r>
        <w:rPr>
          <w:rFonts w:eastAsia="MS Mincho"/>
        </w:rPr>
        <w:t xml:space="preserve"> discussed and the </w:t>
      </w:r>
      <w:r w:rsidR="001F3FDD">
        <w:rPr>
          <w:rFonts w:eastAsia="MS Mincho"/>
        </w:rPr>
        <w:t xml:space="preserve">following </w:t>
      </w:r>
      <w:r>
        <w:rPr>
          <w:rFonts w:eastAsia="MS Mincho"/>
        </w:rPr>
        <w:t>agreements</w:t>
      </w:r>
      <w:r w:rsidR="00EF4ADC">
        <w:rPr>
          <w:rFonts w:eastAsia="MS Mincho"/>
        </w:rPr>
        <w:t xml:space="preserve"> </w:t>
      </w:r>
      <w:r w:rsidR="001F3FDD">
        <w:rPr>
          <w:rFonts w:eastAsia="MS Mincho"/>
        </w:rPr>
        <w:t>made</w:t>
      </w:r>
      <w:r w:rsidR="00150864">
        <w:rPr>
          <w:rFonts w:eastAsia="MS Mincho"/>
        </w:rPr>
        <w:t xml:space="preserve"> [1]</w:t>
      </w:r>
      <w:r w:rsidR="00A236EF">
        <w:rPr>
          <w:rFonts w:eastAsia="MS Mincho"/>
        </w:rPr>
        <w:t>[2]</w:t>
      </w:r>
      <w:r w:rsidR="00EF4ADC">
        <w:rPr>
          <w:rFonts w:eastAsia="MS Mincho"/>
        </w:rPr>
        <w:t>:</w:t>
      </w:r>
    </w:p>
    <w:tbl>
      <w:tblPr>
        <w:tblStyle w:val="TableGrid"/>
        <w:tblW w:w="0" w:type="auto"/>
        <w:tblLook w:val="04A0" w:firstRow="1" w:lastRow="0" w:firstColumn="1" w:lastColumn="0" w:noHBand="0" w:noVBand="1"/>
      </w:tblPr>
      <w:tblGrid>
        <w:gridCol w:w="9631"/>
      </w:tblGrid>
      <w:tr w:rsidR="002D43BB" w14:paraId="30BD6179" w14:textId="77777777">
        <w:tc>
          <w:tcPr>
            <w:tcW w:w="9631" w:type="dxa"/>
          </w:tcPr>
          <w:p w14:paraId="56F715AB" w14:textId="77777777" w:rsidR="00A236EF" w:rsidRPr="00A236EF" w:rsidRDefault="00A236EF" w:rsidP="00286B17">
            <w:pPr>
              <w:spacing w:afterLines="50" w:after="120"/>
              <w:rPr>
                <w:rFonts w:eastAsia="MS Mincho"/>
                <w:b/>
                <w:u w:val="single"/>
              </w:rPr>
            </w:pPr>
            <w:r w:rsidRPr="00A236EF">
              <w:rPr>
                <w:rFonts w:eastAsia="MS Mincho"/>
                <w:b/>
                <w:u w:val="single"/>
              </w:rPr>
              <w:t xml:space="preserve">RAN1 #95 </w:t>
            </w:r>
          </w:p>
          <w:p w14:paraId="09C4660C" w14:textId="60073422" w:rsidR="00150864" w:rsidRPr="00150864" w:rsidRDefault="00150864" w:rsidP="00286B17">
            <w:pPr>
              <w:spacing w:afterLines="50" w:after="120"/>
              <w:rPr>
                <w:rFonts w:ascii="Times New Roman" w:eastAsia="MS Mincho" w:hAnsi="Times New Roman" w:cs="Times New Roman"/>
                <w:sz w:val="20"/>
                <w:szCs w:val="20"/>
                <w:highlight w:val="green"/>
                <w:u w:val="single"/>
              </w:rPr>
            </w:pPr>
            <w:r w:rsidRPr="00150864">
              <w:rPr>
                <w:rFonts w:ascii="Times New Roman" w:eastAsia="MS Mincho" w:hAnsi="Times New Roman" w:cs="Times New Roman"/>
                <w:sz w:val="20"/>
                <w:szCs w:val="20"/>
                <w:highlight w:val="green"/>
                <w:u w:val="single"/>
              </w:rPr>
              <w:t>Agreements:</w:t>
            </w:r>
          </w:p>
          <w:p w14:paraId="4E8B8CC9" w14:textId="77777777" w:rsidR="00150864" w:rsidRPr="00150864" w:rsidRDefault="00150864" w:rsidP="000B2BFA">
            <w:pPr>
              <w:numPr>
                <w:ilvl w:val="0"/>
                <w:numId w:val="12"/>
              </w:numPr>
              <w:spacing w:after="0"/>
              <w:rPr>
                <w:rFonts w:ascii="Times" w:eastAsia="Batang" w:hAnsi="Times" w:cs="Times New Roman"/>
                <w:sz w:val="20"/>
                <w:szCs w:val="20"/>
              </w:rPr>
            </w:pPr>
            <w:r w:rsidRPr="00150864">
              <w:rPr>
                <w:rFonts w:ascii="Times" w:eastAsia="Batang" w:hAnsi="Times" w:cs="Times New Roman"/>
                <w:sz w:val="20"/>
                <w:szCs w:val="20"/>
              </w:rPr>
              <w:t xml:space="preserve">Multiple active configured grant configurations for a given BWP of a serving cell should be supported at least for different services/traffic types </w:t>
            </w:r>
            <w:r w:rsidRPr="00150864">
              <w:rPr>
                <w:rFonts w:ascii="Times" w:eastAsia="Batang" w:hAnsi="Times" w:cs="Times New Roman" w:hint="eastAsia"/>
                <w:sz w:val="20"/>
                <w:szCs w:val="20"/>
              </w:rPr>
              <w:t>and/or</w:t>
            </w:r>
            <w:r w:rsidRPr="00150864">
              <w:rPr>
                <w:rFonts w:ascii="Times" w:eastAsia="Batang" w:hAnsi="Times" w:cs="Times New Roman"/>
                <w:sz w:val="20"/>
                <w:szCs w:val="20"/>
              </w:rPr>
              <w:t xml:space="preserve"> </w:t>
            </w:r>
            <w:r w:rsidRPr="00150864">
              <w:rPr>
                <w:rFonts w:ascii="Times" w:eastAsia="Batang" w:hAnsi="Times" w:cs="Times New Roman" w:hint="eastAsia"/>
                <w:sz w:val="20"/>
                <w:szCs w:val="20"/>
              </w:rPr>
              <w:t>for</w:t>
            </w:r>
            <w:r w:rsidRPr="00150864">
              <w:rPr>
                <w:rFonts w:ascii="Times" w:eastAsia="Batang" w:hAnsi="Times" w:cs="Times New Roman"/>
                <w:sz w:val="20"/>
                <w:szCs w:val="20"/>
              </w:rPr>
              <w:t xml:space="preserve"> enhanc</w:t>
            </w:r>
            <w:r w:rsidRPr="00150864">
              <w:rPr>
                <w:rFonts w:ascii="Times" w:eastAsia="Batang" w:hAnsi="Times" w:cs="Times New Roman" w:hint="eastAsia"/>
                <w:sz w:val="20"/>
                <w:szCs w:val="20"/>
              </w:rPr>
              <w:t>ing</w:t>
            </w:r>
            <w:r w:rsidRPr="00150864">
              <w:rPr>
                <w:rFonts w:ascii="Times" w:eastAsia="Batang" w:hAnsi="Times" w:cs="Times New Roman"/>
                <w:sz w:val="20"/>
                <w:szCs w:val="20"/>
              </w:rPr>
              <w:t xml:space="preserve"> reliability and reduc</w:t>
            </w:r>
            <w:r w:rsidRPr="00150864">
              <w:rPr>
                <w:rFonts w:ascii="Times" w:eastAsia="Batang" w:hAnsi="Times" w:cs="Times New Roman" w:hint="eastAsia"/>
                <w:sz w:val="20"/>
                <w:szCs w:val="20"/>
              </w:rPr>
              <w:t>ing</w:t>
            </w:r>
            <w:r w:rsidRPr="00150864">
              <w:rPr>
                <w:rFonts w:ascii="Times" w:eastAsia="Batang" w:hAnsi="Times" w:cs="Times New Roman"/>
                <w:sz w:val="20"/>
                <w:szCs w:val="20"/>
              </w:rPr>
              <w:t xml:space="preserve"> latency </w:t>
            </w:r>
          </w:p>
          <w:p w14:paraId="5AA4DE39" w14:textId="77777777" w:rsidR="00150864" w:rsidRPr="00150864" w:rsidRDefault="00150864" w:rsidP="000B2BFA">
            <w:pPr>
              <w:numPr>
                <w:ilvl w:val="1"/>
                <w:numId w:val="12"/>
              </w:numPr>
              <w:spacing w:after="0"/>
              <w:rPr>
                <w:rFonts w:ascii="Times" w:eastAsia="Batang" w:hAnsi="Times" w:cs="Times New Roman"/>
                <w:sz w:val="20"/>
                <w:szCs w:val="20"/>
              </w:rPr>
            </w:pPr>
            <w:r w:rsidRPr="00150864">
              <w:rPr>
                <w:rFonts w:ascii="Times" w:eastAsia="Batang" w:hAnsi="Times" w:cs="Times New Roman"/>
                <w:sz w:val="20"/>
                <w:szCs w:val="20"/>
              </w:rPr>
              <w:t>FFS details</w:t>
            </w:r>
          </w:p>
          <w:p w14:paraId="01EE1D6F" w14:textId="77777777" w:rsidR="00150864" w:rsidRPr="00150864" w:rsidRDefault="00150864" w:rsidP="000B2BFA">
            <w:pPr>
              <w:numPr>
                <w:ilvl w:val="1"/>
                <w:numId w:val="12"/>
              </w:numPr>
              <w:spacing w:after="0"/>
              <w:rPr>
                <w:rFonts w:ascii="Times" w:eastAsia="Batang" w:hAnsi="Times" w:cs="Times New Roman"/>
                <w:sz w:val="20"/>
                <w:szCs w:val="20"/>
              </w:rPr>
            </w:pPr>
            <w:r w:rsidRPr="00150864">
              <w:rPr>
                <w:rFonts w:ascii="Times" w:eastAsia="Batang" w:hAnsi="Times" w:cs="Times New Roman"/>
                <w:sz w:val="20"/>
                <w:szCs w:val="20"/>
              </w:rPr>
              <w:t>Note: it is understood that the above may be related to RAN2-led work on intra-UE multiplexing</w:t>
            </w:r>
          </w:p>
          <w:p w14:paraId="7C5D1886" w14:textId="77777777" w:rsidR="00F27A89" w:rsidRDefault="00F27A89" w:rsidP="00C06E27">
            <w:pPr>
              <w:tabs>
                <w:tab w:val="num" w:pos="2160"/>
              </w:tabs>
              <w:spacing w:after="0"/>
              <w:jc w:val="both"/>
              <w:rPr>
                <w:rFonts w:ascii="Times New Roman" w:eastAsia="Times New Roman" w:hAnsi="Times New Roman" w:cs="Times New Roman"/>
                <w:bCs/>
                <w:sz w:val="20"/>
                <w:szCs w:val="20"/>
              </w:rPr>
            </w:pPr>
          </w:p>
          <w:p w14:paraId="4B286350" w14:textId="489E1473" w:rsidR="00A236EF" w:rsidRPr="00A236EF" w:rsidRDefault="00A236EF" w:rsidP="00C06E27">
            <w:pPr>
              <w:tabs>
                <w:tab w:val="num" w:pos="2160"/>
              </w:tabs>
              <w:spacing w:after="0"/>
              <w:jc w:val="both"/>
              <w:rPr>
                <w:rFonts w:ascii="Times New Roman" w:eastAsia="Times New Roman" w:hAnsi="Times New Roman" w:cs="Times New Roman"/>
                <w:b/>
                <w:bCs/>
                <w:sz w:val="20"/>
                <w:szCs w:val="20"/>
                <w:u w:val="single"/>
              </w:rPr>
            </w:pPr>
            <w:r w:rsidRPr="00A236EF">
              <w:rPr>
                <w:b/>
                <w:u w:val="single"/>
              </w:rPr>
              <w:t>RAN1 Ad-Hoc 1901</w:t>
            </w:r>
          </w:p>
          <w:p w14:paraId="010CE1ED" w14:textId="77777777" w:rsidR="00A236EF" w:rsidRPr="00A236EF" w:rsidRDefault="00A236EF" w:rsidP="00A236EF">
            <w:pPr>
              <w:spacing w:after="0" w:line="240" w:lineRule="auto"/>
              <w:rPr>
                <w:rFonts w:ascii="Times" w:eastAsia="Batang" w:hAnsi="Times" w:cs="Times New Roman"/>
                <w:sz w:val="20"/>
                <w:szCs w:val="20"/>
                <w:highlight w:val="green"/>
                <w:lang w:eastAsia="x-none"/>
              </w:rPr>
            </w:pPr>
            <w:r w:rsidRPr="00A236EF">
              <w:rPr>
                <w:rFonts w:ascii="Times" w:eastAsia="Batang" w:hAnsi="Times" w:cs="Times New Roman"/>
                <w:sz w:val="20"/>
                <w:szCs w:val="20"/>
                <w:highlight w:val="green"/>
                <w:lang w:eastAsia="x-none"/>
              </w:rPr>
              <w:t>Agreements:</w:t>
            </w:r>
          </w:p>
          <w:p w14:paraId="3B2FB847" w14:textId="59DFB3AD" w:rsidR="00A236EF" w:rsidRPr="00A236EF" w:rsidRDefault="00A236EF" w:rsidP="00A236EF">
            <w:pPr>
              <w:widowControl w:val="0"/>
              <w:numPr>
                <w:ilvl w:val="0"/>
                <w:numId w:val="16"/>
              </w:numPr>
              <w:spacing w:afterLines="50" w:after="120" w:line="240" w:lineRule="auto"/>
              <w:jc w:val="both"/>
              <w:rPr>
                <w:rFonts w:ascii="Times New Roman" w:eastAsia="Yu Mincho" w:hAnsi="Times New Roman" w:cs="Times New Roman"/>
                <w:sz w:val="20"/>
                <w:szCs w:val="20"/>
              </w:rPr>
            </w:pPr>
            <w:r w:rsidRPr="00A236EF">
              <w:rPr>
                <w:rFonts w:ascii="Times New Roman" w:eastAsia="Yu Mincho" w:hAnsi="Times New Roman" w:cs="Times New Roman"/>
                <w:sz w:val="20"/>
                <w:szCs w:val="20"/>
              </w:rPr>
              <w:t xml:space="preserve">In Rel-16, for both Type 1 and Type 2 configured grant and when multiple active configurations are configured in a BWP, transmission of a TB based on the configured grant is </w:t>
            </w:r>
            <w:r w:rsidRPr="00A236EF">
              <w:rPr>
                <w:rFonts w:ascii="Times New Roman" w:eastAsia="Yu Mincho" w:hAnsi="Times New Roman" w:cs="Times New Roman" w:hint="eastAsia"/>
                <w:sz w:val="20"/>
                <w:szCs w:val="20"/>
              </w:rPr>
              <w:t>associated</w:t>
            </w:r>
            <w:r w:rsidRPr="00A236EF">
              <w:rPr>
                <w:rFonts w:ascii="Times New Roman" w:eastAsia="Yu Mincho" w:hAnsi="Times New Roman" w:cs="Times New Roman"/>
                <w:sz w:val="20"/>
                <w:szCs w:val="20"/>
              </w:rPr>
              <w:t xml:space="preserve"> with a single active configuration, even if the transmission is repeated</w:t>
            </w:r>
          </w:p>
        </w:tc>
      </w:tr>
    </w:tbl>
    <w:p w14:paraId="75FCDA59" w14:textId="77777777" w:rsidR="00A236EF" w:rsidRDefault="00A236EF" w:rsidP="00C06E27">
      <w:pPr>
        <w:jc w:val="both"/>
        <w:rPr>
          <w:rFonts w:eastAsia="MS Mincho"/>
        </w:rPr>
      </w:pPr>
    </w:p>
    <w:p w14:paraId="0008BDCC" w14:textId="682C5F1B" w:rsidR="00F272E6" w:rsidRDefault="00F272E6" w:rsidP="00C06E27">
      <w:pPr>
        <w:jc w:val="both"/>
        <w:rPr>
          <w:rFonts w:eastAsia="MS Mincho"/>
        </w:rPr>
      </w:pPr>
      <w:r w:rsidRPr="00BE04D2">
        <w:rPr>
          <w:rFonts w:eastAsia="MS Mincho"/>
        </w:rPr>
        <w:t>In this contribution we will</w:t>
      </w:r>
      <w:r w:rsidR="003C4ED0" w:rsidRPr="00BE04D2">
        <w:rPr>
          <w:rFonts w:eastAsia="MS Mincho"/>
        </w:rPr>
        <w:t xml:space="preserve"> </w:t>
      </w:r>
      <w:r w:rsidR="00BE04D2" w:rsidRPr="00BE04D2">
        <w:rPr>
          <w:rFonts w:eastAsia="MS Mincho"/>
        </w:rPr>
        <w:t>discuss</w:t>
      </w:r>
      <w:r w:rsidR="003C4ED0" w:rsidRPr="00BE04D2">
        <w:rPr>
          <w:rFonts w:eastAsia="MS Mincho"/>
        </w:rPr>
        <w:t xml:space="preserve"> </w:t>
      </w:r>
      <w:r w:rsidR="00A236EF">
        <w:rPr>
          <w:rFonts w:eastAsia="MS Mincho"/>
        </w:rPr>
        <w:t>some details of multiple active configured grant configurations</w:t>
      </w:r>
      <w:r w:rsidRPr="00BE04D2">
        <w:rPr>
          <w:rFonts w:eastAsia="MS Mincho"/>
        </w:rPr>
        <w:t>.</w:t>
      </w:r>
    </w:p>
    <w:p w14:paraId="64E33221" w14:textId="77777777" w:rsidR="000A4440" w:rsidRDefault="000A4440" w:rsidP="00C06E27">
      <w:pPr>
        <w:pStyle w:val="Heading1"/>
        <w:numPr>
          <w:ilvl w:val="0"/>
          <w:numId w:val="9"/>
        </w:numPr>
        <w:spacing w:after="120"/>
        <w:ind w:left="357" w:hanging="357"/>
        <w:jc w:val="both"/>
      </w:pPr>
      <w:r>
        <w:t>Discussion</w:t>
      </w:r>
    </w:p>
    <w:p w14:paraId="76D85275" w14:textId="521F6D48" w:rsidR="000A4440" w:rsidRPr="000A4440" w:rsidRDefault="000A4440" w:rsidP="00C06E27">
      <w:pPr>
        <w:pStyle w:val="Heading1"/>
        <w:numPr>
          <w:ilvl w:val="1"/>
          <w:numId w:val="9"/>
        </w:numPr>
        <w:spacing w:after="120"/>
        <w:jc w:val="both"/>
        <w:rPr>
          <w:sz w:val="28"/>
        </w:rPr>
      </w:pPr>
      <w:r w:rsidRPr="000A4440">
        <w:rPr>
          <w:sz w:val="28"/>
        </w:rPr>
        <w:t>Multiple</w:t>
      </w:r>
      <w:r w:rsidR="006F0D6F">
        <w:rPr>
          <w:sz w:val="28"/>
        </w:rPr>
        <w:t xml:space="preserve"> active </w:t>
      </w:r>
      <w:r w:rsidRPr="000A4440">
        <w:rPr>
          <w:sz w:val="28"/>
        </w:rPr>
        <w:t xml:space="preserve">configured grant </w:t>
      </w:r>
      <w:r w:rsidR="00A236EF">
        <w:rPr>
          <w:sz w:val="28"/>
        </w:rPr>
        <w:t>configurations</w:t>
      </w:r>
    </w:p>
    <w:p w14:paraId="02897046" w14:textId="77777777" w:rsidR="004C7049" w:rsidRPr="004C7049" w:rsidRDefault="004C7049" w:rsidP="004C7049">
      <w:pPr>
        <w:jc w:val="both"/>
        <w:rPr>
          <w:b/>
          <w:u w:val="single"/>
        </w:rPr>
      </w:pPr>
      <w:r w:rsidRPr="004C7049">
        <w:rPr>
          <w:b/>
          <w:u w:val="single"/>
        </w:rPr>
        <w:t>Configuration parameters among multiple configurations</w:t>
      </w:r>
    </w:p>
    <w:p w14:paraId="4DA0AC3A" w14:textId="57A55FA8" w:rsidR="00393EC3" w:rsidRDefault="004C7049" w:rsidP="00C06E27">
      <w:pPr>
        <w:jc w:val="both"/>
      </w:pPr>
      <w:r>
        <w:t>M</w:t>
      </w:r>
      <w:r w:rsidRPr="00C1762F">
        <w:t xml:space="preserve">ultiple active configured grant configurations </w:t>
      </w:r>
      <w:r>
        <w:t xml:space="preserve">were agreed to support </w:t>
      </w:r>
      <w:r w:rsidRPr="00C1762F">
        <w:t>different services/traffic types and/or enhancing reliability and reducing latency</w:t>
      </w:r>
      <w:r>
        <w:t>. For the purpose of reliability enhancement and latency reduction, some parameters for configured grant transmission can be common</w:t>
      </w:r>
      <w:r w:rsidR="00E96AD1">
        <w:t xml:space="preserve"> among configured grant configurations</w:t>
      </w:r>
      <w:r>
        <w:t xml:space="preserve">. </w:t>
      </w:r>
      <w:r w:rsidR="00E96AD1">
        <w:t xml:space="preserve">In such case, grouping of the configurations may be useful. However for the support of different services/traffic types, all parameters should enable to be independently configured among the configurations. Unless there is any </w:t>
      </w:r>
      <w:r w:rsidR="00D53916">
        <w:t>benefit</w:t>
      </w:r>
      <w:r w:rsidR="00E96AD1">
        <w:t xml:space="preserve"> to differentiate </w:t>
      </w:r>
      <w:r w:rsidR="006864A5">
        <w:t>signalling structure between their purposes, all parameters should be independently configured among the configurations.</w:t>
      </w:r>
    </w:p>
    <w:p w14:paraId="1651364F" w14:textId="30BCBAAB" w:rsidR="004C7049" w:rsidRDefault="006864A5" w:rsidP="00C06E27">
      <w:pPr>
        <w:jc w:val="both"/>
        <w:rPr>
          <w:b/>
        </w:rPr>
      </w:pPr>
      <w:r w:rsidRPr="000850A9">
        <w:rPr>
          <w:b/>
        </w:rPr>
        <w:t>Proposal</w:t>
      </w:r>
      <w:r>
        <w:rPr>
          <w:b/>
        </w:rPr>
        <w:t xml:space="preserve"> 1</w:t>
      </w:r>
      <w:r w:rsidRPr="000850A9">
        <w:rPr>
          <w:b/>
        </w:rPr>
        <w:t>:</w:t>
      </w:r>
      <w:r>
        <w:rPr>
          <w:b/>
        </w:rPr>
        <w:t xml:space="preserve"> </w:t>
      </w:r>
      <w:r w:rsidR="0088521D">
        <w:rPr>
          <w:b/>
        </w:rPr>
        <w:t>The</w:t>
      </w:r>
      <w:r w:rsidR="0088521D" w:rsidRPr="006864A5">
        <w:rPr>
          <w:b/>
        </w:rPr>
        <w:t xml:space="preserve"> </w:t>
      </w:r>
      <w:r w:rsidRPr="006864A5">
        <w:rPr>
          <w:b/>
        </w:rPr>
        <w:t xml:space="preserve">parameters </w:t>
      </w:r>
      <w:r w:rsidR="0088521D">
        <w:rPr>
          <w:b/>
        </w:rPr>
        <w:t>for each configured grant</w:t>
      </w:r>
      <w:r w:rsidR="00046394">
        <w:rPr>
          <w:b/>
        </w:rPr>
        <w:t xml:space="preserve"> configuration</w:t>
      </w:r>
      <w:r w:rsidR="0088521D">
        <w:rPr>
          <w:b/>
        </w:rPr>
        <w:t xml:space="preserve"> </w:t>
      </w:r>
      <w:r w:rsidR="00D36EE7">
        <w:rPr>
          <w:b/>
        </w:rPr>
        <w:t>are</w:t>
      </w:r>
      <w:r w:rsidRPr="006864A5">
        <w:rPr>
          <w:b/>
        </w:rPr>
        <w:t xml:space="preserve"> independently configured</w:t>
      </w:r>
      <w:r>
        <w:rPr>
          <w:b/>
        </w:rPr>
        <w:t>.</w:t>
      </w:r>
    </w:p>
    <w:p w14:paraId="68C8600F" w14:textId="1F983539" w:rsidR="00D53916" w:rsidRDefault="00D53916" w:rsidP="00C06E27">
      <w:pPr>
        <w:jc w:val="both"/>
      </w:pPr>
      <w:r>
        <w:t xml:space="preserve">In addition to existing parameters for configured grant configuration, </w:t>
      </w:r>
      <w:r w:rsidR="00994570">
        <w:t>a configuration index should be introduced to differentiate the multiple configuration.</w:t>
      </w:r>
    </w:p>
    <w:p w14:paraId="5E2C50D8" w14:textId="4031C4CE" w:rsidR="00D36EE7" w:rsidRDefault="00D36EE7" w:rsidP="00C06E27">
      <w:pPr>
        <w:jc w:val="both"/>
        <w:rPr>
          <w:b/>
        </w:rPr>
      </w:pPr>
      <w:r w:rsidRPr="000850A9">
        <w:rPr>
          <w:b/>
        </w:rPr>
        <w:lastRenderedPageBreak/>
        <w:t>Proposal</w:t>
      </w:r>
      <w:r>
        <w:rPr>
          <w:b/>
        </w:rPr>
        <w:t xml:space="preserve"> 2</w:t>
      </w:r>
      <w:r w:rsidRPr="000850A9">
        <w:rPr>
          <w:b/>
        </w:rPr>
        <w:t>:</w:t>
      </w:r>
      <w:r>
        <w:rPr>
          <w:b/>
        </w:rPr>
        <w:t xml:space="preserve"> A</w:t>
      </w:r>
      <w:r w:rsidRPr="00D36EE7">
        <w:rPr>
          <w:b/>
        </w:rPr>
        <w:t xml:space="preserve"> configuration index </w:t>
      </w:r>
      <w:r>
        <w:rPr>
          <w:b/>
        </w:rPr>
        <w:t>is</w:t>
      </w:r>
      <w:r w:rsidRPr="00D36EE7">
        <w:rPr>
          <w:b/>
        </w:rPr>
        <w:t xml:space="preserve"> introduced to differentiate the multiple</w:t>
      </w:r>
      <w:r w:rsidR="00046394">
        <w:rPr>
          <w:b/>
        </w:rPr>
        <w:t xml:space="preserve"> configured grant</w:t>
      </w:r>
      <w:r w:rsidRPr="00D36EE7">
        <w:rPr>
          <w:b/>
        </w:rPr>
        <w:t xml:space="preserve"> configuration</w:t>
      </w:r>
      <w:r>
        <w:rPr>
          <w:b/>
        </w:rPr>
        <w:t>s</w:t>
      </w:r>
      <w:r w:rsidRPr="00D36EE7">
        <w:rPr>
          <w:b/>
        </w:rPr>
        <w:t>.</w:t>
      </w:r>
    </w:p>
    <w:p w14:paraId="0AB2B5FA" w14:textId="77777777" w:rsidR="00D055C5" w:rsidRDefault="00D055C5" w:rsidP="00C06E27">
      <w:pPr>
        <w:jc w:val="both"/>
        <w:rPr>
          <w:b/>
        </w:rPr>
      </w:pPr>
    </w:p>
    <w:p w14:paraId="5DA50A44" w14:textId="1F87A8A6" w:rsidR="004C7530" w:rsidRPr="004C7530" w:rsidRDefault="004C7530" w:rsidP="00C06E27">
      <w:pPr>
        <w:jc w:val="both"/>
        <w:rPr>
          <w:b/>
          <w:u w:val="single"/>
        </w:rPr>
      </w:pPr>
      <w:r w:rsidRPr="004C7530">
        <w:rPr>
          <w:b/>
          <w:u w:val="single"/>
        </w:rPr>
        <w:t>HARQ process determination for the multiple configurations</w:t>
      </w:r>
    </w:p>
    <w:p w14:paraId="58981686" w14:textId="0B90C5D7" w:rsidR="004C7530" w:rsidRDefault="004C7530" w:rsidP="00C06E27">
      <w:pPr>
        <w:jc w:val="both"/>
      </w:pPr>
      <w:r>
        <w:t xml:space="preserve">When a UE is configured with multiple </w:t>
      </w:r>
      <w:r w:rsidR="007D3C3E">
        <w:t>configured grant</w:t>
      </w:r>
      <w:r w:rsidR="009F2261">
        <w:t>s</w:t>
      </w:r>
      <w:r w:rsidR="007D3C3E">
        <w:t xml:space="preserve">, gNB needs to know which configuration </w:t>
      </w:r>
      <w:r w:rsidR="00982959">
        <w:t>is used for a configured g</w:t>
      </w:r>
      <w:r w:rsidR="0079201C">
        <w:t>rant UL transmission from UE. Based on the summary in</w:t>
      </w:r>
      <w:r w:rsidR="00982959">
        <w:t xml:space="preserve"> [</w:t>
      </w:r>
      <w:r w:rsidR="00A236EF">
        <w:t>3</w:t>
      </w:r>
      <w:r w:rsidR="00982959">
        <w:t xml:space="preserve">], </w:t>
      </w:r>
      <w:r w:rsidR="0079201C">
        <w:t xml:space="preserve">we can consider </w:t>
      </w:r>
      <w:r w:rsidR="00982959">
        <w:t xml:space="preserve">three options for the determination of </w:t>
      </w:r>
      <w:r w:rsidR="00982959" w:rsidRPr="00982959">
        <w:t>HARQ process ID for a configured grant PUSCH transmission</w:t>
      </w:r>
      <w:r w:rsidR="00982959">
        <w:t xml:space="preserve"> as follows.</w:t>
      </w:r>
    </w:p>
    <w:p w14:paraId="2861DB1F" w14:textId="42AF4748" w:rsidR="00982959" w:rsidRDefault="00982959" w:rsidP="00982959">
      <w:pPr>
        <w:pStyle w:val="ListParagraph"/>
        <w:numPr>
          <w:ilvl w:val="0"/>
          <w:numId w:val="14"/>
        </w:numPr>
        <w:jc w:val="both"/>
      </w:pPr>
      <w:r>
        <w:t xml:space="preserve">Option 1: </w:t>
      </w:r>
      <w:r w:rsidRPr="00982959">
        <w:t xml:space="preserve">HARQ process ID </w:t>
      </w:r>
      <w:r>
        <w:t xml:space="preserve">is determined by </w:t>
      </w:r>
      <w:r w:rsidRPr="00982959">
        <w:t>starting symbol of the PUSCH transmission as in Rel.15</w:t>
      </w:r>
    </w:p>
    <w:p w14:paraId="0BDEEA9A" w14:textId="68A978EB" w:rsidR="0079201C" w:rsidRPr="004C7530" w:rsidRDefault="0079201C" w:rsidP="0079201C">
      <w:pPr>
        <w:pStyle w:val="ListParagraph"/>
        <w:numPr>
          <w:ilvl w:val="0"/>
          <w:numId w:val="14"/>
        </w:numPr>
        <w:jc w:val="both"/>
      </w:pPr>
      <w:r>
        <w:t xml:space="preserve">Option 2: </w:t>
      </w:r>
      <w:r w:rsidRPr="00982959">
        <w:t xml:space="preserve">HARQ process ID </w:t>
      </w:r>
      <w:r>
        <w:t xml:space="preserve">is determined by </w:t>
      </w:r>
      <w:r w:rsidRPr="00982959">
        <w:t>starting symbol of the PUSCH transmission</w:t>
      </w:r>
      <w:r>
        <w:t xml:space="preserve"> and other parameter configured for each configuration, e.g. HARQ process ID offset, DMRS </w:t>
      </w:r>
      <w:r w:rsidR="000C1321">
        <w:t>parameter</w:t>
      </w:r>
    </w:p>
    <w:p w14:paraId="1C79D04A" w14:textId="53CB2EC9" w:rsidR="00982959" w:rsidRDefault="0079201C" w:rsidP="00982959">
      <w:pPr>
        <w:pStyle w:val="ListParagraph"/>
        <w:numPr>
          <w:ilvl w:val="0"/>
          <w:numId w:val="14"/>
        </w:numPr>
        <w:jc w:val="both"/>
      </w:pPr>
      <w:r>
        <w:t>Option 3</w:t>
      </w:r>
      <w:r w:rsidR="00982959">
        <w:t>:</w:t>
      </w:r>
      <w:r w:rsidR="00982959" w:rsidRPr="00982959">
        <w:t xml:space="preserve"> HARQ </w:t>
      </w:r>
      <w:r w:rsidR="00982959">
        <w:t xml:space="preserve">process </w:t>
      </w:r>
      <w:r w:rsidR="00982959" w:rsidRPr="00982959">
        <w:t>ID</w:t>
      </w:r>
      <w:r w:rsidR="00982959">
        <w:t xml:space="preserve"> is </w:t>
      </w:r>
      <w:r w:rsidR="000C1321">
        <w:t>transmitted</w:t>
      </w:r>
      <w:r w:rsidR="00982959">
        <w:t xml:space="preserve"> from UE as UCI</w:t>
      </w:r>
    </w:p>
    <w:p w14:paraId="325DA8E5" w14:textId="374BDEBC" w:rsidR="004C7530" w:rsidRDefault="0079201C" w:rsidP="00C06E27">
      <w:pPr>
        <w:jc w:val="both"/>
      </w:pPr>
      <w:r>
        <w:t xml:space="preserve">In option 1, </w:t>
      </w:r>
      <w:r w:rsidR="00AB565C">
        <w:t xml:space="preserve">when starting symbols of the PUSCH transmission are the same among the configurations, the gNB cannot recognise which configuration is used due to the same HARQ process ID. </w:t>
      </w:r>
      <w:r w:rsidR="000C1321">
        <w:t xml:space="preserve">In option 2, additional parameter is configured in order to enable to differentiate HARQ process ID among the configurations even in the case of the same starting symbols of the PUSCH transmission. In option 3, </w:t>
      </w:r>
      <w:r w:rsidR="000C1321" w:rsidRPr="00982959">
        <w:t xml:space="preserve">HARQ </w:t>
      </w:r>
      <w:r w:rsidR="000C1321">
        <w:t xml:space="preserve">process </w:t>
      </w:r>
      <w:r w:rsidR="000C1321" w:rsidRPr="00982959">
        <w:t>ID</w:t>
      </w:r>
      <w:r w:rsidR="000C1321">
        <w:t xml:space="preserve"> is transmitted together with uplink data from UE as UCI. Since UCI based solution is supported for NR-U, </w:t>
      </w:r>
      <w:r w:rsidR="0003598F">
        <w:t>this could be</w:t>
      </w:r>
      <w:r w:rsidR="0003598F" w:rsidRPr="0003598F">
        <w:t xml:space="preserve"> designed to have commonality with NR-U</w:t>
      </w:r>
      <w:r w:rsidR="0003598F">
        <w:t>.</w:t>
      </w:r>
    </w:p>
    <w:p w14:paraId="6477B0C2" w14:textId="4C027324" w:rsidR="0003598F" w:rsidRDefault="0003598F" w:rsidP="00C06E27">
      <w:pPr>
        <w:jc w:val="both"/>
      </w:pPr>
      <w:r>
        <w:t xml:space="preserve">For support of </w:t>
      </w:r>
      <w:r w:rsidRPr="00C1762F">
        <w:t>different services/traffic types</w:t>
      </w:r>
      <w:r>
        <w:t xml:space="preserve">, starting symbols of the PUSCH transmission </w:t>
      </w:r>
      <w:r w:rsidR="00046394">
        <w:t>could</w:t>
      </w:r>
      <w:r>
        <w:t xml:space="preserve"> be the same among the configurations. Therefore option</w:t>
      </w:r>
      <w:r w:rsidR="002221DF">
        <w:t>s</w:t>
      </w:r>
      <w:r>
        <w:t xml:space="preserve"> 2 and 3</w:t>
      </w:r>
      <w:r w:rsidR="002221DF">
        <w:t xml:space="preserve"> should be further discussed for </w:t>
      </w:r>
      <w:r w:rsidR="002221DF" w:rsidRPr="002221DF">
        <w:t>HARQ process determination for the multiple configurations</w:t>
      </w:r>
      <w:r w:rsidR="002221DF">
        <w:t>.</w:t>
      </w:r>
    </w:p>
    <w:p w14:paraId="7AA050DD" w14:textId="77777777" w:rsidR="002221DF" w:rsidRDefault="0003598F" w:rsidP="002221DF">
      <w:pPr>
        <w:jc w:val="both"/>
        <w:rPr>
          <w:b/>
        </w:rPr>
      </w:pPr>
      <w:r w:rsidRPr="000850A9">
        <w:rPr>
          <w:b/>
        </w:rPr>
        <w:t>Proposal</w:t>
      </w:r>
      <w:r>
        <w:rPr>
          <w:b/>
        </w:rPr>
        <w:t xml:space="preserve"> 3: </w:t>
      </w:r>
      <w:r w:rsidR="002221DF">
        <w:rPr>
          <w:b/>
        </w:rPr>
        <w:t xml:space="preserve">The following options </w:t>
      </w:r>
      <w:r w:rsidR="002221DF" w:rsidRPr="002221DF">
        <w:rPr>
          <w:b/>
        </w:rPr>
        <w:t>should be further discussed for HARQ process determination for the multiple configurations.</w:t>
      </w:r>
      <w:r w:rsidR="002221DF" w:rsidRPr="002221DF">
        <w:t xml:space="preserve"> </w:t>
      </w:r>
    </w:p>
    <w:p w14:paraId="658AAA26" w14:textId="0893B28F" w:rsidR="002221DF" w:rsidRDefault="002221DF" w:rsidP="004B376C">
      <w:pPr>
        <w:pStyle w:val="ListParagraph"/>
        <w:numPr>
          <w:ilvl w:val="0"/>
          <w:numId w:val="15"/>
        </w:numPr>
        <w:jc w:val="both"/>
        <w:rPr>
          <w:b/>
        </w:rPr>
      </w:pPr>
      <w:r w:rsidRPr="002221DF">
        <w:rPr>
          <w:b/>
        </w:rPr>
        <w:t>HARQ process ID is determined by starting symbol of the PUSCH transmission and other parameter configured for each configuration, e.g. HARQ process ID offset, DMRS parameter</w:t>
      </w:r>
    </w:p>
    <w:p w14:paraId="01C87633" w14:textId="4688C8FF" w:rsidR="0079201C" w:rsidRPr="002221DF" w:rsidRDefault="002221DF" w:rsidP="004B376C">
      <w:pPr>
        <w:pStyle w:val="ListParagraph"/>
        <w:numPr>
          <w:ilvl w:val="0"/>
          <w:numId w:val="15"/>
        </w:numPr>
        <w:jc w:val="both"/>
        <w:rPr>
          <w:b/>
        </w:rPr>
      </w:pPr>
      <w:r w:rsidRPr="002221DF">
        <w:rPr>
          <w:b/>
        </w:rPr>
        <w:t>HARQ process ID is transmitted from UE as UCI</w:t>
      </w:r>
    </w:p>
    <w:p w14:paraId="50042C44" w14:textId="77777777" w:rsidR="0003598F" w:rsidRPr="004C7530" w:rsidRDefault="0003598F" w:rsidP="00C06E27">
      <w:pPr>
        <w:jc w:val="both"/>
      </w:pPr>
    </w:p>
    <w:p w14:paraId="27FC009E" w14:textId="2535DC36" w:rsidR="00393EC3" w:rsidRPr="00C00F78" w:rsidRDefault="00393EC3" w:rsidP="00C06E27">
      <w:pPr>
        <w:jc w:val="both"/>
        <w:rPr>
          <w:b/>
          <w:u w:val="single"/>
        </w:rPr>
      </w:pPr>
      <w:r w:rsidRPr="00C00F78">
        <w:rPr>
          <w:b/>
          <w:u w:val="single"/>
        </w:rPr>
        <w:t>Act</w:t>
      </w:r>
      <w:r w:rsidR="006864A5" w:rsidRPr="00C00F78">
        <w:rPr>
          <w:b/>
          <w:u w:val="single"/>
        </w:rPr>
        <w:t xml:space="preserve">ivation </w:t>
      </w:r>
      <w:r w:rsidRPr="00C00F78">
        <w:rPr>
          <w:b/>
          <w:u w:val="single"/>
        </w:rPr>
        <w:t>/</w:t>
      </w:r>
      <w:r w:rsidR="006864A5" w:rsidRPr="00C00F78">
        <w:rPr>
          <w:b/>
          <w:u w:val="single"/>
        </w:rPr>
        <w:t xml:space="preserve"> </w:t>
      </w:r>
      <w:r w:rsidRPr="00C00F78">
        <w:rPr>
          <w:b/>
          <w:u w:val="single"/>
        </w:rPr>
        <w:t>Deact</w:t>
      </w:r>
      <w:r w:rsidR="006864A5" w:rsidRPr="00C00F78">
        <w:rPr>
          <w:b/>
          <w:u w:val="single"/>
        </w:rPr>
        <w:t>ivation</w:t>
      </w:r>
      <w:r w:rsidR="002221DF">
        <w:rPr>
          <w:b/>
          <w:u w:val="single"/>
        </w:rPr>
        <w:t xml:space="preserve"> signalling</w:t>
      </w:r>
      <w:r w:rsidR="006864A5" w:rsidRPr="00C00F78">
        <w:rPr>
          <w:b/>
          <w:u w:val="single"/>
        </w:rPr>
        <w:t xml:space="preserve"> for Type 2 configured grant</w:t>
      </w:r>
      <w:r w:rsidR="00C00F78">
        <w:rPr>
          <w:b/>
          <w:u w:val="single"/>
        </w:rPr>
        <w:t xml:space="preserve"> configuration</w:t>
      </w:r>
    </w:p>
    <w:p w14:paraId="6AE853A2" w14:textId="792B9086" w:rsidR="0044618F" w:rsidRDefault="00C00F78" w:rsidP="00C06E27">
      <w:pPr>
        <w:jc w:val="both"/>
      </w:pPr>
      <w:r>
        <w:t>For Type 2 configured grant configuration, an activation and deactivation are indicated by UE-specific DCI.</w:t>
      </w:r>
      <w:r w:rsidR="0044618F">
        <w:t xml:space="preserve"> To support the multiple configuration, we can consider two types of signalling for the activation/deactivation, i.e. an independent </w:t>
      </w:r>
      <w:r w:rsidR="001E25A8">
        <w:t xml:space="preserve">DCI </w:t>
      </w:r>
      <w:r w:rsidR="0044618F">
        <w:t>signalling and a single</w:t>
      </w:r>
      <w:r w:rsidR="001E25A8">
        <w:t xml:space="preserve"> DCI</w:t>
      </w:r>
      <w:r w:rsidR="0044618F">
        <w:t xml:space="preserve"> signalling.</w:t>
      </w:r>
    </w:p>
    <w:p w14:paraId="4D5447A2" w14:textId="3D829D6D" w:rsidR="00DC2370" w:rsidRDefault="0044618F" w:rsidP="00C06E27">
      <w:pPr>
        <w:jc w:val="both"/>
      </w:pPr>
      <w:r>
        <w:t xml:space="preserve">For the purpose of </w:t>
      </w:r>
      <w:r w:rsidRPr="00C1762F">
        <w:t>enhancing reliability and reducing latency</w:t>
      </w:r>
      <w:r>
        <w:t xml:space="preserve">, since most of parameters in DCI could be common, the single signalling may be beneficial in terms of an overhead reduction for PDCCH transmission. However for the purpose of </w:t>
      </w:r>
      <w:r w:rsidRPr="00C1762F">
        <w:t>different services/traffic types</w:t>
      </w:r>
      <w:r>
        <w:t xml:space="preserve">, all parameters in DCI should be independently indicated for a flexible scheduling. </w:t>
      </w:r>
      <w:r w:rsidR="00DC2370">
        <w:t>Unless there is any benefit to differentiate DCI signalling between their purposes, the independent</w:t>
      </w:r>
      <w:r w:rsidR="001E25A8">
        <w:t xml:space="preserve"> DCI</w:t>
      </w:r>
      <w:r w:rsidR="00DC2370">
        <w:t xml:space="preserve"> signalling should be used for the a</w:t>
      </w:r>
      <w:r w:rsidR="00DC2370" w:rsidRPr="00DC2370">
        <w:t>ctivation</w:t>
      </w:r>
      <w:r w:rsidR="00DC2370">
        <w:t>. On the other hand, for the deactivation signalling, since it is not necessary to realize such flexibility, the single</w:t>
      </w:r>
      <w:r w:rsidR="001E25A8">
        <w:t xml:space="preserve"> DCI</w:t>
      </w:r>
      <w:r w:rsidR="00DC2370">
        <w:t xml:space="preserve"> signalling could be used for the overhead reduction.</w:t>
      </w:r>
    </w:p>
    <w:p w14:paraId="09B0752F" w14:textId="5B09831D" w:rsidR="00393EC3" w:rsidRDefault="00DC2370" w:rsidP="00C06E27">
      <w:pPr>
        <w:jc w:val="both"/>
        <w:rPr>
          <w:b/>
        </w:rPr>
      </w:pPr>
      <w:r w:rsidRPr="000850A9">
        <w:rPr>
          <w:b/>
        </w:rPr>
        <w:t>Proposal</w:t>
      </w:r>
      <w:r>
        <w:rPr>
          <w:b/>
        </w:rPr>
        <w:t xml:space="preserve"> 4: F</w:t>
      </w:r>
      <w:r w:rsidRPr="00DC2370">
        <w:rPr>
          <w:b/>
        </w:rPr>
        <w:t>or Type 2 configured grant configuration</w:t>
      </w:r>
      <w:r>
        <w:rPr>
          <w:b/>
        </w:rPr>
        <w:t>,</w:t>
      </w:r>
      <w:r w:rsidRPr="00DC2370">
        <w:rPr>
          <w:b/>
        </w:rPr>
        <w:t xml:space="preserve"> </w:t>
      </w:r>
      <w:r w:rsidR="009F2261">
        <w:rPr>
          <w:b/>
        </w:rPr>
        <w:t>each configured grant is independently activated by</w:t>
      </w:r>
      <w:r w:rsidR="00E53264">
        <w:rPr>
          <w:b/>
        </w:rPr>
        <w:t xml:space="preserve"> different</w:t>
      </w:r>
      <w:r w:rsidR="001E25A8">
        <w:rPr>
          <w:b/>
        </w:rPr>
        <w:t xml:space="preserve"> DCI</w:t>
      </w:r>
      <w:r>
        <w:rPr>
          <w:b/>
        </w:rPr>
        <w:t xml:space="preserve"> </w:t>
      </w:r>
      <w:r w:rsidR="009F2261">
        <w:rPr>
          <w:b/>
        </w:rPr>
        <w:t xml:space="preserve">but </w:t>
      </w:r>
      <w:r>
        <w:rPr>
          <w:b/>
        </w:rPr>
        <w:t>a single</w:t>
      </w:r>
      <w:r w:rsidR="001E25A8">
        <w:rPr>
          <w:b/>
        </w:rPr>
        <w:t xml:space="preserve"> DCI</w:t>
      </w:r>
      <w:r>
        <w:rPr>
          <w:b/>
        </w:rPr>
        <w:t xml:space="preserve"> </w:t>
      </w:r>
      <w:r w:rsidR="009F2261">
        <w:rPr>
          <w:b/>
        </w:rPr>
        <w:t xml:space="preserve">can </w:t>
      </w:r>
      <w:r>
        <w:rPr>
          <w:b/>
        </w:rPr>
        <w:t>deactivat</w:t>
      </w:r>
      <w:r w:rsidR="00E53264">
        <w:rPr>
          <w:b/>
        </w:rPr>
        <w:t>e</w:t>
      </w:r>
      <w:r w:rsidR="009F2261">
        <w:rPr>
          <w:b/>
        </w:rPr>
        <w:t xml:space="preserve"> multiple configured grants</w:t>
      </w:r>
      <w:r>
        <w:rPr>
          <w:b/>
        </w:rPr>
        <w:t>.</w:t>
      </w:r>
    </w:p>
    <w:p w14:paraId="4D709DB8" w14:textId="77777777" w:rsidR="00DC2370" w:rsidRDefault="00DC2370" w:rsidP="00C06E27">
      <w:pPr>
        <w:jc w:val="both"/>
      </w:pPr>
    </w:p>
    <w:p w14:paraId="271CFC83" w14:textId="77777777" w:rsidR="00226014" w:rsidRDefault="00226014" w:rsidP="00C06E27">
      <w:pPr>
        <w:pStyle w:val="Heading1"/>
        <w:numPr>
          <w:ilvl w:val="0"/>
          <w:numId w:val="9"/>
        </w:numPr>
        <w:jc w:val="both"/>
      </w:pPr>
      <w:r>
        <w:lastRenderedPageBreak/>
        <w:t xml:space="preserve">  Conclusion</w:t>
      </w:r>
    </w:p>
    <w:p w14:paraId="1E0FF78C" w14:textId="77777777" w:rsidR="00D05028" w:rsidRDefault="00E73C65" w:rsidP="00C06E27">
      <w:pPr>
        <w:jc w:val="both"/>
      </w:pPr>
      <w:r w:rsidRPr="00E73C65">
        <w:t xml:space="preserve">In this contribution, we have the following proposal </w:t>
      </w:r>
      <w:r w:rsidRPr="009B47B3">
        <w:t>based on the above discussion</w:t>
      </w:r>
      <w:r w:rsidRPr="00E73C65">
        <w:t>:</w:t>
      </w:r>
    </w:p>
    <w:p w14:paraId="06D6A088" w14:textId="77777777" w:rsidR="00E10961" w:rsidRDefault="00E10961" w:rsidP="00E10961">
      <w:pPr>
        <w:jc w:val="both"/>
        <w:rPr>
          <w:b/>
        </w:rPr>
      </w:pPr>
      <w:r w:rsidRPr="000850A9">
        <w:rPr>
          <w:b/>
        </w:rPr>
        <w:t>Proposal</w:t>
      </w:r>
      <w:r>
        <w:rPr>
          <w:b/>
        </w:rPr>
        <w:t xml:space="preserve"> 1</w:t>
      </w:r>
      <w:r w:rsidRPr="000850A9">
        <w:rPr>
          <w:b/>
        </w:rPr>
        <w:t>:</w:t>
      </w:r>
      <w:r>
        <w:rPr>
          <w:b/>
        </w:rPr>
        <w:t xml:space="preserve"> The</w:t>
      </w:r>
      <w:r w:rsidRPr="006864A5">
        <w:rPr>
          <w:b/>
        </w:rPr>
        <w:t xml:space="preserve"> parameters </w:t>
      </w:r>
      <w:r>
        <w:rPr>
          <w:b/>
        </w:rPr>
        <w:t>for each configured grant configuration are</w:t>
      </w:r>
      <w:r w:rsidRPr="006864A5">
        <w:rPr>
          <w:b/>
        </w:rPr>
        <w:t xml:space="preserve"> independently configured</w:t>
      </w:r>
      <w:r>
        <w:rPr>
          <w:b/>
        </w:rPr>
        <w:t>.</w:t>
      </w:r>
    </w:p>
    <w:p w14:paraId="7846B228" w14:textId="77777777" w:rsidR="00E10961" w:rsidRDefault="00E10961" w:rsidP="00E10961">
      <w:pPr>
        <w:jc w:val="both"/>
        <w:rPr>
          <w:b/>
        </w:rPr>
      </w:pPr>
      <w:r w:rsidRPr="000850A9">
        <w:rPr>
          <w:b/>
        </w:rPr>
        <w:t>Proposal</w:t>
      </w:r>
      <w:r>
        <w:rPr>
          <w:b/>
        </w:rPr>
        <w:t xml:space="preserve"> 2</w:t>
      </w:r>
      <w:r w:rsidRPr="000850A9">
        <w:rPr>
          <w:b/>
        </w:rPr>
        <w:t>:</w:t>
      </w:r>
      <w:r>
        <w:rPr>
          <w:b/>
        </w:rPr>
        <w:t xml:space="preserve"> A</w:t>
      </w:r>
      <w:r w:rsidRPr="00D36EE7">
        <w:rPr>
          <w:b/>
        </w:rPr>
        <w:t xml:space="preserve"> configuration index </w:t>
      </w:r>
      <w:r>
        <w:rPr>
          <w:b/>
        </w:rPr>
        <w:t>is</w:t>
      </w:r>
      <w:r w:rsidRPr="00D36EE7">
        <w:rPr>
          <w:b/>
        </w:rPr>
        <w:t xml:space="preserve"> introduced to differentiate the multiple</w:t>
      </w:r>
      <w:r>
        <w:rPr>
          <w:b/>
        </w:rPr>
        <w:t xml:space="preserve"> configured grant</w:t>
      </w:r>
      <w:r w:rsidRPr="00D36EE7">
        <w:rPr>
          <w:b/>
        </w:rPr>
        <w:t xml:space="preserve"> configuration</w:t>
      </w:r>
      <w:r>
        <w:rPr>
          <w:b/>
        </w:rPr>
        <w:t>s</w:t>
      </w:r>
      <w:r w:rsidRPr="00D36EE7">
        <w:rPr>
          <w:b/>
        </w:rPr>
        <w:t>.</w:t>
      </w:r>
    </w:p>
    <w:p w14:paraId="06AC1833" w14:textId="77777777" w:rsidR="00E10961" w:rsidRDefault="00E10961" w:rsidP="00E10961">
      <w:pPr>
        <w:jc w:val="both"/>
        <w:rPr>
          <w:b/>
        </w:rPr>
      </w:pPr>
      <w:r w:rsidRPr="000850A9">
        <w:rPr>
          <w:b/>
        </w:rPr>
        <w:t>Proposal</w:t>
      </w:r>
      <w:r>
        <w:rPr>
          <w:b/>
        </w:rPr>
        <w:t xml:space="preserve"> 3: The following options </w:t>
      </w:r>
      <w:r w:rsidRPr="002221DF">
        <w:rPr>
          <w:b/>
        </w:rPr>
        <w:t>should be further discussed for HARQ process determination for the multiple configurations.</w:t>
      </w:r>
      <w:r w:rsidRPr="002221DF">
        <w:t xml:space="preserve"> </w:t>
      </w:r>
    </w:p>
    <w:p w14:paraId="13291746" w14:textId="77777777" w:rsidR="00E10961" w:rsidRDefault="00E10961" w:rsidP="00E10961">
      <w:pPr>
        <w:pStyle w:val="ListParagraph"/>
        <w:numPr>
          <w:ilvl w:val="0"/>
          <w:numId w:val="15"/>
        </w:numPr>
        <w:jc w:val="both"/>
        <w:rPr>
          <w:b/>
        </w:rPr>
      </w:pPr>
      <w:r w:rsidRPr="002221DF">
        <w:rPr>
          <w:b/>
        </w:rPr>
        <w:t>HARQ process ID is determined by starting symbol of the PUSCH transmission and other parameter configured for each configuration, e.g. HARQ process ID offset, DMRS parameter</w:t>
      </w:r>
    </w:p>
    <w:p w14:paraId="2A6E9B7E" w14:textId="77777777" w:rsidR="00E10961" w:rsidRPr="002221DF" w:rsidRDefault="00E10961" w:rsidP="00E10961">
      <w:pPr>
        <w:pStyle w:val="ListParagraph"/>
        <w:numPr>
          <w:ilvl w:val="0"/>
          <w:numId w:val="15"/>
        </w:numPr>
        <w:jc w:val="both"/>
        <w:rPr>
          <w:b/>
        </w:rPr>
      </w:pPr>
      <w:r w:rsidRPr="002221DF">
        <w:rPr>
          <w:b/>
        </w:rPr>
        <w:t>HARQ process ID is transmitted from UE as UCI</w:t>
      </w:r>
    </w:p>
    <w:p w14:paraId="43E1A77C" w14:textId="77777777" w:rsidR="00E10961" w:rsidRDefault="00E10961" w:rsidP="00E10961">
      <w:pPr>
        <w:jc w:val="both"/>
        <w:rPr>
          <w:b/>
        </w:rPr>
      </w:pPr>
      <w:r w:rsidRPr="000850A9">
        <w:rPr>
          <w:b/>
        </w:rPr>
        <w:t>Proposal</w:t>
      </w:r>
      <w:r>
        <w:rPr>
          <w:b/>
        </w:rPr>
        <w:t xml:space="preserve"> 4: F</w:t>
      </w:r>
      <w:r w:rsidRPr="00DC2370">
        <w:rPr>
          <w:b/>
        </w:rPr>
        <w:t>or Type 2 configured grant configuration</w:t>
      </w:r>
      <w:r>
        <w:rPr>
          <w:b/>
        </w:rPr>
        <w:t>,</w:t>
      </w:r>
      <w:r w:rsidRPr="00DC2370">
        <w:rPr>
          <w:b/>
        </w:rPr>
        <w:t xml:space="preserve"> </w:t>
      </w:r>
      <w:r>
        <w:rPr>
          <w:b/>
        </w:rPr>
        <w:t>each configured grant is independently activated by different DCI but a single DCI can deactivate multiple configured grants.</w:t>
      </w:r>
    </w:p>
    <w:p w14:paraId="72D92E23" w14:textId="77777777" w:rsidR="00E10961" w:rsidRDefault="00E10961" w:rsidP="00E10961">
      <w:pPr>
        <w:jc w:val="both"/>
        <w:rPr>
          <w:b/>
        </w:rPr>
      </w:pPr>
    </w:p>
    <w:p w14:paraId="5DD6F1C5" w14:textId="77777777" w:rsidR="00226014" w:rsidRDefault="00226014" w:rsidP="00C06E27">
      <w:pPr>
        <w:pStyle w:val="Heading1"/>
        <w:numPr>
          <w:ilvl w:val="0"/>
          <w:numId w:val="9"/>
        </w:numPr>
        <w:jc w:val="both"/>
      </w:pPr>
      <w:r>
        <w:t>References</w:t>
      </w:r>
    </w:p>
    <w:p w14:paraId="1A060369" w14:textId="77777777" w:rsidR="00E04326" w:rsidRPr="00E04326" w:rsidRDefault="008731C0" w:rsidP="000B2BFA">
      <w:pPr>
        <w:pStyle w:val="ListParagraph"/>
        <w:numPr>
          <w:ilvl w:val="0"/>
          <w:numId w:val="11"/>
        </w:numPr>
        <w:ind w:left="426" w:hanging="426"/>
        <w:jc w:val="both"/>
      </w:pPr>
      <w:r>
        <w:t>RAN1 Chairman’s notes</w:t>
      </w:r>
      <w:r w:rsidR="0040025A">
        <w:t>, RAN1#95</w:t>
      </w:r>
    </w:p>
    <w:p w14:paraId="6221EEAF" w14:textId="37497602" w:rsidR="00A236EF" w:rsidRPr="00E04326" w:rsidRDefault="00A236EF" w:rsidP="00A236EF">
      <w:pPr>
        <w:pStyle w:val="ListParagraph"/>
        <w:numPr>
          <w:ilvl w:val="0"/>
          <w:numId w:val="11"/>
        </w:numPr>
        <w:ind w:left="426" w:hanging="426"/>
        <w:jc w:val="both"/>
      </w:pPr>
      <w:r>
        <w:t>RAN1 Chairman’s notes, RAN1 Ad-Hoc 1901</w:t>
      </w:r>
    </w:p>
    <w:p w14:paraId="65E0DD8A" w14:textId="14012BC0" w:rsidR="00982959" w:rsidRDefault="00982959" w:rsidP="00982959">
      <w:pPr>
        <w:pStyle w:val="ListParagraph"/>
        <w:numPr>
          <w:ilvl w:val="0"/>
          <w:numId w:val="11"/>
        </w:numPr>
        <w:ind w:left="426" w:hanging="426"/>
        <w:jc w:val="both"/>
      </w:pPr>
      <w:r>
        <w:t xml:space="preserve">R1-1901330, </w:t>
      </w:r>
      <w:r w:rsidRPr="00982959">
        <w:t>Summary of 7.2.6.3 Enhanced configured grant PUSCH transmissions</w:t>
      </w:r>
    </w:p>
    <w:p w14:paraId="4C0CEEF7" w14:textId="77777777" w:rsidR="004952CD" w:rsidRPr="00616BF8" w:rsidRDefault="004952CD" w:rsidP="00C06E27">
      <w:pPr>
        <w:jc w:val="both"/>
      </w:pPr>
    </w:p>
    <w:sectPr w:rsidR="004952CD" w:rsidRPr="00616BF8" w:rsidSect="00286B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5683E" w14:textId="77777777" w:rsidR="00891E63" w:rsidRDefault="00891E63">
      <w:r>
        <w:separator/>
      </w:r>
    </w:p>
  </w:endnote>
  <w:endnote w:type="continuationSeparator" w:id="0">
    <w:p w14:paraId="0490CA31" w14:textId="77777777" w:rsidR="00891E63" w:rsidRDefault="00891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50893" w14:textId="77777777" w:rsidR="00891E63" w:rsidRDefault="00891E63">
      <w:r>
        <w:separator/>
      </w:r>
    </w:p>
  </w:footnote>
  <w:footnote w:type="continuationSeparator" w:id="0">
    <w:p w14:paraId="5A7653D5" w14:textId="77777777" w:rsidR="00891E63" w:rsidRDefault="00891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6B0BE9"/>
    <w:multiLevelType w:val="hybridMultilevel"/>
    <w:tmpl w:val="21867762"/>
    <w:lvl w:ilvl="0" w:tplc="FBE889C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1F5DDB"/>
    <w:multiLevelType w:val="hybridMultilevel"/>
    <w:tmpl w:val="A9F6E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287E40"/>
    <w:multiLevelType w:val="hybridMultilevel"/>
    <w:tmpl w:val="4394F678"/>
    <w:lvl w:ilvl="0" w:tplc="1BF04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1953905"/>
    <w:multiLevelType w:val="multilevel"/>
    <w:tmpl w:val="FD8C929C"/>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bullet"/>
      <w:pStyle w:val="Heading3"/>
      <w:lvlText w:val=""/>
      <w:lvlJc w:val="left"/>
      <w:pPr>
        <w:ind w:left="0" w:firstLine="0"/>
      </w:pPr>
      <w:rPr>
        <w:rFonts w:ascii="Symbol" w:hAnsi="Symbol"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4"/>
  </w:num>
  <w:num w:numId="3">
    <w:abstractNumId w:val="6"/>
  </w:num>
  <w:num w:numId="4">
    <w:abstractNumId w:val="4"/>
  </w:num>
  <w:num w:numId="5">
    <w:abstractNumId w:val="1"/>
  </w:num>
  <w:num w:numId="6">
    <w:abstractNumId w:val="13"/>
  </w:num>
  <w:num w:numId="7">
    <w:abstractNumId w:val="12"/>
  </w:num>
  <w:num w:numId="8">
    <w:abstractNumId w:val="15"/>
  </w:num>
  <w:num w:numId="9">
    <w:abstractNumId w:val="0"/>
  </w:num>
  <w:num w:numId="10">
    <w:abstractNumId w:val="2"/>
  </w:num>
  <w:num w:numId="11">
    <w:abstractNumId w:val="11"/>
  </w:num>
  <w:num w:numId="12">
    <w:abstractNumId w:val="9"/>
  </w:num>
  <w:num w:numId="13">
    <w:abstractNumId w:val="10"/>
  </w:num>
  <w:num w:numId="14">
    <w:abstractNumId w:val="7"/>
  </w:num>
  <w:num w:numId="15">
    <w:abstractNumId w:val="3"/>
  </w:num>
  <w:num w:numId="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6B"/>
    <w:rsid w:val="00023DD5"/>
    <w:rsid w:val="00023EA1"/>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6CE"/>
    <w:rsid w:val="00032BF2"/>
    <w:rsid w:val="00033129"/>
    <w:rsid w:val="00033899"/>
    <w:rsid w:val="00033C7C"/>
    <w:rsid w:val="00033ED3"/>
    <w:rsid w:val="00034265"/>
    <w:rsid w:val="000343C5"/>
    <w:rsid w:val="000351E5"/>
    <w:rsid w:val="00035680"/>
    <w:rsid w:val="000357B8"/>
    <w:rsid w:val="0003598F"/>
    <w:rsid w:val="00035B66"/>
    <w:rsid w:val="00035BD2"/>
    <w:rsid w:val="0003617F"/>
    <w:rsid w:val="00036EC6"/>
    <w:rsid w:val="00037EC5"/>
    <w:rsid w:val="00040E72"/>
    <w:rsid w:val="00041443"/>
    <w:rsid w:val="00043584"/>
    <w:rsid w:val="00043AFE"/>
    <w:rsid w:val="00044500"/>
    <w:rsid w:val="000449E4"/>
    <w:rsid w:val="00044F7E"/>
    <w:rsid w:val="00045DB5"/>
    <w:rsid w:val="00046394"/>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667A8"/>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0A9"/>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472"/>
    <w:rsid w:val="00095EF5"/>
    <w:rsid w:val="0009666A"/>
    <w:rsid w:val="000A1523"/>
    <w:rsid w:val="000A17F4"/>
    <w:rsid w:val="000A1DE4"/>
    <w:rsid w:val="000A2774"/>
    <w:rsid w:val="000A3CF3"/>
    <w:rsid w:val="000A4440"/>
    <w:rsid w:val="000A5921"/>
    <w:rsid w:val="000A596D"/>
    <w:rsid w:val="000A6EF1"/>
    <w:rsid w:val="000A703E"/>
    <w:rsid w:val="000A731E"/>
    <w:rsid w:val="000A75ED"/>
    <w:rsid w:val="000A75EE"/>
    <w:rsid w:val="000A7B44"/>
    <w:rsid w:val="000B0E91"/>
    <w:rsid w:val="000B1F9F"/>
    <w:rsid w:val="000B22C9"/>
    <w:rsid w:val="000B2700"/>
    <w:rsid w:val="000B2BFA"/>
    <w:rsid w:val="000B3359"/>
    <w:rsid w:val="000B37A9"/>
    <w:rsid w:val="000B4620"/>
    <w:rsid w:val="000B4A2B"/>
    <w:rsid w:val="000B5807"/>
    <w:rsid w:val="000B6576"/>
    <w:rsid w:val="000C0F14"/>
    <w:rsid w:val="000C1321"/>
    <w:rsid w:val="000C1738"/>
    <w:rsid w:val="000C28FA"/>
    <w:rsid w:val="000C405C"/>
    <w:rsid w:val="000C4680"/>
    <w:rsid w:val="000C4B22"/>
    <w:rsid w:val="000C6A67"/>
    <w:rsid w:val="000C7A80"/>
    <w:rsid w:val="000C7E74"/>
    <w:rsid w:val="000D0527"/>
    <w:rsid w:val="000D1933"/>
    <w:rsid w:val="000D2164"/>
    <w:rsid w:val="000D236A"/>
    <w:rsid w:val="000D2D19"/>
    <w:rsid w:val="000D3492"/>
    <w:rsid w:val="000D3AB5"/>
    <w:rsid w:val="000D3DBB"/>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EAF"/>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0864"/>
    <w:rsid w:val="00151B84"/>
    <w:rsid w:val="00151FBD"/>
    <w:rsid w:val="00154485"/>
    <w:rsid w:val="00155323"/>
    <w:rsid w:val="00155594"/>
    <w:rsid w:val="00156255"/>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60A"/>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5A8"/>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3FDD"/>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1DF"/>
    <w:rsid w:val="0022246F"/>
    <w:rsid w:val="00223076"/>
    <w:rsid w:val="002231DA"/>
    <w:rsid w:val="00223535"/>
    <w:rsid w:val="00223776"/>
    <w:rsid w:val="00223A85"/>
    <w:rsid w:val="00223DB2"/>
    <w:rsid w:val="0022467B"/>
    <w:rsid w:val="00224987"/>
    <w:rsid w:val="002249EB"/>
    <w:rsid w:val="00225510"/>
    <w:rsid w:val="00226014"/>
    <w:rsid w:val="00226169"/>
    <w:rsid w:val="0022648A"/>
    <w:rsid w:val="00226A29"/>
    <w:rsid w:val="00230053"/>
    <w:rsid w:val="00230AC9"/>
    <w:rsid w:val="002317F5"/>
    <w:rsid w:val="00232F3F"/>
    <w:rsid w:val="0023301D"/>
    <w:rsid w:val="00233678"/>
    <w:rsid w:val="00233A6B"/>
    <w:rsid w:val="00234779"/>
    <w:rsid w:val="00235819"/>
    <w:rsid w:val="0023590D"/>
    <w:rsid w:val="00235E0F"/>
    <w:rsid w:val="002361C0"/>
    <w:rsid w:val="00236BF4"/>
    <w:rsid w:val="00237CFD"/>
    <w:rsid w:val="00240467"/>
    <w:rsid w:val="0024049A"/>
    <w:rsid w:val="00241140"/>
    <w:rsid w:val="002412CA"/>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871"/>
    <w:rsid w:val="00282D25"/>
    <w:rsid w:val="00283198"/>
    <w:rsid w:val="00283AD8"/>
    <w:rsid w:val="00284F5B"/>
    <w:rsid w:val="00284FC6"/>
    <w:rsid w:val="002852F5"/>
    <w:rsid w:val="00285C2B"/>
    <w:rsid w:val="002860F1"/>
    <w:rsid w:val="00286B17"/>
    <w:rsid w:val="0029006D"/>
    <w:rsid w:val="0029027A"/>
    <w:rsid w:val="00290688"/>
    <w:rsid w:val="002908DC"/>
    <w:rsid w:val="002925C8"/>
    <w:rsid w:val="002928C7"/>
    <w:rsid w:val="00292B31"/>
    <w:rsid w:val="0029348D"/>
    <w:rsid w:val="0029553F"/>
    <w:rsid w:val="00295F7A"/>
    <w:rsid w:val="00297746"/>
    <w:rsid w:val="00297FFE"/>
    <w:rsid w:val="002A0124"/>
    <w:rsid w:val="002A0383"/>
    <w:rsid w:val="002A0EC9"/>
    <w:rsid w:val="002A1DA6"/>
    <w:rsid w:val="002A233D"/>
    <w:rsid w:val="002A23FA"/>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A7296"/>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3BB"/>
    <w:rsid w:val="002D454E"/>
    <w:rsid w:val="002D4563"/>
    <w:rsid w:val="002D465C"/>
    <w:rsid w:val="002D4A21"/>
    <w:rsid w:val="002D4C75"/>
    <w:rsid w:val="002D57B0"/>
    <w:rsid w:val="002D70D6"/>
    <w:rsid w:val="002D7743"/>
    <w:rsid w:val="002D7FC3"/>
    <w:rsid w:val="002E0273"/>
    <w:rsid w:val="002E0E4C"/>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9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0A8"/>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2110"/>
    <w:rsid w:val="00324A94"/>
    <w:rsid w:val="00325480"/>
    <w:rsid w:val="0032587F"/>
    <w:rsid w:val="00326E3F"/>
    <w:rsid w:val="00327C96"/>
    <w:rsid w:val="0033146C"/>
    <w:rsid w:val="00331478"/>
    <w:rsid w:val="003317D7"/>
    <w:rsid w:val="00332A0A"/>
    <w:rsid w:val="00332C68"/>
    <w:rsid w:val="00332FBC"/>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2884"/>
    <w:rsid w:val="003634B1"/>
    <w:rsid w:val="0036385F"/>
    <w:rsid w:val="00364998"/>
    <w:rsid w:val="00364F89"/>
    <w:rsid w:val="0036512D"/>
    <w:rsid w:val="00367248"/>
    <w:rsid w:val="0036745C"/>
    <w:rsid w:val="0036795D"/>
    <w:rsid w:val="00367A49"/>
    <w:rsid w:val="00370082"/>
    <w:rsid w:val="0037087A"/>
    <w:rsid w:val="00370B27"/>
    <w:rsid w:val="00371D2E"/>
    <w:rsid w:val="00372408"/>
    <w:rsid w:val="00372B12"/>
    <w:rsid w:val="00372E07"/>
    <w:rsid w:val="003731CC"/>
    <w:rsid w:val="00373481"/>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EC3"/>
    <w:rsid w:val="00393F28"/>
    <w:rsid w:val="003940E2"/>
    <w:rsid w:val="003954C6"/>
    <w:rsid w:val="00395DB2"/>
    <w:rsid w:val="00396DB9"/>
    <w:rsid w:val="00396FA0"/>
    <w:rsid w:val="00397E09"/>
    <w:rsid w:val="003A005C"/>
    <w:rsid w:val="003A0551"/>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4ED0"/>
    <w:rsid w:val="003C5096"/>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025A"/>
    <w:rsid w:val="00401102"/>
    <w:rsid w:val="00401745"/>
    <w:rsid w:val="00401F28"/>
    <w:rsid w:val="004033DD"/>
    <w:rsid w:val="00403AB4"/>
    <w:rsid w:val="00404962"/>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057"/>
    <w:rsid w:val="00423E69"/>
    <w:rsid w:val="00424123"/>
    <w:rsid w:val="00424F03"/>
    <w:rsid w:val="004255AE"/>
    <w:rsid w:val="00426DB6"/>
    <w:rsid w:val="004279C5"/>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3DF"/>
    <w:rsid w:val="00445793"/>
    <w:rsid w:val="0044618F"/>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3A2"/>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532"/>
    <w:rsid w:val="00475B01"/>
    <w:rsid w:val="00475D64"/>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EFF"/>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1D5A"/>
    <w:rsid w:val="004B2FC3"/>
    <w:rsid w:val="004B45DA"/>
    <w:rsid w:val="004B4982"/>
    <w:rsid w:val="004B5253"/>
    <w:rsid w:val="004B5EA5"/>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049"/>
    <w:rsid w:val="004C7134"/>
    <w:rsid w:val="004C7530"/>
    <w:rsid w:val="004C7D74"/>
    <w:rsid w:val="004C7F23"/>
    <w:rsid w:val="004D0768"/>
    <w:rsid w:val="004D0E24"/>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2F8"/>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0B8"/>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A7B6B"/>
    <w:rsid w:val="005B020A"/>
    <w:rsid w:val="005B0E49"/>
    <w:rsid w:val="005B1633"/>
    <w:rsid w:val="005B1F64"/>
    <w:rsid w:val="005B23B1"/>
    <w:rsid w:val="005B295C"/>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376"/>
    <w:rsid w:val="005C1599"/>
    <w:rsid w:val="005C17E7"/>
    <w:rsid w:val="005C1EBA"/>
    <w:rsid w:val="005C30E1"/>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2618"/>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9E8"/>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7B7"/>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4A5"/>
    <w:rsid w:val="0068696A"/>
    <w:rsid w:val="00686F90"/>
    <w:rsid w:val="0068700D"/>
    <w:rsid w:val="00687366"/>
    <w:rsid w:val="006879AA"/>
    <w:rsid w:val="00687AC3"/>
    <w:rsid w:val="006902FA"/>
    <w:rsid w:val="00691572"/>
    <w:rsid w:val="00692CCB"/>
    <w:rsid w:val="00692D3A"/>
    <w:rsid w:val="0069354D"/>
    <w:rsid w:val="0069475E"/>
    <w:rsid w:val="00694C5B"/>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1AE0"/>
    <w:rsid w:val="006C207B"/>
    <w:rsid w:val="006C2393"/>
    <w:rsid w:val="006C3113"/>
    <w:rsid w:val="006C38AB"/>
    <w:rsid w:val="006C3BDE"/>
    <w:rsid w:val="006C3DDD"/>
    <w:rsid w:val="006C3EB3"/>
    <w:rsid w:val="006C49EA"/>
    <w:rsid w:val="006C51A7"/>
    <w:rsid w:val="006C529F"/>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D7A81"/>
    <w:rsid w:val="006E01CF"/>
    <w:rsid w:val="006E142E"/>
    <w:rsid w:val="006E1EEA"/>
    <w:rsid w:val="006E2E66"/>
    <w:rsid w:val="006E36E6"/>
    <w:rsid w:val="006E55CF"/>
    <w:rsid w:val="006E5D10"/>
    <w:rsid w:val="006E68E5"/>
    <w:rsid w:val="006E761F"/>
    <w:rsid w:val="006E7AF8"/>
    <w:rsid w:val="006F0055"/>
    <w:rsid w:val="006F0145"/>
    <w:rsid w:val="006F0D6F"/>
    <w:rsid w:val="006F0EAC"/>
    <w:rsid w:val="006F12B6"/>
    <w:rsid w:val="006F12CB"/>
    <w:rsid w:val="006F1E4B"/>
    <w:rsid w:val="006F20AD"/>
    <w:rsid w:val="006F2EFD"/>
    <w:rsid w:val="006F31EF"/>
    <w:rsid w:val="006F4F0A"/>
    <w:rsid w:val="006F6B4D"/>
    <w:rsid w:val="006F79AC"/>
    <w:rsid w:val="00700BCA"/>
    <w:rsid w:val="00700E71"/>
    <w:rsid w:val="007028BA"/>
    <w:rsid w:val="007029C8"/>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874"/>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9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16E1"/>
    <w:rsid w:val="007720FB"/>
    <w:rsid w:val="0077257F"/>
    <w:rsid w:val="00772B16"/>
    <w:rsid w:val="00773671"/>
    <w:rsid w:val="00774322"/>
    <w:rsid w:val="007748A4"/>
    <w:rsid w:val="00774A14"/>
    <w:rsid w:val="00774B85"/>
    <w:rsid w:val="00774D93"/>
    <w:rsid w:val="00775C57"/>
    <w:rsid w:val="00776025"/>
    <w:rsid w:val="00776449"/>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01C"/>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67"/>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0F6A"/>
    <w:rsid w:val="007D1624"/>
    <w:rsid w:val="007D1C75"/>
    <w:rsid w:val="007D3308"/>
    <w:rsid w:val="007D34CB"/>
    <w:rsid w:val="007D3507"/>
    <w:rsid w:val="007D3662"/>
    <w:rsid w:val="007D3708"/>
    <w:rsid w:val="007D385C"/>
    <w:rsid w:val="007D3C3E"/>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2127"/>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17BA1"/>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826"/>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67C71"/>
    <w:rsid w:val="00871456"/>
    <w:rsid w:val="00872491"/>
    <w:rsid w:val="00873169"/>
    <w:rsid w:val="008731C0"/>
    <w:rsid w:val="008749AE"/>
    <w:rsid w:val="00874B2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21D"/>
    <w:rsid w:val="00885B4B"/>
    <w:rsid w:val="00885F25"/>
    <w:rsid w:val="00885F85"/>
    <w:rsid w:val="00890698"/>
    <w:rsid w:val="008917EC"/>
    <w:rsid w:val="008919E3"/>
    <w:rsid w:val="00891E63"/>
    <w:rsid w:val="00891FAC"/>
    <w:rsid w:val="00892553"/>
    <w:rsid w:val="008928C6"/>
    <w:rsid w:val="0089489E"/>
    <w:rsid w:val="00895A3A"/>
    <w:rsid w:val="008963DD"/>
    <w:rsid w:val="00897121"/>
    <w:rsid w:val="0089728B"/>
    <w:rsid w:val="00897F62"/>
    <w:rsid w:val="008A07A9"/>
    <w:rsid w:val="008A0CF6"/>
    <w:rsid w:val="008A0F06"/>
    <w:rsid w:val="008A0FF5"/>
    <w:rsid w:val="008A25E2"/>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49D6"/>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5B26"/>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341"/>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5E2"/>
    <w:rsid w:val="0090772A"/>
    <w:rsid w:val="00907A30"/>
    <w:rsid w:val="00907A64"/>
    <w:rsid w:val="00910226"/>
    <w:rsid w:val="0091079F"/>
    <w:rsid w:val="00911F58"/>
    <w:rsid w:val="00912A60"/>
    <w:rsid w:val="00913947"/>
    <w:rsid w:val="009147BF"/>
    <w:rsid w:val="009149B3"/>
    <w:rsid w:val="00915775"/>
    <w:rsid w:val="00915BE2"/>
    <w:rsid w:val="00915C89"/>
    <w:rsid w:val="00916B66"/>
    <w:rsid w:val="00916CCA"/>
    <w:rsid w:val="009175CD"/>
    <w:rsid w:val="00922563"/>
    <w:rsid w:val="00922AD4"/>
    <w:rsid w:val="00924F0D"/>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47400"/>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3C0"/>
    <w:rsid w:val="00974545"/>
    <w:rsid w:val="00975C16"/>
    <w:rsid w:val="0098197D"/>
    <w:rsid w:val="00981DD6"/>
    <w:rsid w:val="00982959"/>
    <w:rsid w:val="00982BA8"/>
    <w:rsid w:val="009835D5"/>
    <w:rsid w:val="0098397B"/>
    <w:rsid w:val="009840B2"/>
    <w:rsid w:val="009840EA"/>
    <w:rsid w:val="009847C6"/>
    <w:rsid w:val="009856D7"/>
    <w:rsid w:val="00987A34"/>
    <w:rsid w:val="00990617"/>
    <w:rsid w:val="009909A1"/>
    <w:rsid w:val="0099184C"/>
    <w:rsid w:val="009920D1"/>
    <w:rsid w:val="009921BF"/>
    <w:rsid w:val="009922CE"/>
    <w:rsid w:val="00992601"/>
    <w:rsid w:val="0099289F"/>
    <w:rsid w:val="009929C9"/>
    <w:rsid w:val="0099378C"/>
    <w:rsid w:val="00993D3A"/>
    <w:rsid w:val="00994570"/>
    <w:rsid w:val="00994AAD"/>
    <w:rsid w:val="00994FC3"/>
    <w:rsid w:val="0099516A"/>
    <w:rsid w:val="009953C0"/>
    <w:rsid w:val="00995437"/>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1064"/>
    <w:rsid w:val="009C114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2261"/>
    <w:rsid w:val="009F39E6"/>
    <w:rsid w:val="009F3BF7"/>
    <w:rsid w:val="009F4AF1"/>
    <w:rsid w:val="009F550F"/>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286B"/>
    <w:rsid w:val="00A236EF"/>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17B"/>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371E"/>
    <w:rsid w:val="00A64CAF"/>
    <w:rsid w:val="00A6530F"/>
    <w:rsid w:val="00A6561D"/>
    <w:rsid w:val="00A661D0"/>
    <w:rsid w:val="00A66455"/>
    <w:rsid w:val="00A66727"/>
    <w:rsid w:val="00A66EC1"/>
    <w:rsid w:val="00A66EDA"/>
    <w:rsid w:val="00A6774A"/>
    <w:rsid w:val="00A67CDB"/>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319"/>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0E64"/>
    <w:rsid w:val="00AB1146"/>
    <w:rsid w:val="00AB1C40"/>
    <w:rsid w:val="00AB3101"/>
    <w:rsid w:val="00AB3983"/>
    <w:rsid w:val="00AB5388"/>
    <w:rsid w:val="00AB565C"/>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D79E7"/>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3BA7"/>
    <w:rsid w:val="00B541A4"/>
    <w:rsid w:val="00B55931"/>
    <w:rsid w:val="00B56ABB"/>
    <w:rsid w:val="00B576A2"/>
    <w:rsid w:val="00B57C39"/>
    <w:rsid w:val="00B57E84"/>
    <w:rsid w:val="00B6059C"/>
    <w:rsid w:val="00B60AC8"/>
    <w:rsid w:val="00B60DD7"/>
    <w:rsid w:val="00B6159C"/>
    <w:rsid w:val="00B623A7"/>
    <w:rsid w:val="00B62DFB"/>
    <w:rsid w:val="00B62E21"/>
    <w:rsid w:val="00B64257"/>
    <w:rsid w:val="00B64A1D"/>
    <w:rsid w:val="00B66B32"/>
    <w:rsid w:val="00B676E8"/>
    <w:rsid w:val="00B67A4B"/>
    <w:rsid w:val="00B7131D"/>
    <w:rsid w:val="00B71782"/>
    <w:rsid w:val="00B71812"/>
    <w:rsid w:val="00B72637"/>
    <w:rsid w:val="00B727D2"/>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6E30"/>
    <w:rsid w:val="00BA7584"/>
    <w:rsid w:val="00BA76A2"/>
    <w:rsid w:val="00BA7CF8"/>
    <w:rsid w:val="00BB153F"/>
    <w:rsid w:val="00BB1ECC"/>
    <w:rsid w:val="00BB2B80"/>
    <w:rsid w:val="00BB315F"/>
    <w:rsid w:val="00BB31D8"/>
    <w:rsid w:val="00BB3406"/>
    <w:rsid w:val="00BB4398"/>
    <w:rsid w:val="00BB44EB"/>
    <w:rsid w:val="00BB5E28"/>
    <w:rsid w:val="00BB6667"/>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4D2"/>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1A8F"/>
    <w:rsid w:val="00BF2B48"/>
    <w:rsid w:val="00BF3653"/>
    <w:rsid w:val="00BF49F7"/>
    <w:rsid w:val="00BF53A4"/>
    <w:rsid w:val="00BF6521"/>
    <w:rsid w:val="00BF6C40"/>
    <w:rsid w:val="00BF7A71"/>
    <w:rsid w:val="00C00F78"/>
    <w:rsid w:val="00C01763"/>
    <w:rsid w:val="00C01B68"/>
    <w:rsid w:val="00C028A8"/>
    <w:rsid w:val="00C02F8B"/>
    <w:rsid w:val="00C03E12"/>
    <w:rsid w:val="00C040E2"/>
    <w:rsid w:val="00C04866"/>
    <w:rsid w:val="00C05D40"/>
    <w:rsid w:val="00C069B9"/>
    <w:rsid w:val="00C06E27"/>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62F"/>
    <w:rsid w:val="00C17A33"/>
    <w:rsid w:val="00C17C93"/>
    <w:rsid w:val="00C17DD4"/>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201"/>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2EDF"/>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08F6"/>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77E"/>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5FB"/>
    <w:rsid w:val="00CA0B44"/>
    <w:rsid w:val="00CA0F51"/>
    <w:rsid w:val="00CA2C8F"/>
    <w:rsid w:val="00CA3B08"/>
    <w:rsid w:val="00CA3DB0"/>
    <w:rsid w:val="00CA3EBF"/>
    <w:rsid w:val="00CA43C3"/>
    <w:rsid w:val="00CA4A4C"/>
    <w:rsid w:val="00CA4F03"/>
    <w:rsid w:val="00CA5067"/>
    <w:rsid w:val="00CA6DB9"/>
    <w:rsid w:val="00CA708F"/>
    <w:rsid w:val="00CA75EA"/>
    <w:rsid w:val="00CA7AD3"/>
    <w:rsid w:val="00CA7D05"/>
    <w:rsid w:val="00CA7E47"/>
    <w:rsid w:val="00CB21E2"/>
    <w:rsid w:val="00CB263C"/>
    <w:rsid w:val="00CB2674"/>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18E"/>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514"/>
    <w:rsid w:val="00D055C5"/>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C1F"/>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298A"/>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6EE7"/>
    <w:rsid w:val="00D375EA"/>
    <w:rsid w:val="00D377A4"/>
    <w:rsid w:val="00D40665"/>
    <w:rsid w:val="00D41128"/>
    <w:rsid w:val="00D4130E"/>
    <w:rsid w:val="00D428CD"/>
    <w:rsid w:val="00D42945"/>
    <w:rsid w:val="00D432A0"/>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916"/>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0E9E"/>
    <w:rsid w:val="00DA151A"/>
    <w:rsid w:val="00DA157F"/>
    <w:rsid w:val="00DA1C94"/>
    <w:rsid w:val="00DA1CD8"/>
    <w:rsid w:val="00DA2073"/>
    <w:rsid w:val="00DA4065"/>
    <w:rsid w:val="00DA430C"/>
    <w:rsid w:val="00DA486D"/>
    <w:rsid w:val="00DA4A67"/>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0A8A"/>
    <w:rsid w:val="00DC133C"/>
    <w:rsid w:val="00DC1779"/>
    <w:rsid w:val="00DC1F28"/>
    <w:rsid w:val="00DC2370"/>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025"/>
    <w:rsid w:val="00DF1D19"/>
    <w:rsid w:val="00DF231F"/>
    <w:rsid w:val="00DF2442"/>
    <w:rsid w:val="00DF2F8D"/>
    <w:rsid w:val="00DF3139"/>
    <w:rsid w:val="00DF40D6"/>
    <w:rsid w:val="00DF412D"/>
    <w:rsid w:val="00DF4414"/>
    <w:rsid w:val="00DF54C0"/>
    <w:rsid w:val="00DF57EF"/>
    <w:rsid w:val="00DF77A0"/>
    <w:rsid w:val="00DF7C60"/>
    <w:rsid w:val="00E01011"/>
    <w:rsid w:val="00E017EB"/>
    <w:rsid w:val="00E03F33"/>
    <w:rsid w:val="00E04326"/>
    <w:rsid w:val="00E04DED"/>
    <w:rsid w:val="00E04FBF"/>
    <w:rsid w:val="00E05B9B"/>
    <w:rsid w:val="00E05CB6"/>
    <w:rsid w:val="00E05CE4"/>
    <w:rsid w:val="00E06ADD"/>
    <w:rsid w:val="00E07FDF"/>
    <w:rsid w:val="00E10961"/>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4F0E"/>
    <w:rsid w:val="00E35B6A"/>
    <w:rsid w:val="00E36558"/>
    <w:rsid w:val="00E3707D"/>
    <w:rsid w:val="00E376E0"/>
    <w:rsid w:val="00E40C23"/>
    <w:rsid w:val="00E40CC1"/>
    <w:rsid w:val="00E40F76"/>
    <w:rsid w:val="00E41979"/>
    <w:rsid w:val="00E439FB"/>
    <w:rsid w:val="00E43B45"/>
    <w:rsid w:val="00E44AE5"/>
    <w:rsid w:val="00E45C09"/>
    <w:rsid w:val="00E45EF4"/>
    <w:rsid w:val="00E47082"/>
    <w:rsid w:val="00E4718C"/>
    <w:rsid w:val="00E47A47"/>
    <w:rsid w:val="00E500B5"/>
    <w:rsid w:val="00E501E8"/>
    <w:rsid w:val="00E5062F"/>
    <w:rsid w:val="00E50F3F"/>
    <w:rsid w:val="00E5107A"/>
    <w:rsid w:val="00E513AD"/>
    <w:rsid w:val="00E51450"/>
    <w:rsid w:val="00E5302D"/>
    <w:rsid w:val="00E53264"/>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41EF"/>
    <w:rsid w:val="00E654AC"/>
    <w:rsid w:val="00E657ED"/>
    <w:rsid w:val="00E659A5"/>
    <w:rsid w:val="00E66221"/>
    <w:rsid w:val="00E66F9A"/>
    <w:rsid w:val="00E675B0"/>
    <w:rsid w:val="00E675D3"/>
    <w:rsid w:val="00E67B8E"/>
    <w:rsid w:val="00E67E77"/>
    <w:rsid w:val="00E67F2D"/>
    <w:rsid w:val="00E70170"/>
    <w:rsid w:val="00E70BB3"/>
    <w:rsid w:val="00E70DF5"/>
    <w:rsid w:val="00E70DF7"/>
    <w:rsid w:val="00E7187F"/>
    <w:rsid w:val="00E7197C"/>
    <w:rsid w:val="00E719DC"/>
    <w:rsid w:val="00E73026"/>
    <w:rsid w:val="00E73471"/>
    <w:rsid w:val="00E736ED"/>
    <w:rsid w:val="00E73C65"/>
    <w:rsid w:val="00E73F93"/>
    <w:rsid w:val="00E74ADD"/>
    <w:rsid w:val="00E74D34"/>
    <w:rsid w:val="00E750FC"/>
    <w:rsid w:val="00E752CA"/>
    <w:rsid w:val="00E75FB8"/>
    <w:rsid w:val="00E76786"/>
    <w:rsid w:val="00E76D61"/>
    <w:rsid w:val="00E808A2"/>
    <w:rsid w:val="00E80DFE"/>
    <w:rsid w:val="00E826A9"/>
    <w:rsid w:val="00E82767"/>
    <w:rsid w:val="00E838F0"/>
    <w:rsid w:val="00E840F9"/>
    <w:rsid w:val="00E847CE"/>
    <w:rsid w:val="00E8525D"/>
    <w:rsid w:val="00E85A8D"/>
    <w:rsid w:val="00E85B94"/>
    <w:rsid w:val="00E85DC2"/>
    <w:rsid w:val="00E85E4F"/>
    <w:rsid w:val="00E861FB"/>
    <w:rsid w:val="00E8623D"/>
    <w:rsid w:val="00E862B5"/>
    <w:rsid w:val="00E87D37"/>
    <w:rsid w:val="00E90724"/>
    <w:rsid w:val="00E90839"/>
    <w:rsid w:val="00E922B2"/>
    <w:rsid w:val="00E9249F"/>
    <w:rsid w:val="00E9264B"/>
    <w:rsid w:val="00E93120"/>
    <w:rsid w:val="00E93AA8"/>
    <w:rsid w:val="00E94EF1"/>
    <w:rsid w:val="00E95249"/>
    <w:rsid w:val="00E958A4"/>
    <w:rsid w:val="00E961C4"/>
    <w:rsid w:val="00E969F4"/>
    <w:rsid w:val="00E96A63"/>
    <w:rsid w:val="00E96AD1"/>
    <w:rsid w:val="00E96E79"/>
    <w:rsid w:val="00E973B0"/>
    <w:rsid w:val="00E9740B"/>
    <w:rsid w:val="00E97571"/>
    <w:rsid w:val="00E97E85"/>
    <w:rsid w:val="00EA061C"/>
    <w:rsid w:val="00EA102B"/>
    <w:rsid w:val="00EA1428"/>
    <w:rsid w:val="00EA2DD4"/>
    <w:rsid w:val="00EA326D"/>
    <w:rsid w:val="00EA3F98"/>
    <w:rsid w:val="00EA460C"/>
    <w:rsid w:val="00EA5053"/>
    <w:rsid w:val="00EA582A"/>
    <w:rsid w:val="00EA5BDC"/>
    <w:rsid w:val="00EA6049"/>
    <w:rsid w:val="00EA6399"/>
    <w:rsid w:val="00EA702D"/>
    <w:rsid w:val="00EA786D"/>
    <w:rsid w:val="00EA791C"/>
    <w:rsid w:val="00EB1605"/>
    <w:rsid w:val="00EB171F"/>
    <w:rsid w:val="00EB1B36"/>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4ADC"/>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5FC"/>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27A89"/>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0F84"/>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707"/>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1A8B"/>
    <w:rsid w:val="00FA2937"/>
    <w:rsid w:val="00FA2CB8"/>
    <w:rsid w:val="00FA3102"/>
    <w:rsid w:val="00FA378B"/>
    <w:rsid w:val="00FA37AD"/>
    <w:rsid w:val="00FA3A19"/>
    <w:rsid w:val="00FA3A2A"/>
    <w:rsid w:val="00FA3CC1"/>
    <w:rsid w:val="00FA3EFB"/>
    <w:rsid w:val="00FA4971"/>
    <w:rsid w:val="00FA4DE5"/>
    <w:rsid w:val="00FA5422"/>
    <w:rsid w:val="00FA6090"/>
    <w:rsid w:val="00FA719D"/>
    <w:rsid w:val="00FA7ADA"/>
    <w:rsid w:val="00FA7E58"/>
    <w:rsid w:val="00FB03B6"/>
    <w:rsid w:val="00FB092F"/>
    <w:rsid w:val="00FB10ED"/>
    <w:rsid w:val="00FB21A5"/>
    <w:rsid w:val="00FB249A"/>
    <w:rsid w:val="00FB2545"/>
    <w:rsid w:val="00FB2BF2"/>
    <w:rsid w:val="00FB3EDF"/>
    <w:rsid w:val="00FB41AB"/>
    <w:rsid w:val="00FB4961"/>
    <w:rsid w:val="00FB49E2"/>
    <w:rsid w:val="00FB5902"/>
    <w:rsid w:val="00FB5D95"/>
    <w:rsid w:val="00FB65B9"/>
    <w:rsid w:val="00FB6732"/>
    <w:rsid w:val="00FB6E34"/>
    <w:rsid w:val="00FB711B"/>
    <w:rsid w:val="00FB7782"/>
    <w:rsid w:val="00FC1C05"/>
    <w:rsid w:val="00FC200B"/>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929"/>
    <w:rsid w:val="00FE6D22"/>
    <w:rsid w:val="00FE6E20"/>
    <w:rsid w:val="00FE763E"/>
    <w:rsid w:val="00FF28BC"/>
    <w:rsid w:val="00FF2964"/>
    <w:rsid w:val="00FF3DB7"/>
    <w:rsid w:val="00FF3ECD"/>
    <w:rsid w:val="00FF44DD"/>
    <w:rsid w:val="00FF486B"/>
    <w:rsid w:val="00FF49D8"/>
    <w:rsid w:val="00FF4A1A"/>
    <w:rsid w:val="00FF5421"/>
    <w:rsid w:val="00FF58F1"/>
    <w:rsid w:val="00FF6219"/>
    <w:rsid w:val="00FF7A4F"/>
  </w:rsids>
  <m:mathPr>
    <m:mathFont m:val="Cambria Math"/>
    <m:brkBin m:val="before"/>
    <m:brkBinSub m:val="--"/>
    <m:smallFrac/>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C9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A8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0A4440"/>
    <w:pPr>
      <w:keepNext/>
      <w:keepLines/>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6D7A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7A81"/>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286B17"/>
    <w:pPr>
      <w:pBdr>
        <w:top w:val="single" w:sz="12" w:space="0" w:color="auto"/>
      </w:pBdr>
      <w:spacing w:before="360" w:after="240"/>
    </w:pPr>
    <w:rPr>
      <w:b/>
      <w:i/>
      <w:sz w:val="26"/>
    </w:rPr>
  </w:style>
  <w:style w:type="paragraph" w:customStyle="1" w:styleId="INDENT1">
    <w:name w:val="INDENT1"/>
    <w:basedOn w:val="Normal"/>
    <w:rsid w:val="00286B17"/>
    <w:pPr>
      <w:ind w:left="851"/>
    </w:pPr>
  </w:style>
  <w:style w:type="paragraph" w:customStyle="1" w:styleId="INDENT2">
    <w:name w:val="INDENT2"/>
    <w:basedOn w:val="Normal"/>
    <w:rsid w:val="00286B17"/>
    <w:pPr>
      <w:ind w:left="1135" w:hanging="284"/>
    </w:pPr>
  </w:style>
  <w:style w:type="paragraph" w:customStyle="1" w:styleId="INDENT3">
    <w:name w:val="INDENT3"/>
    <w:basedOn w:val="Normal"/>
    <w:rsid w:val="00286B17"/>
    <w:pPr>
      <w:ind w:left="1701" w:hanging="567"/>
    </w:pPr>
  </w:style>
  <w:style w:type="paragraph" w:customStyle="1" w:styleId="FigureTitle">
    <w:name w:val="Figure_Title"/>
    <w:basedOn w:val="Normal"/>
    <w:next w:val="Normal"/>
    <w:rsid w:val="00286B1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86B17"/>
    <w:pPr>
      <w:keepNext/>
      <w:keepLines/>
    </w:pPr>
    <w:rPr>
      <w:b/>
    </w:rPr>
  </w:style>
  <w:style w:type="paragraph" w:customStyle="1" w:styleId="enumlev2">
    <w:name w:val="enumlev2"/>
    <w:basedOn w:val="Normal"/>
    <w:rsid w:val="00286B1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86B17"/>
    <w:pPr>
      <w:keepNext/>
      <w:keepLines/>
      <w:spacing w:before="240"/>
      <w:ind w:left="1418"/>
    </w:pPr>
    <w:rPr>
      <w:rFonts w:ascii="Arial" w:hAnsi="Arial"/>
      <w:b/>
      <w:sz w:val="36"/>
    </w:rPr>
  </w:style>
  <w:style w:type="paragraph" w:styleId="Caption">
    <w:name w:val="caption"/>
    <w:basedOn w:val="Normal"/>
    <w:next w:val="Normal"/>
    <w:uiPriority w:val="35"/>
    <w:qFormat/>
    <w:rsid w:val="00286B17"/>
    <w:pPr>
      <w:spacing w:before="120" w:after="120"/>
    </w:pPr>
    <w:rPr>
      <w:b/>
    </w:rPr>
  </w:style>
  <w:style w:type="character" w:styleId="Hyperlink">
    <w:name w:val="Hyperlink"/>
    <w:uiPriority w:val="99"/>
    <w:rsid w:val="00286B17"/>
    <w:rPr>
      <w:color w:val="0000FF"/>
      <w:u w:val="single"/>
    </w:rPr>
  </w:style>
  <w:style w:type="character" w:styleId="FollowedHyperlink">
    <w:name w:val="FollowedHyperlink"/>
    <w:rsid w:val="00286B17"/>
    <w:rPr>
      <w:color w:val="800080"/>
      <w:u w:val="single"/>
    </w:rPr>
  </w:style>
  <w:style w:type="paragraph" w:styleId="DocumentMap">
    <w:name w:val="Document Map"/>
    <w:basedOn w:val="Normal"/>
    <w:semiHidden/>
    <w:rsid w:val="00286B17"/>
    <w:pPr>
      <w:shd w:val="clear" w:color="auto" w:fill="000080"/>
    </w:pPr>
    <w:rPr>
      <w:rFonts w:ascii="Tahoma" w:hAnsi="Tahoma"/>
    </w:rPr>
  </w:style>
  <w:style w:type="paragraph" w:styleId="PlainText">
    <w:name w:val="Plain Text"/>
    <w:basedOn w:val="Normal"/>
    <w:rsid w:val="00286B17"/>
    <w:rPr>
      <w:rFonts w:ascii="Courier New" w:hAnsi="Courier New"/>
      <w:lang w:val="nb-NO"/>
    </w:rPr>
  </w:style>
  <w:style w:type="paragraph" w:customStyle="1" w:styleId="TAJ">
    <w:name w:val="TAJ"/>
    <w:basedOn w:val="TH"/>
    <w:rsid w:val="00286B17"/>
  </w:style>
  <w:style w:type="paragraph" w:styleId="BodyText">
    <w:name w:val="Body Text"/>
    <w:aliases w:val="bt"/>
    <w:basedOn w:val="Normal"/>
    <w:rsid w:val="00286B17"/>
  </w:style>
  <w:style w:type="paragraph" w:customStyle="1" w:styleId="Guidance">
    <w:name w:val="Guidance"/>
    <w:basedOn w:val="Normal"/>
    <w:link w:val="GuidanceChar"/>
    <w:rsid w:val="00286B17"/>
    <w:rPr>
      <w:rFonts w:eastAsia="MS Mincho"/>
      <w:i/>
      <w:color w:val="0000FF"/>
    </w:rPr>
  </w:style>
  <w:style w:type="paragraph" w:styleId="BodyText2">
    <w:name w:val="Body Text 2"/>
    <w:basedOn w:val="Normal"/>
    <w:rsid w:val="00286B17"/>
    <w:pPr>
      <w:widowControl w:val="0"/>
      <w:tabs>
        <w:tab w:val="left" w:pos="2205"/>
      </w:tabs>
      <w:ind w:left="630"/>
      <w:jc w:val="both"/>
    </w:pPr>
    <w:rPr>
      <w:kern w:val="2"/>
      <w:sz w:val="21"/>
    </w:rPr>
  </w:style>
  <w:style w:type="paragraph" w:styleId="BodyTextIndent2">
    <w:name w:val="Body Text Indent 2"/>
    <w:basedOn w:val="Normal"/>
    <w:rsid w:val="00286B17"/>
    <w:pPr>
      <w:widowControl w:val="0"/>
      <w:tabs>
        <w:tab w:val="left" w:pos="2205"/>
      </w:tabs>
      <w:ind w:left="200"/>
      <w:jc w:val="both"/>
    </w:pPr>
    <w:rPr>
      <w:kern w:val="2"/>
    </w:rPr>
  </w:style>
  <w:style w:type="paragraph" w:styleId="BodyTextIndent3">
    <w:name w:val="Body Text Indent 3"/>
    <w:basedOn w:val="Normal"/>
    <w:rsid w:val="00286B17"/>
    <w:pPr>
      <w:ind w:left="1080"/>
    </w:pPr>
  </w:style>
  <w:style w:type="paragraph" w:customStyle="1" w:styleId="numberedlist">
    <w:name w:val="numbered list"/>
    <w:basedOn w:val="ListBullet"/>
    <w:rsid w:val="00286B1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286B17"/>
    <w:rPr>
      <w:rFonts w:ascii="Arial" w:hAnsi="Arial"/>
      <w:lang w:val="en-GB" w:eastAsia="en-US"/>
    </w:rPr>
  </w:style>
  <w:style w:type="paragraph" w:customStyle="1" w:styleId="TabList">
    <w:name w:val="TabList"/>
    <w:basedOn w:val="Normal"/>
    <w:rsid w:val="00286B17"/>
    <w:pPr>
      <w:tabs>
        <w:tab w:val="left" w:pos="1134"/>
      </w:tabs>
    </w:pPr>
    <w:rPr>
      <w:rFonts w:eastAsia="MS Mincho"/>
    </w:rPr>
  </w:style>
  <w:style w:type="paragraph" w:customStyle="1" w:styleId="tabletext">
    <w:name w:val="table text"/>
    <w:basedOn w:val="Normal"/>
    <w:next w:val="table"/>
    <w:rsid w:val="00286B17"/>
    <w:rPr>
      <w:rFonts w:eastAsia="MS Mincho"/>
      <w:i/>
    </w:rPr>
  </w:style>
  <w:style w:type="paragraph" w:customStyle="1" w:styleId="table">
    <w:name w:val="table"/>
    <w:basedOn w:val="Normal"/>
    <w:next w:val="Normal"/>
    <w:rsid w:val="00286B17"/>
    <w:pPr>
      <w:jc w:val="center"/>
    </w:pPr>
    <w:rPr>
      <w:rFonts w:eastAsia="MS Mincho"/>
    </w:rPr>
  </w:style>
  <w:style w:type="paragraph" w:customStyle="1" w:styleId="HE">
    <w:name w:val="HE"/>
    <w:basedOn w:val="Normal"/>
    <w:rsid w:val="00286B17"/>
    <w:rPr>
      <w:rFonts w:eastAsia="MS Mincho"/>
      <w:b/>
    </w:rPr>
  </w:style>
  <w:style w:type="paragraph" w:customStyle="1" w:styleId="text">
    <w:name w:val="text"/>
    <w:basedOn w:val="Normal"/>
    <w:rsid w:val="00286B17"/>
    <w:pPr>
      <w:widowControl w:val="0"/>
      <w:spacing w:after="240"/>
      <w:jc w:val="both"/>
    </w:pPr>
    <w:rPr>
      <w:lang w:val="en-AU"/>
    </w:rPr>
  </w:style>
  <w:style w:type="paragraph" w:customStyle="1" w:styleId="Reference">
    <w:name w:val="Reference"/>
    <w:basedOn w:val="EX"/>
    <w:rsid w:val="00286B17"/>
    <w:pPr>
      <w:numPr>
        <w:numId w:val="5"/>
      </w:numPr>
    </w:pPr>
  </w:style>
  <w:style w:type="paragraph" w:customStyle="1" w:styleId="berschrift1H1">
    <w:name w:val="Überschrift 1.H1"/>
    <w:basedOn w:val="Normal"/>
    <w:next w:val="Normal"/>
    <w:rsid w:val="00286B17"/>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86B17"/>
    <w:pPr>
      <w:widowControl/>
      <w:numPr>
        <w:numId w:val="1"/>
      </w:numPr>
      <w:spacing w:after="120"/>
    </w:pPr>
    <w:rPr>
      <w:rFonts w:eastAsia="MS Mincho"/>
      <w:lang w:val="en-US"/>
    </w:rPr>
  </w:style>
  <w:style w:type="paragraph" w:customStyle="1" w:styleId="textintend2">
    <w:name w:val="text intend 2"/>
    <w:basedOn w:val="text"/>
    <w:rsid w:val="00286B17"/>
    <w:pPr>
      <w:widowControl/>
      <w:numPr>
        <w:numId w:val="2"/>
      </w:numPr>
      <w:spacing w:after="120"/>
    </w:pPr>
    <w:rPr>
      <w:rFonts w:eastAsia="MS Mincho"/>
      <w:lang w:val="en-US"/>
    </w:rPr>
  </w:style>
  <w:style w:type="paragraph" w:customStyle="1" w:styleId="textintend3">
    <w:name w:val="text intend 3"/>
    <w:basedOn w:val="text"/>
    <w:rsid w:val="00286B17"/>
    <w:pPr>
      <w:widowControl/>
      <w:numPr>
        <w:numId w:val="3"/>
      </w:numPr>
      <w:spacing w:after="120"/>
    </w:pPr>
    <w:rPr>
      <w:rFonts w:eastAsia="MS Mincho"/>
      <w:lang w:val="en-US"/>
    </w:rPr>
  </w:style>
  <w:style w:type="paragraph" w:customStyle="1" w:styleId="normalpuce">
    <w:name w:val="normal puce"/>
    <w:basedOn w:val="Normal"/>
    <w:rsid w:val="00286B17"/>
    <w:pPr>
      <w:widowControl w:val="0"/>
      <w:numPr>
        <w:numId w:val="6"/>
      </w:numPr>
      <w:spacing w:before="60" w:after="60"/>
      <w:jc w:val="both"/>
    </w:pPr>
    <w:rPr>
      <w:rFonts w:eastAsia="MS Mincho"/>
    </w:rPr>
  </w:style>
  <w:style w:type="character" w:styleId="CommentReference">
    <w:name w:val="annotation reference"/>
    <w:semiHidden/>
    <w:rsid w:val="00286B17"/>
    <w:rPr>
      <w:sz w:val="16"/>
    </w:rPr>
  </w:style>
  <w:style w:type="paragraph" w:styleId="CommentText">
    <w:name w:val="annotation text"/>
    <w:basedOn w:val="Normal"/>
    <w:link w:val="CommentTextChar"/>
    <w:semiHidden/>
    <w:rsid w:val="00286B17"/>
    <w:rPr>
      <w:rFonts w:eastAsia="MS Mincho"/>
    </w:rPr>
  </w:style>
  <w:style w:type="paragraph" w:customStyle="1" w:styleId="TdocHeading1">
    <w:name w:val="Tdoc_Heading_1"/>
    <w:basedOn w:val="Heading1"/>
    <w:next w:val="Normal"/>
    <w:autoRedefine/>
    <w:rsid w:val="00AF3847"/>
    <w:pPr>
      <w:keepLines w:val="0"/>
      <w:numPr>
        <w:numId w:val="8"/>
      </w:numPr>
    </w:pPr>
    <w:rPr>
      <w:b/>
      <w:noProof/>
      <w:kern w:val="28"/>
      <w:sz w:val="24"/>
      <w:lang w:val="en-US"/>
    </w:rPr>
  </w:style>
  <w:style w:type="paragraph" w:styleId="Date">
    <w:name w:val="Date"/>
    <w:basedOn w:val="Normal"/>
    <w:next w:val="Normal"/>
    <w:rsid w:val="00286B17"/>
    <w:pPr>
      <w:jc w:val="both"/>
    </w:pPr>
  </w:style>
  <w:style w:type="paragraph" w:customStyle="1" w:styleId="Meetingcaption">
    <w:name w:val="Meeting caption"/>
    <w:basedOn w:val="Normal"/>
    <w:rsid w:val="00286B1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rsid w:val="00286B17"/>
    <w:pPr>
      <w:spacing w:after="240"/>
      <w:jc w:val="both"/>
    </w:pPr>
    <w:rPr>
      <w:rFonts w:ascii="Helvetica" w:hAnsi="Helvetica"/>
    </w:rPr>
  </w:style>
  <w:style w:type="paragraph" w:customStyle="1" w:styleId="CRCoverPage">
    <w:name w:val="CR Cover Page"/>
    <w:rsid w:val="00286B17"/>
    <w:pPr>
      <w:spacing w:after="120"/>
    </w:pPr>
    <w:rPr>
      <w:rFonts w:ascii="Arial" w:hAnsi="Arial"/>
      <w:lang w:val="en-GB" w:eastAsia="en-US"/>
    </w:rPr>
  </w:style>
  <w:style w:type="paragraph" w:customStyle="1" w:styleId="Cell">
    <w:name w:val="Cell"/>
    <w:basedOn w:val="Normal"/>
    <w:rsid w:val="00286B17"/>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customStyle="1" w:styleId="PlainTable11">
    <w:name w:val="Plain Tab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10"/>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2161085">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2961513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0511943">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24381163">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29564591">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48184984">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57CAF5-3BC3-4BF7-83B4-4B8088F6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2019-02-15T13:32:00Z</dcterms:created>
  <dcterms:modified xsi:type="dcterms:W3CDTF">2019-02-15T13:34:00Z</dcterms:modified>
</cp:coreProperties>
</file>