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B4E" w:rsidRPr="002C5CDC" w:rsidRDefault="00464B4E" w:rsidP="00464B4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#96</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bookmarkStart w:id="3" w:name="_GoBack"/>
      <w:bookmarkEnd w:id="3"/>
      <w:r w:rsidR="00B13EAE" w:rsidRPr="00B13EAE">
        <w:rPr>
          <w:rFonts w:ascii="Arial" w:hAnsi="Arial" w:cs="Arial"/>
          <w:b/>
          <w:bCs/>
          <w:sz w:val="24"/>
        </w:rPr>
        <w:t>R1-1902924</w:t>
      </w:r>
    </w:p>
    <w:p w:rsidR="00464B4E" w:rsidRPr="00796582" w:rsidRDefault="00464B4E" w:rsidP="00464B4E">
      <w:pPr>
        <w:tabs>
          <w:tab w:val="center" w:pos="4536"/>
          <w:tab w:val="right" w:pos="9072"/>
        </w:tabs>
        <w:spacing w:afterLines="50" w:after="156"/>
        <w:rPr>
          <w:rFonts w:ascii="Arial" w:eastAsia="MS Mincho" w:hAnsi="Arial" w:cs="Arial"/>
          <w:b/>
          <w:bCs/>
          <w:sz w:val="24"/>
          <w:lang w:eastAsia="ja-JP"/>
        </w:rPr>
      </w:pPr>
      <w:r w:rsidRPr="00597036">
        <w:rPr>
          <w:rFonts w:ascii="Arial" w:eastAsia="MS Mincho" w:hAnsi="Arial" w:cs="Arial"/>
          <w:b/>
          <w:bCs/>
          <w:sz w:val="24"/>
          <w:lang w:eastAsia="ja-JP"/>
        </w:rPr>
        <w:t>Athens</w:t>
      </w:r>
      <w:r w:rsidRPr="00533A5B">
        <w:rPr>
          <w:rFonts w:ascii="Arial" w:eastAsia="MS Mincho" w:hAnsi="Arial" w:cs="Arial"/>
          <w:b/>
          <w:bCs/>
          <w:sz w:val="24"/>
          <w:lang w:eastAsia="ja-JP"/>
        </w:rPr>
        <w:t xml:space="preserve">, </w:t>
      </w:r>
      <w:r w:rsidRPr="00597036">
        <w:rPr>
          <w:rFonts w:ascii="Arial" w:eastAsia="MS Mincho" w:hAnsi="Arial" w:cs="Arial"/>
          <w:b/>
          <w:bCs/>
          <w:sz w:val="24"/>
          <w:lang w:eastAsia="ja-JP"/>
        </w:rPr>
        <w:t>Greece</w:t>
      </w:r>
      <w:r>
        <w:rPr>
          <w:rFonts w:ascii="Arial" w:eastAsia="MS Mincho" w:hAnsi="Arial" w:cs="Arial"/>
          <w:b/>
          <w:bCs/>
          <w:sz w:val="24"/>
          <w:lang w:eastAsia="ja-JP"/>
        </w:rPr>
        <w:t>,</w:t>
      </w:r>
      <w:r w:rsidRPr="00597036">
        <w:rPr>
          <w:rFonts w:ascii="Arial" w:eastAsia="MS Mincho" w:hAnsi="Arial" w:cs="Arial"/>
          <w:b/>
          <w:bCs/>
          <w:sz w:val="24"/>
          <w:lang w:eastAsia="ja-JP"/>
        </w:rPr>
        <w:t xml:space="preserve"> 25</w:t>
      </w:r>
      <w:r w:rsidRPr="00597036">
        <w:rPr>
          <w:rFonts w:ascii="Arial" w:eastAsia="MS Mincho" w:hAnsi="Arial" w:cs="Arial"/>
          <w:b/>
          <w:bCs/>
          <w:sz w:val="24"/>
          <w:vertAlign w:val="superscript"/>
          <w:lang w:eastAsia="ja-JP"/>
        </w:rPr>
        <w:t>th</w:t>
      </w:r>
      <w:r w:rsidRPr="00597036">
        <w:rPr>
          <w:rFonts w:ascii="Arial" w:eastAsia="MS Mincho" w:hAnsi="Arial" w:cs="Arial"/>
          <w:b/>
          <w:bCs/>
          <w:sz w:val="24"/>
          <w:lang w:eastAsia="ja-JP"/>
        </w:rPr>
        <w:t xml:space="preserve"> February – 1</w:t>
      </w:r>
      <w:r w:rsidRPr="00597036">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597036">
        <w:rPr>
          <w:rFonts w:ascii="Arial" w:eastAsia="MS Mincho" w:hAnsi="Arial" w:cs="Arial"/>
          <w:b/>
          <w:bCs/>
          <w:sz w:val="24"/>
          <w:lang w:eastAsia="ja-JP"/>
        </w:rPr>
        <w:t>March, 2019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C354D5" w:rsidRPr="00C354D5">
        <w:rPr>
          <w:rFonts w:ascii="Arial" w:hAnsi="Arial" w:cs="Arial"/>
          <w:b/>
          <w:bCs/>
          <w:sz w:val="22"/>
          <w:szCs w:val="22"/>
          <w:lang w:val="en-GB"/>
        </w:rPr>
        <w:t>Potential enhancements to UCI</w:t>
      </w:r>
      <w:r w:rsidR="0068535C">
        <w:rPr>
          <w:rFonts w:ascii="Arial" w:hAnsi="Arial" w:cs="Arial"/>
          <w:b/>
          <w:bCs/>
          <w:sz w:val="22"/>
          <w:szCs w:val="22"/>
          <w:lang w:val="en-GB"/>
        </w:rPr>
        <w:t xml:space="preserve"> 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ED4C68">
        <w:rPr>
          <w:rFonts w:ascii="Arial" w:hAnsi="Arial" w:cs="Arial" w:hint="eastAsia"/>
          <w:b/>
          <w:sz w:val="22"/>
          <w:szCs w:val="22"/>
        </w:rPr>
        <w:t>2</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211DC3" w:rsidP="003F6EFF">
      <w:pPr>
        <w:spacing w:afterLines="50" w:after="156"/>
        <w:rPr>
          <w:sz w:val="22"/>
          <w:szCs w:val="22"/>
        </w:rPr>
      </w:pPr>
      <w:r>
        <w:rPr>
          <w:sz w:val="22"/>
          <w:szCs w:val="22"/>
        </w:rPr>
        <w:t xml:space="preserve">Up to the </w:t>
      </w:r>
      <w:r w:rsidR="000F16BF" w:rsidRPr="000F16BF">
        <w:rPr>
          <w:sz w:val="22"/>
          <w:szCs w:val="22"/>
        </w:rPr>
        <w:t xml:space="preserve">January </w:t>
      </w:r>
      <w:r>
        <w:rPr>
          <w:sz w:val="22"/>
          <w:szCs w:val="22"/>
        </w:rPr>
        <w:t xml:space="preserve">RAN1 </w:t>
      </w:r>
      <w:r w:rsidR="000F16BF">
        <w:rPr>
          <w:sz w:val="22"/>
          <w:szCs w:val="22"/>
        </w:rPr>
        <w:t xml:space="preserve">Ad-Hoc </w:t>
      </w:r>
      <w:r w:rsidR="00ED4C68">
        <w:rPr>
          <w:sz w:val="22"/>
          <w:szCs w:val="22"/>
        </w:rPr>
        <w:t>meeting, the following agreement</w:t>
      </w:r>
      <w:r w:rsidR="00DB6808">
        <w:rPr>
          <w:sz w:val="22"/>
          <w:szCs w:val="22"/>
        </w:rPr>
        <w:t>s</w:t>
      </w:r>
      <w:r w:rsidR="00216FEB">
        <w:rPr>
          <w:sz w:val="22"/>
          <w:szCs w:val="22"/>
        </w:rPr>
        <w:t xml:space="preserve"> </w:t>
      </w:r>
      <w:r w:rsidR="000F16BF">
        <w:rPr>
          <w:sz w:val="22"/>
          <w:szCs w:val="22"/>
        </w:rPr>
        <w:t>were</w:t>
      </w:r>
      <w:r w:rsidR="00216FEB">
        <w:rPr>
          <w:sz w:val="22"/>
          <w:szCs w:val="22"/>
        </w:rPr>
        <w:t xml:space="preserve"> reached</w:t>
      </w:r>
      <w:r w:rsidR="00ED4C68">
        <w:rPr>
          <w:sz w:val="22"/>
          <w:szCs w:val="22"/>
        </w:rPr>
        <w:t xml:space="preserve"> about UCI enhancements to support URLLC:</w:t>
      </w:r>
    </w:p>
    <w:p w:rsidR="00ED4C68" w:rsidRDefault="00BA7833" w:rsidP="00BA7833">
      <w:pPr>
        <w:pStyle w:val="a8"/>
        <w:widowControl/>
        <w:numPr>
          <w:ilvl w:val="0"/>
          <w:numId w:val="35"/>
        </w:numPr>
        <w:autoSpaceDE w:val="0"/>
        <w:autoSpaceDN w:val="0"/>
        <w:adjustRightInd w:val="0"/>
        <w:snapToGrid w:val="0"/>
        <w:spacing w:after="120"/>
        <w:ind w:firstLineChars="0"/>
        <w:contextualSpacing/>
        <w:rPr>
          <w:i/>
        </w:rPr>
      </w:pPr>
      <w:r w:rsidRPr="00BA7833">
        <w:rPr>
          <w:i/>
        </w:rPr>
        <w:t>Multiple PUCCHs for HARQ-ACK within a slot should be supported in R16.</w:t>
      </w:r>
    </w:p>
    <w:p w:rsidR="00E60299" w:rsidRPr="00E60299" w:rsidRDefault="00E60299" w:rsidP="00E60299">
      <w:pPr>
        <w:pStyle w:val="a8"/>
        <w:widowControl/>
        <w:numPr>
          <w:ilvl w:val="0"/>
          <w:numId w:val="35"/>
        </w:numPr>
        <w:autoSpaceDE w:val="0"/>
        <w:autoSpaceDN w:val="0"/>
        <w:adjustRightInd w:val="0"/>
        <w:snapToGrid w:val="0"/>
        <w:spacing w:after="120"/>
        <w:ind w:firstLineChars="0"/>
        <w:contextualSpacing/>
        <w:rPr>
          <w:i/>
        </w:rPr>
      </w:pPr>
      <w:r w:rsidRPr="00E60299">
        <w:rPr>
          <w:i/>
        </w:rPr>
        <w:t>For a R16 UE, at least two HARQ-ACK codebooks can be simultaneously constructed, intended for supporting different service types for a UE</w:t>
      </w:r>
    </w:p>
    <w:p w:rsidR="00E60299" w:rsidRPr="00E60299" w:rsidRDefault="00E60299" w:rsidP="00E60299">
      <w:pPr>
        <w:pStyle w:val="a8"/>
        <w:widowControl/>
        <w:numPr>
          <w:ilvl w:val="1"/>
          <w:numId w:val="35"/>
        </w:numPr>
        <w:autoSpaceDE w:val="0"/>
        <w:autoSpaceDN w:val="0"/>
        <w:adjustRightInd w:val="0"/>
        <w:snapToGrid w:val="0"/>
        <w:spacing w:after="120"/>
        <w:ind w:firstLineChars="0"/>
        <w:contextualSpacing/>
        <w:rPr>
          <w:i/>
        </w:rPr>
      </w:pPr>
      <w:r w:rsidRPr="00E60299">
        <w:rPr>
          <w:i/>
        </w:rPr>
        <w:t>FFS more details (including procedures when applicable)</w:t>
      </w:r>
    </w:p>
    <w:p w:rsidR="00E60299" w:rsidRPr="00E60299" w:rsidRDefault="00E60299" w:rsidP="00E60299">
      <w:pPr>
        <w:pStyle w:val="a8"/>
        <w:widowControl/>
        <w:numPr>
          <w:ilvl w:val="1"/>
          <w:numId w:val="35"/>
        </w:numPr>
        <w:autoSpaceDE w:val="0"/>
        <w:autoSpaceDN w:val="0"/>
        <w:adjustRightInd w:val="0"/>
        <w:snapToGrid w:val="0"/>
        <w:spacing w:after="120"/>
        <w:ind w:firstLineChars="0"/>
        <w:contextualSpacing/>
        <w:rPr>
          <w:i/>
        </w:rPr>
      </w:pPr>
      <w:r w:rsidRPr="00E60299">
        <w:rPr>
          <w:i/>
        </w:rPr>
        <w:t xml:space="preserve">FFS: How to identify a HARQ-ACK codebook </w:t>
      </w:r>
    </w:p>
    <w:p w:rsidR="00E60299" w:rsidRPr="00E60299" w:rsidRDefault="00E60299" w:rsidP="00E60299">
      <w:pPr>
        <w:pStyle w:val="a8"/>
        <w:widowControl/>
        <w:numPr>
          <w:ilvl w:val="1"/>
          <w:numId w:val="35"/>
        </w:numPr>
        <w:autoSpaceDE w:val="0"/>
        <w:autoSpaceDN w:val="0"/>
        <w:adjustRightInd w:val="0"/>
        <w:snapToGrid w:val="0"/>
        <w:spacing w:after="120"/>
        <w:ind w:firstLineChars="0"/>
        <w:contextualSpacing/>
        <w:rPr>
          <w:i/>
        </w:rPr>
      </w:pPr>
      <w:r w:rsidRPr="00E60299">
        <w:rPr>
          <w:i/>
        </w:rPr>
        <w:t>FFS applicability to semi-static HARQ-ACK codebook, or dynamic HARQ-ACK codebook, or both</w:t>
      </w:r>
    </w:p>
    <w:p w:rsidR="00E60299" w:rsidRPr="00E60299" w:rsidRDefault="00E60299" w:rsidP="00E60299">
      <w:pPr>
        <w:pStyle w:val="a8"/>
        <w:widowControl/>
        <w:numPr>
          <w:ilvl w:val="1"/>
          <w:numId w:val="35"/>
        </w:numPr>
        <w:autoSpaceDE w:val="0"/>
        <w:autoSpaceDN w:val="0"/>
        <w:adjustRightInd w:val="0"/>
        <w:snapToGrid w:val="0"/>
        <w:spacing w:after="120"/>
        <w:ind w:firstLineChars="0"/>
        <w:contextualSpacing/>
        <w:rPr>
          <w:i/>
        </w:rPr>
      </w:pPr>
      <w:r w:rsidRPr="00E60299">
        <w:rPr>
          <w:i/>
        </w:rPr>
        <w:t>FFS more than 2</w:t>
      </w:r>
    </w:p>
    <w:p w:rsidR="006B539A" w:rsidRDefault="00E60299" w:rsidP="00E60299">
      <w:pPr>
        <w:pStyle w:val="a8"/>
        <w:widowControl/>
        <w:numPr>
          <w:ilvl w:val="1"/>
          <w:numId w:val="35"/>
        </w:numPr>
        <w:autoSpaceDE w:val="0"/>
        <w:autoSpaceDN w:val="0"/>
        <w:adjustRightInd w:val="0"/>
        <w:snapToGrid w:val="0"/>
        <w:spacing w:after="120"/>
        <w:ind w:firstLineChars="0"/>
        <w:contextualSpacing/>
        <w:rPr>
          <w:i/>
        </w:rPr>
      </w:pPr>
      <w:r w:rsidRPr="00E60299">
        <w:rPr>
          <w:i/>
        </w:rPr>
        <w:t>FFS whether or not CBG configuration is supported for Rel-16 URLLC</w:t>
      </w:r>
    </w:p>
    <w:p w:rsidR="0028598C" w:rsidRDefault="00ED4C68" w:rsidP="004E0876">
      <w:pPr>
        <w:spacing w:afterLines="50" w:after="156"/>
        <w:rPr>
          <w:sz w:val="22"/>
          <w:szCs w:val="22"/>
        </w:rPr>
      </w:pPr>
      <w:r>
        <w:rPr>
          <w:kern w:val="0"/>
          <w:sz w:val="22"/>
          <w:szCs w:val="22"/>
        </w:rPr>
        <w:t>In this contribution, we will discuss the</w:t>
      </w:r>
      <w:r w:rsidR="00F110F6">
        <w:rPr>
          <w:kern w:val="0"/>
          <w:sz w:val="22"/>
          <w:szCs w:val="22"/>
        </w:rPr>
        <w:t xml:space="preserve"> details about</w:t>
      </w:r>
      <w:r>
        <w:rPr>
          <w:kern w:val="0"/>
          <w:sz w:val="22"/>
          <w:szCs w:val="22"/>
        </w:rPr>
        <w:t xml:space="preserve"> potential enhancements to UCI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013C25" w:rsidP="00D83C51">
      <w:pPr>
        <w:pStyle w:val="2"/>
        <w:rPr>
          <w:rFonts w:ascii="Arial" w:hAnsi="Arial" w:cs="Arial"/>
          <w:sz w:val="24"/>
          <w:szCs w:val="24"/>
        </w:rPr>
      </w:pPr>
      <w:r w:rsidRPr="00595E68">
        <w:rPr>
          <w:rFonts w:ascii="Arial" w:hAnsi="Arial" w:cs="Arial"/>
          <w:sz w:val="24"/>
          <w:szCs w:val="24"/>
        </w:rPr>
        <w:t>HARQ-ACK codebook determination</w:t>
      </w:r>
      <w:r>
        <w:rPr>
          <w:rFonts w:ascii="Arial" w:hAnsi="Arial" w:cs="Arial"/>
          <w:sz w:val="24"/>
          <w:szCs w:val="24"/>
        </w:rPr>
        <w:t xml:space="preserve"> </w:t>
      </w:r>
    </w:p>
    <w:p w:rsidR="00013C25" w:rsidRPr="00C002E9" w:rsidRDefault="00013C25" w:rsidP="00013C25">
      <w:pPr>
        <w:pStyle w:val="a8"/>
        <w:numPr>
          <w:ilvl w:val="0"/>
          <w:numId w:val="37"/>
        </w:numPr>
        <w:spacing w:afterLines="50" w:after="156"/>
        <w:ind w:firstLineChars="0"/>
        <w:rPr>
          <w:b/>
          <w:sz w:val="22"/>
          <w:szCs w:val="22"/>
          <w:u w:val="single"/>
        </w:rPr>
      </w:pPr>
      <w:r w:rsidRPr="00C002E9">
        <w:rPr>
          <w:b/>
          <w:sz w:val="22"/>
          <w:szCs w:val="22"/>
          <w:u w:val="single"/>
        </w:rPr>
        <w:t>Timing indication of PUCCH for HARQ-ACK</w:t>
      </w:r>
    </w:p>
    <w:p w:rsidR="002524BF" w:rsidRPr="000D2DC0" w:rsidRDefault="005B39EE" w:rsidP="002524BF">
      <w:pPr>
        <w:spacing w:afterLines="50" w:after="156"/>
        <w:rPr>
          <w:sz w:val="22"/>
          <w:szCs w:val="22"/>
        </w:rPr>
      </w:pPr>
      <w:r>
        <w:rPr>
          <w:sz w:val="22"/>
          <w:szCs w:val="22"/>
        </w:rPr>
        <w:t>T</w:t>
      </w:r>
      <w:r w:rsidR="00C2407A" w:rsidRPr="000D2DC0">
        <w:rPr>
          <w:sz w:val="22"/>
          <w:szCs w:val="22"/>
        </w:rPr>
        <w:t xml:space="preserve">o support </w:t>
      </w:r>
      <w:r w:rsidR="00C2407A">
        <w:rPr>
          <w:rFonts w:hint="eastAsia"/>
          <w:sz w:val="22"/>
          <w:szCs w:val="22"/>
        </w:rPr>
        <w:t>m</w:t>
      </w:r>
      <w:r w:rsidR="00C2407A" w:rsidRPr="00C2407A">
        <w:rPr>
          <w:sz w:val="22"/>
          <w:szCs w:val="22"/>
        </w:rPr>
        <w:t>ultiple PUCCHs for HARQ-ACK within a slot</w:t>
      </w:r>
      <w:r>
        <w:rPr>
          <w:sz w:val="22"/>
          <w:szCs w:val="22"/>
        </w:rPr>
        <w:t xml:space="preserve"> </w:t>
      </w:r>
      <w:r w:rsidR="000D2DC0" w:rsidRPr="000D2DC0">
        <w:rPr>
          <w:sz w:val="22"/>
          <w:szCs w:val="22"/>
        </w:rPr>
        <w:t>is quite similar as the sTTI design in Rel.15 LTE where multiple sPUCCH were to be supported within the time of a subframe. In LTE, UL sTTI pattern for 2-OS sTTI is defined as [3,2,2,2,2,3] in a subframe. With this predefined sTTI pattern, the indication of timing between sPDSCH and HARQ-ACK is based on the granularity of sTTI. This mechanism can be reused for timing indication of more than two PUCCH for HARQ-ACK within a slot</w:t>
      </w:r>
      <w:r w:rsidR="005A7D30">
        <w:rPr>
          <w:sz w:val="22"/>
          <w:szCs w:val="22"/>
        </w:rPr>
        <w:t xml:space="preserve"> in NR</w:t>
      </w:r>
      <w:r w:rsidR="000D2DC0" w:rsidRPr="000D2DC0">
        <w:rPr>
          <w:sz w:val="22"/>
          <w:szCs w:val="22"/>
        </w:rPr>
        <w:t xml:space="preserve">. </w:t>
      </w:r>
      <w:r w:rsidR="00CE5802">
        <w:rPr>
          <w:sz w:val="22"/>
          <w:szCs w:val="22"/>
        </w:rPr>
        <w:t xml:space="preserve">Correspondingly, a </w:t>
      </w:r>
      <w:r w:rsidR="00CD742E">
        <w:rPr>
          <w:sz w:val="22"/>
          <w:szCs w:val="22"/>
        </w:rPr>
        <w:t xml:space="preserve">predefined sub-slot </w:t>
      </w:r>
      <w:r w:rsidR="000D2DC0" w:rsidRPr="000D2DC0">
        <w:rPr>
          <w:sz w:val="22"/>
          <w:szCs w:val="22"/>
        </w:rPr>
        <w:t xml:space="preserve">pattern </w:t>
      </w:r>
      <w:r w:rsidR="005A7D30">
        <w:rPr>
          <w:sz w:val="22"/>
          <w:szCs w:val="22"/>
        </w:rPr>
        <w:t>for PUCCH timing decision should be introduced</w:t>
      </w:r>
      <w:r w:rsidR="00CD742E">
        <w:rPr>
          <w:sz w:val="22"/>
          <w:szCs w:val="22"/>
        </w:rPr>
        <w:t>. For</w:t>
      </w:r>
      <w:r w:rsidR="000D2DC0" w:rsidRPr="000D2DC0">
        <w:rPr>
          <w:sz w:val="22"/>
          <w:szCs w:val="22"/>
        </w:rPr>
        <w:t xml:space="preserve"> example, </w:t>
      </w:r>
      <w:r w:rsidR="00C03B89">
        <w:rPr>
          <w:sz w:val="22"/>
          <w:szCs w:val="22"/>
        </w:rPr>
        <w:t>a</w:t>
      </w:r>
      <w:r w:rsidR="000D2DC0" w:rsidRPr="000D2DC0">
        <w:rPr>
          <w:sz w:val="22"/>
          <w:szCs w:val="22"/>
        </w:rPr>
        <w:t xml:space="preserve"> time pattern of </w:t>
      </w:r>
      <w:r w:rsidR="003E2985">
        <w:rPr>
          <w:sz w:val="22"/>
          <w:szCs w:val="22"/>
        </w:rPr>
        <w:t>sub</w:t>
      </w:r>
      <w:r w:rsidR="000D2DC0" w:rsidRPr="000D2DC0">
        <w:rPr>
          <w:sz w:val="22"/>
          <w:szCs w:val="22"/>
        </w:rPr>
        <w:t>-slot can be defined as [2 2 2 1 2 2 2 1] symbols in a slot.</w:t>
      </w:r>
    </w:p>
    <w:p w:rsidR="00904EED" w:rsidRPr="00494C9A" w:rsidRDefault="00904EED" w:rsidP="00904EED">
      <w:pPr>
        <w:spacing w:afterLines="50" w:after="156"/>
        <w:rPr>
          <w:b/>
          <w:i/>
        </w:rPr>
      </w:pPr>
      <w:r>
        <w:rPr>
          <w:b/>
          <w:i/>
        </w:rPr>
        <w:t xml:space="preserve">Proposal </w:t>
      </w:r>
      <w:r w:rsidR="006A17F9">
        <w:rPr>
          <w:b/>
          <w:i/>
        </w:rPr>
        <w:t>1</w:t>
      </w:r>
      <w:r>
        <w:rPr>
          <w:b/>
          <w:i/>
        </w:rPr>
        <w:t xml:space="preserve">: </w:t>
      </w:r>
      <w:r w:rsidR="00453B69" w:rsidRPr="00453B69">
        <w:rPr>
          <w:b/>
          <w:i/>
        </w:rPr>
        <w:t xml:space="preserve">Predefine </w:t>
      </w:r>
      <w:r w:rsidR="00453B69">
        <w:rPr>
          <w:b/>
          <w:i/>
        </w:rPr>
        <w:t>sub</w:t>
      </w:r>
      <w:r w:rsidR="00453B69" w:rsidRPr="00453B69">
        <w:rPr>
          <w:b/>
          <w:i/>
        </w:rPr>
        <w:t xml:space="preserve">-slot pattern within a slot for HARQ-ACK timing indication. </w:t>
      </w:r>
    </w:p>
    <w:p w:rsidR="00020301" w:rsidRPr="00020301" w:rsidRDefault="002663F7" w:rsidP="008C397C">
      <w:pPr>
        <w:spacing w:afterLines="50" w:after="156"/>
        <w:rPr>
          <w:rFonts w:eastAsiaTheme="minorEastAsia"/>
          <w:color w:val="000000"/>
        </w:rPr>
      </w:pPr>
      <w:r>
        <w:rPr>
          <w:sz w:val="22"/>
          <w:szCs w:val="22"/>
        </w:rPr>
        <w:t xml:space="preserve">For PDSCH scheduling, </w:t>
      </w:r>
      <w:r w:rsidR="006A3BF3" w:rsidRPr="00B072A2">
        <w:rPr>
          <w:i/>
          <w:sz w:val="22"/>
          <w:szCs w:val="22"/>
        </w:rPr>
        <w:t>“</w:t>
      </w:r>
      <w:r w:rsidR="006A3BF3">
        <w:rPr>
          <w:i/>
          <w:color w:val="000000"/>
        </w:rPr>
        <w:t>Time domain resource assignment</w:t>
      </w:r>
      <w:r w:rsidR="006A3BF3" w:rsidRPr="00B072A2">
        <w:rPr>
          <w:i/>
          <w:sz w:val="22"/>
          <w:szCs w:val="22"/>
        </w:rPr>
        <w:t>”</w:t>
      </w:r>
      <w:r w:rsidR="006A3BF3">
        <w:rPr>
          <w:sz w:val="22"/>
          <w:szCs w:val="22"/>
        </w:rPr>
        <w:t xml:space="preserve"> in the DCI d</w:t>
      </w:r>
      <w:r w:rsidR="00B7102A">
        <w:rPr>
          <w:sz w:val="22"/>
          <w:szCs w:val="22"/>
        </w:rPr>
        <w:t xml:space="preserve">enotes a row index in the table of </w:t>
      </w:r>
      <w:r w:rsidR="00B22EFF">
        <w:rPr>
          <w:color w:val="000000"/>
        </w:rPr>
        <w:t>resource allocation in time domain</w:t>
      </w:r>
      <w:r w:rsidR="00B7102A">
        <w:rPr>
          <w:rFonts w:hint="eastAsia"/>
          <w:color w:val="000000"/>
        </w:rPr>
        <w:t>.</w:t>
      </w:r>
      <w:r w:rsidR="00B7102A">
        <w:rPr>
          <w:color w:val="000000"/>
        </w:rPr>
        <w:t xml:space="preserve"> The indexed row defines the slot offset </w:t>
      </w:r>
      <w:r w:rsidR="00B7102A">
        <w:rPr>
          <w:i/>
          <w:color w:val="000000"/>
        </w:rPr>
        <w:t>K</w:t>
      </w:r>
      <w:r w:rsidR="00B7102A">
        <w:rPr>
          <w:i/>
          <w:color w:val="000000"/>
          <w:vertAlign w:val="subscript"/>
        </w:rPr>
        <w:t>0</w:t>
      </w:r>
      <w:r w:rsidR="00B7102A">
        <w:rPr>
          <w:color w:val="000000"/>
        </w:rPr>
        <w:t xml:space="preserve">, the start and length indicator </w:t>
      </w:r>
      <w:r w:rsidR="00B7102A">
        <w:rPr>
          <w:i/>
          <w:color w:val="000000"/>
        </w:rPr>
        <w:t>SLIV</w:t>
      </w:r>
      <w:r w:rsidR="00B7102A">
        <w:rPr>
          <w:color w:val="000000"/>
        </w:rPr>
        <w:t xml:space="preserve">, or directly the start symbol </w:t>
      </w:r>
      <w:r w:rsidR="00B7102A">
        <w:rPr>
          <w:i/>
          <w:color w:val="000000"/>
        </w:rPr>
        <w:t>S</w:t>
      </w:r>
      <w:r w:rsidR="00B7102A">
        <w:rPr>
          <w:color w:val="000000"/>
        </w:rPr>
        <w:t xml:space="preserve"> and the allocation length </w:t>
      </w:r>
      <w:r w:rsidR="00B7102A">
        <w:rPr>
          <w:i/>
          <w:color w:val="000000"/>
        </w:rPr>
        <w:t>L</w:t>
      </w:r>
      <w:r w:rsidR="00B7102A">
        <w:rPr>
          <w:color w:val="000000"/>
        </w:rPr>
        <w:t xml:space="preserve">, and the PDSCH mapping type to be assumed in the PDSCH reception. </w:t>
      </w:r>
      <w:r w:rsidR="00020301">
        <w:rPr>
          <w:color w:val="000000"/>
        </w:rPr>
        <w:t>It is noted that the value range of timing relationship between PDSCH and HARQ-ACK feedback has nothing to do with resource allocation of PDSCH in time domain.</w:t>
      </w:r>
      <w:r w:rsidR="00B7102A">
        <w:rPr>
          <w:color w:val="000000"/>
        </w:rPr>
        <w:t xml:space="preserve"> For example, s</w:t>
      </w:r>
      <w:r w:rsidR="00020301">
        <w:rPr>
          <w:color w:val="000000"/>
        </w:rPr>
        <w:t xml:space="preserve">uppose {0, 2, 4, 6, 8, 10, 12, 14} is configured by </w:t>
      </w:r>
      <w:r w:rsidR="00020301" w:rsidRPr="00B072A2">
        <w:rPr>
          <w:i/>
          <w:sz w:val="22"/>
          <w:szCs w:val="22"/>
        </w:rPr>
        <w:lastRenderedPageBreak/>
        <w:t>“</w:t>
      </w:r>
      <w:r w:rsidR="00020301">
        <w:rPr>
          <w:i/>
        </w:rPr>
        <w:t>dl-DataToUL-ACK</w:t>
      </w:r>
      <w:r w:rsidR="00020301" w:rsidRPr="00B072A2">
        <w:rPr>
          <w:i/>
          <w:sz w:val="22"/>
          <w:szCs w:val="22"/>
        </w:rPr>
        <w:t>”</w:t>
      </w:r>
      <w:r w:rsidR="00020301">
        <w:rPr>
          <w:sz w:val="22"/>
          <w:szCs w:val="22"/>
        </w:rPr>
        <w:t xml:space="preserve">, the available timing gap between PDSCH and HARQ-ACK is these 8 values no matter the PDSCH length is 2 symbols, or 14 symbols. Considering the latency requirements, this is </w:t>
      </w:r>
      <w:r w:rsidR="00B7102A">
        <w:rPr>
          <w:sz w:val="22"/>
          <w:szCs w:val="22"/>
        </w:rPr>
        <w:t>unreasonable</w:t>
      </w:r>
      <w:r w:rsidR="00020301">
        <w:rPr>
          <w:sz w:val="22"/>
          <w:szCs w:val="22"/>
        </w:rPr>
        <w:t>. For example</w:t>
      </w:r>
      <w:r w:rsidR="00225091">
        <w:rPr>
          <w:sz w:val="22"/>
          <w:szCs w:val="22"/>
        </w:rPr>
        <w:t>, o</w:t>
      </w:r>
      <w:r w:rsidR="00020301">
        <w:rPr>
          <w:sz w:val="22"/>
          <w:szCs w:val="22"/>
        </w:rPr>
        <w:t xml:space="preserve">ne PDSCH with 2 symbols length is usually used for low latency services and there is less possibility to allocate the corresponding HARQ-ACK feedback to 14 slots later. </w:t>
      </w:r>
      <w:r w:rsidR="00225091">
        <w:rPr>
          <w:sz w:val="22"/>
          <w:szCs w:val="22"/>
        </w:rPr>
        <w:t>As a result, it is observed that HARQ-ACK feedback timing indication is inefficient without considering the PDSCH resource allocation in time domain.</w:t>
      </w:r>
    </w:p>
    <w:p w:rsidR="00D83C51" w:rsidRPr="00D83C51" w:rsidRDefault="00D83C51" w:rsidP="00D83C51">
      <w:pPr>
        <w:spacing w:afterLines="50" w:after="156"/>
        <w:rPr>
          <w:b/>
          <w:i/>
        </w:rPr>
      </w:pPr>
      <w:r>
        <w:rPr>
          <w:b/>
          <w:i/>
        </w:rPr>
        <w:t xml:space="preserve">Observation 1: </w:t>
      </w:r>
      <w:r w:rsidR="00B145D1">
        <w:rPr>
          <w:b/>
          <w:i/>
        </w:rPr>
        <w:t>K1 indication is inefficient</w:t>
      </w:r>
      <w:r w:rsidR="00B76D6F" w:rsidRPr="00B76D6F">
        <w:rPr>
          <w:b/>
          <w:i/>
        </w:rPr>
        <w:t xml:space="preserve"> </w:t>
      </w:r>
      <w:r w:rsidR="00B76D6F">
        <w:rPr>
          <w:b/>
          <w:i/>
        </w:rPr>
        <w:t>w</w:t>
      </w:r>
      <w:r w:rsidR="00B76D6F" w:rsidRPr="00D83C51">
        <w:rPr>
          <w:b/>
          <w:i/>
        </w:rPr>
        <w:t>ithout considering the PDSCH resource allocation in</w:t>
      </w:r>
      <w:r w:rsidR="00B76D6F">
        <w:rPr>
          <w:b/>
          <w:i/>
        </w:rPr>
        <w:t xml:space="preserve"> time domain,</w:t>
      </w:r>
      <w:r w:rsidR="00B145D1">
        <w:rPr>
          <w:b/>
          <w:i/>
        </w:rPr>
        <w:t>.</w:t>
      </w:r>
    </w:p>
    <w:p w:rsidR="005912ED" w:rsidRDefault="00C04447" w:rsidP="00D83C51">
      <w:pPr>
        <w:spacing w:afterLines="50" w:after="156"/>
        <w:rPr>
          <w:sz w:val="22"/>
          <w:szCs w:val="22"/>
        </w:rPr>
      </w:pPr>
      <w:r>
        <w:rPr>
          <w:sz w:val="22"/>
          <w:szCs w:val="22"/>
        </w:rPr>
        <w:t xml:space="preserve">It is possible for one UE to support several service with different latency requirements. </w:t>
      </w:r>
      <w:r w:rsidR="00D83C51">
        <w:rPr>
          <w:rFonts w:hint="eastAsia"/>
          <w:sz w:val="22"/>
          <w:szCs w:val="22"/>
        </w:rPr>
        <w:t xml:space="preserve">Considering the </w:t>
      </w:r>
      <w:r w:rsidR="00D83C51">
        <w:rPr>
          <w:sz w:val="22"/>
          <w:szCs w:val="22"/>
        </w:rPr>
        <w:t xml:space="preserve">requirement of </w:t>
      </w:r>
      <w:r w:rsidR="00D57407" w:rsidRPr="00D57407">
        <w:rPr>
          <w:sz w:val="22"/>
          <w:szCs w:val="22"/>
        </w:rPr>
        <w:t>f</w:t>
      </w:r>
      <w:r w:rsidR="00D83C51" w:rsidRPr="00D57407">
        <w:rPr>
          <w:sz w:val="22"/>
          <w:szCs w:val="22"/>
        </w:rPr>
        <w:t>iner indi</w:t>
      </w:r>
      <w:r w:rsidR="00D57407">
        <w:rPr>
          <w:sz w:val="22"/>
          <w:szCs w:val="22"/>
        </w:rPr>
        <w:t xml:space="preserve">cation for HARQ feedback timing </w:t>
      </w:r>
      <w:r w:rsidR="00AF4CE3">
        <w:rPr>
          <w:sz w:val="22"/>
          <w:szCs w:val="22"/>
        </w:rPr>
        <w:t>to support URLLC</w:t>
      </w:r>
      <w:r w:rsidR="00AB1E7A">
        <w:rPr>
          <w:sz w:val="22"/>
          <w:szCs w:val="22"/>
        </w:rPr>
        <w:t>,</w:t>
      </w:r>
      <w:r w:rsidR="00AF4CE3">
        <w:rPr>
          <w:sz w:val="22"/>
          <w:szCs w:val="22"/>
        </w:rPr>
        <w:t xml:space="preserve"> </w:t>
      </w:r>
      <w:r w:rsidR="00D57407">
        <w:rPr>
          <w:sz w:val="22"/>
          <w:szCs w:val="22"/>
        </w:rPr>
        <w:t xml:space="preserve">and </w:t>
      </w:r>
      <w:r w:rsidR="00AB1E7A">
        <w:rPr>
          <w:sz w:val="22"/>
          <w:szCs w:val="22"/>
        </w:rPr>
        <w:t xml:space="preserve">considering it is necessary to </w:t>
      </w:r>
      <w:r w:rsidR="00D57407">
        <w:rPr>
          <w:sz w:val="22"/>
          <w:szCs w:val="22"/>
        </w:rPr>
        <w:t>improv</w:t>
      </w:r>
      <w:r w:rsidR="00AB1E7A">
        <w:rPr>
          <w:sz w:val="22"/>
          <w:szCs w:val="22"/>
        </w:rPr>
        <w:t>e</w:t>
      </w:r>
      <w:r w:rsidR="00D57407">
        <w:rPr>
          <w:sz w:val="22"/>
          <w:szCs w:val="22"/>
        </w:rPr>
        <w:t xml:space="preserve"> the efficiency of </w:t>
      </w:r>
      <w:r w:rsidR="00C01B34">
        <w:rPr>
          <w:sz w:val="22"/>
          <w:szCs w:val="22"/>
        </w:rPr>
        <w:t xml:space="preserve">HARQ timing indication, it is proposed to configure independent </w:t>
      </w:r>
      <w:r w:rsidR="00C01B34" w:rsidRPr="00C01B34">
        <w:rPr>
          <w:sz w:val="22"/>
          <w:szCs w:val="22"/>
        </w:rPr>
        <w:t xml:space="preserve">candidate values of </w:t>
      </w:r>
      <w:r w:rsidR="00C01B34">
        <w:rPr>
          <w:sz w:val="22"/>
          <w:szCs w:val="22"/>
        </w:rPr>
        <w:t xml:space="preserve">DL data to UL HARQ-ACK feedback timing for each </w:t>
      </w:r>
      <w:r w:rsidR="00D55F34">
        <w:rPr>
          <w:sz w:val="22"/>
          <w:szCs w:val="22"/>
        </w:rPr>
        <w:t xml:space="preserve">row of </w:t>
      </w:r>
      <w:r w:rsidR="00C01B34" w:rsidRPr="00C01B34">
        <w:rPr>
          <w:sz w:val="22"/>
          <w:szCs w:val="22"/>
        </w:rPr>
        <w:t>PDSCH allocation</w:t>
      </w:r>
      <w:r w:rsidR="00D55F34">
        <w:rPr>
          <w:sz w:val="22"/>
          <w:szCs w:val="22"/>
        </w:rPr>
        <w:t xml:space="preserve"> table </w:t>
      </w:r>
    </w:p>
    <w:p w:rsidR="00312753" w:rsidRPr="00312753" w:rsidRDefault="00C01B34" w:rsidP="00312753">
      <w:pPr>
        <w:spacing w:afterLines="50" w:after="156"/>
        <w:rPr>
          <w:sz w:val="22"/>
          <w:szCs w:val="22"/>
        </w:rPr>
      </w:pPr>
      <w:r>
        <w:rPr>
          <w:sz w:val="22"/>
          <w:szCs w:val="22"/>
        </w:rPr>
        <w:t xml:space="preserve">For </w:t>
      </w:r>
      <w:r w:rsidR="006651AA">
        <w:rPr>
          <w:sz w:val="22"/>
          <w:szCs w:val="22"/>
        </w:rPr>
        <w:t xml:space="preserve">rows with </w:t>
      </w:r>
      <w:r>
        <w:rPr>
          <w:sz w:val="22"/>
          <w:szCs w:val="22"/>
        </w:rPr>
        <w:t xml:space="preserve">short </w:t>
      </w:r>
      <w:r w:rsidR="00C84955">
        <w:rPr>
          <w:sz w:val="22"/>
          <w:szCs w:val="22"/>
        </w:rPr>
        <w:t xml:space="preserve">PDSCH </w:t>
      </w:r>
      <w:r>
        <w:rPr>
          <w:sz w:val="22"/>
          <w:szCs w:val="22"/>
        </w:rPr>
        <w:t xml:space="preserve">duration, the configured </w:t>
      </w:r>
      <w:r w:rsidRPr="00C01B34">
        <w:rPr>
          <w:sz w:val="22"/>
          <w:szCs w:val="22"/>
        </w:rPr>
        <w:t>candidate values</w:t>
      </w:r>
      <w:r>
        <w:rPr>
          <w:sz w:val="22"/>
          <w:szCs w:val="22"/>
        </w:rPr>
        <w:t xml:space="preserve"> can in the granularity of sub-slot</w:t>
      </w:r>
      <w:r w:rsidR="009D4664">
        <w:rPr>
          <w:sz w:val="22"/>
          <w:szCs w:val="22"/>
        </w:rPr>
        <w:t>. F</w:t>
      </w:r>
      <w:r>
        <w:rPr>
          <w:sz w:val="22"/>
          <w:szCs w:val="22"/>
        </w:rPr>
        <w:t xml:space="preserve">or </w:t>
      </w:r>
      <w:r w:rsidR="001079E4">
        <w:rPr>
          <w:sz w:val="22"/>
          <w:szCs w:val="22"/>
        </w:rPr>
        <w:t xml:space="preserve">rows with </w:t>
      </w:r>
      <w:r>
        <w:rPr>
          <w:sz w:val="22"/>
          <w:szCs w:val="22"/>
        </w:rPr>
        <w:t>long</w:t>
      </w:r>
      <w:r w:rsidR="00C84955">
        <w:rPr>
          <w:sz w:val="22"/>
          <w:szCs w:val="22"/>
        </w:rPr>
        <w:t xml:space="preserve"> PDSCH</w:t>
      </w:r>
      <w:r>
        <w:rPr>
          <w:sz w:val="22"/>
          <w:szCs w:val="22"/>
        </w:rPr>
        <w:t xml:space="preserve"> duration</w:t>
      </w:r>
      <w:r w:rsidR="006651AA">
        <w:rPr>
          <w:sz w:val="22"/>
          <w:szCs w:val="22"/>
        </w:rPr>
        <w:t xml:space="preserve">, </w:t>
      </w:r>
      <w:r>
        <w:rPr>
          <w:sz w:val="22"/>
          <w:szCs w:val="22"/>
        </w:rPr>
        <w:t xml:space="preserve">the configured </w:t>
      </w:r>
      <w:r w:rsidRPr="00C01B34">
        <w:rPr>
          <w:sz w:val="22"/>
          <w:szCs w:val="22"/>
        </w:rPr>
        <w:t>candidate values</w:t>
      </w:r>
      <w:r>
        <w:rPr>
          <w:sz w:val="22"/>
          <w:szCs w:val="22"/>
        </w:rPr>
        <w:t xml:space="preserve"> can be based on slot level</w:t>
      </w:r>
      <w:r w:rsidR="006651AA">
        <w:rPr>
          <w:sz w:val="22"/>
          <w:szCs w:val="22"/>
        </w:rPr>
        <w:t xml:space="preserve"> granularity</w:t>
      </w:r>
      <w:r>
        <w:rPr>
          <w:sz w:val="22"/>
          <w:szCs w:val="22"/>
        </w:rPr>
        <w:t xml:space="preserve">. </w:t>
      </w:r>
      <w:r w:rsidR="00E35CB7">
        <w:rPr>
          <w:sz w:val="22"/>
          <w:szCs w:val="22"/>
        </w:rPr>
        <w:t xml:space="preserve">The following </w:t>
      </w:r>
      <w:r w:rsidR="004C4461">
        <w:rPr>
          <w:sz w:val="22"/>
          <w:szCs w:val="22"/>
        </w:rPr>
        <w:fldChar w:fldCharType="begin"/>
      </w:r>
      <w:r w:rsidR="004C4461">
        <w:rPr>
          <w:sz w:val="22"/>
          <w:szCs w:val="22"/>
        </w:rPr>
        <w:instrText xml:space="preserve"> REF _Ref528939048 \h </w:instrText>
      </w:r>
      <w:r w:rsidR="004C4461">
        <w:rPr>
          <w:sz w:val="22"/>
          <w:szCs w:val="22"/>
        </w:rPr>
      </w:r>
      <w:r w:rsidR="004C4461">
        <w:rPr>
          <w:sz w:val="22"/>
          <w:szCs w:val="22"/>
        </w:rPr>
        <w:fldChar w:fldCharType="separate"/>
      </w:r>
      <w:r w:rsidR="004C4461" w:rsidRPr="0059123A">
        <w:rPr>
          <w:sz w:val="22"/>
          <w:szCs w:val="22"/>
        </w:rPr>
        <w:t>Table 1</w:t>
      </w:r>
      <w:r w:rsidR="004C4461">
        <w:rPr>
          <w:sz w:val="22"/>
          <w:szCs w:val="22"/>
        </w:rPr>
        <w:fldChar w:fldCharType="end"/>
      </w:r>
      <w:r w:rsidR="004C4461">
        <w:rPr>
          <w:sz w:val="22"/>
          <w:szCs w:val="22"/>
        </w:rPr>
        <w:t xml:space="preserve"> </w:t>
      </w:r>
      <w:r w:rsidR="00E35CB7">
        <w:rPr>
          <w:sz w:val="22"/>
          <w:szCs w:val="22"/>
        </w:rPr>
        <w:t xml:space="preserve">is </w:t>
      </w:r>
      <w:r w:rsidR="0059123A">
        <w:rPr>
          <w:sz w:val="22"/>
          <w:szCs w:val="22"/>
        </w:rPr>
        <w:t>some snapshot of</w:t>
      </w:r>
      <w:r w:rsidR="001079E4">
        <w:rPr>
          <w:sz w:val="22"/>
          <w:szCs w:val="22"/>
        </w:rPr>
        <w:t xml:space="preserve"> </w:t>
      </w:r>
      <w:r w:rsidR="0059123A">
        <w:rPr>
          <w:sz w:val="22"/>
          <w:szCs w:val="22"/>
        </w:rPr>
        <w:t xml:space="preserve">time domain </w:t>
      </w:r>
      <w:r w:rsidR="0059123A">
        <w:rPr>
          <w:color w:val="000000"/>
        </w:rPr>
        <w:t>resource allocation table</w:t>
      </w:r>
      <w:r w:rsidR="0059123A">
        <w:rPr>
          <w:sz w:val="22"/>
          <w:szCs w:val="22"/>
        </w:rPr>
        <w:t xml:space="preserve"> configured by </w:t>
      </w:r>
      <w:r w:rsidR="001079E4">
        <w:rPr>
          <w:rFonts w:eastAsia="Batang"/>
          <w:i/>
          <w:color w:val="000000"/>
        </w:rPr>
        <w:t xml:space="preserve">pdsch-TimeDomainAllocationList </w:t>
      </w:r>
      <w:r w:rsidR="001079E4">
        <w:rPr>
          <w:rFonts w:eastAsia="Batang"/>
          <w:color w:val="000000"/>
        </w:rPr>
        <w:t xml:space="preserve">provided in </w:t>
      </w:r>
      <w:r w:rsidR="001079E4">
        <w:rPr>
          <w:rFonts w:eastAsia="Batang"/>
          <w:i/>
          <w:color w:val="000000"/>
        </w:rPr>
        <w:t>pdsch-Config</w:t>
      </w:r>
      <w:r w:rsidR="004C4461">
        <w:rPr>
          <w:rFonts w:eastAsia="Batang"/>
          <w:i/>
          <w:color w:val="000000"/>
        </w:rPr>
        <w:t xml:space="preserve">, </w:t>
      </w:r>
      <w:r w:rsidR="004C4461">
        <w:rPr>
          <w:rFonts w:eastAsia="Batang"/>
          <w:color w:val="000000"/>
        </w:rPr>
        <w:t>as an example</w:t>
      </w:r>
      <w:r w:rsidR="0059123A">
        <w:rPr>
          <w:rFonts w:eastAsia="Batang"/>
          <w:color w:val="000000"/>
        </w:rPr>
        <w:t xml:space="preserve">. The row </w:t>
      </w:r>
      <w:r w:rsidR="006F25FD">
        <w:rPr>
          <w:rFonts w:eastAsia="Batang"/>
          <w:color w:val="000000"/>
        </w:rPr>
        <w:t>#</w:t>
      </w:r>
      <w:r w:rsidR="004C4461">
        <w:rPr>
          <w:rFonts w:eastAsia="Batang"/>
          <w:color w:val="000000"/>
        </w:rPr>
        <w:t>N</w:t>
      </w:r>
      <w:r w:rsidR="00DA6D5C">
        <w:rPr>
          <w:rFonts w:eastAsia="Batang"/>
          <w:color w:val="000000"/>
        </w:rPr>
        <w:t xml:space="preserve">1 corresponds to a PDSCH with the length of 14 symbols. </w:t>
      </w:r>
      <w:r w:rsidR="006F25FD">
        <w:rPr>
          <w:rFonts w:eastAsia="Batang"/>
          <w:color w:val="000000"/>
        </w:rPr>
        <w:t xml:space="preserve">It is very possible this PDSCH corresponds to eMBB service, so the candidate PDSCH to HARQ-ACK timing values are configured to </w:t>
      </w:r>
      <w:r w:rsidR="006F25FD">
        <w:rPr>
          <w:color w:val="000000"/>
        </w:rPr>
        <w:t xml:space="preserve">{0, 2, 4, 6, 8, 10, 12, 14} slots. The </w:t>
      </w:r>
      <w:r w:rsidR="006F25FD">
        <w:rPr>
          <w:rFonts w:eastAsia="Batang"/>
          <w:color w:val="000000"/>
        </w:rPr>
        <w:t xml:space="preserve">#N1+1 corresponds to a PDSCH with the length of 7 symbols. It is possible this PDSCH corresponds to some low latency data service, so the candidate PDSCH to HARQ-ACK timing values are configured to </w:t>
      </w:r>
      <w:r w:rsidR="006F25FD" w:rsidRPr="006F25FD">
        <w:rPr>
          <w:rFonts w:hint="eastAsia"/>
          <w:color w:val="000000"/>
          <w:lang w:val="en-GB"/>
        </w:rPr>
        <w:t xml:space="preserve">{6 8 10 12 14 16 18 20} </w:t>
      </w:r>
      <w:r w:rsidR="006F25FD">
        <w:rPr>
          <w:color w:val="000000"/>
          <w:lang w:val="en-GB"/>
        </w:rPr>
        <w:t>s</w:t>
      </w:r>
      <w:r w:rsidR="006F25FD" w:rsidRPr="006F25FD">
        <w:rPr>
          <w:rFonts w:hint="eastAsia"/>
          <w:color w:val="000000"/>
          <w:lang w:val="en-GB"/>
        </w:rPr>
        <w:t>ub-Slot</w:t>
      </w:r>
      <w:r w:rsidR="006F25FD">
        <w:rPr>
          <w:color w:val="000000"/>
          <w:lang w:val="en-GB"/>
        </w:rPr>
        <w:t>s. For the row</w:t>
      </w:r>
      <w:r w:rsidR="006F25FD">
        <w:rPr>
          <w:color w:val="000000"/>
        </w:rPr>
        <w:t xml:space="preserve"> </w:t>
      </w:r>
      <w:r w:rsidR="006F25FD">
        <w:rPr>
          <w:rFonts w:eastAsia="Batang"/>
          <w:color w:val="000000"/>
        </w:rPr>
        <w:t xml:space="preserve">#N1+2, it corresponds to a PDSCH with the length of 2 symbols. It is possible this PDSCH corresponds to very low latency data service, so the candidate PDSCH to HARQ-ACK timing values are configured to </w:t>
      </w:r>
      <w:r w:rsidR="006F25FD" w:rsidRPr="006F25FD">
        <w:rPr>
          <w:rFonts w:hint="eastAsia"/>
          <w:color w:val="000000"/>
          <w:lang w:val="en-GB"/>
        </w:rPr>
        <w:t>{</w:t>
      </w:r>
      <w:r w:rsidR="006F25FD">
        <w:rPr>
          <w:rFonts w:hint="eastAsia"/>
          <w:color w:val="000000"/>
          <w:lang w:val="en-GB"/>
        </w:rPr>
        <w:t>5 6 7 8 9 10 11</w:t>
      </w:r>
      <w:r w:rsidR="006F25FD" w:rsidRPr="006F25FD">
        <w:rPr>
          <w:rFonts w:hint="eastAsia"/>
          <w:color w:val="000000"/>
          <w:lang w:val="en-GB"/>
        </w:rPr>
        <w:t xml:space="preserve">} </w:t>
      </w:r>
      <w:r w:rsidR="006F25FD">
        <w:rPr>
          <w:color w:val="000000"/>
          <w:lang w:val="en-GB"/>
        </w:rPr>
        <w:t>s</w:t>
      </w:r>
      <w:r w:rsidR="006F25FD" w:rsidRPr="006F25FD">
        <w:rPr>
          <w:rFonts w:hint="eastAsia"/>
          <w:color w:val="000000"/>
          <w:lang w:val="en-GB"/>
        </w:rPr>
        <w:t>ub-Slot</w:t>
      </w:r>
      <w:r w:rsidR="006F25FD">
        <w:rPr>
          <w:color w:val="000000"/>
          <w:lang w:val="en-GB"/>
        </w:rPr>
        <w:t>s</w:t>
      </w:r>
      <w:r w:rsidR="00312753">
        <w:rPr>
          <w:color w:val="000000"/>
          <w:lang w:val="en-GB"/>
        </w:rPr>
        <w:t xml:space="preserve">. </w:t>
      </w:r>
      <w:r w:rsidR="00312753">
        <w:rPr>
          <w:sz w:val="22"/>
          <w:szCs w:val="22"/>
        </w:rPr>
        <w:t xml:space="preserve">With this pre-configuration, finer </w:t>
      </w:r>
      <w:r w:rsidR="00312753" w:rsidRPr="00D57407">
        <w:rPr>
          <w:sz w:val="22"/>
          <w:szCs w:val="22"/>
        </w:rPr>
        <w:t>indi</w:t>
      </w:r>
      <w:r w:rsidR="00312753">
        <w:rPr>
          <w:sz w:val="22"/>
          <w:szCs w:val="22"/>
        </w:rPr>
        <w:t>cation for HARQ feedback timing for URLLC data is achieved and gNB can flexibly decide the timing gap between PDSCH and HARQ-ACK.</w:t>
      </w:r>
    </w:p>
    <w:p w:rsidR="0059123A" w:rsidRPr="00C01B34" w:rsidRDefault="0059123A" w:rsidP="006F25FD">
      <w:pPr>
        <w:pStyle w:val="aa"/>
        <w:spacing w:afterLines="100" w:after="312"/>
        <w:jc w:val="center"/>
        <w:rPr>
          <w:sz w:val="22"/>
          <w:szCs w:val="22"/>
        </w:rPr>
      </w:pPr>
      <w:bookmarkStart w:id="5" w:name="_Ref528939048"/>
      <w:r w:rsidRPr="0059123A">
        <w:rPr>
          <w:rFonts w:ascii="Times New Roman" w:hAnsi="Times New Roman" w:cs="Times New Roman"/>
          <w:sz w:val="22"/>
          <w:szCs w:val="22"/>
        </w:rPr>
        <w:t xml:space="preserve">Table </w:t>
      </w:r>
      <w:r w:rsidRPr="0059123A">
        <w:rPr>
          <w:rFonts w:ascii="Times New Roman" w:hAnsi="Times New Roman" w:cs="Times New Roman"/>
          <w:sz w:val="22"/>
          <w:szCs w:val="22"/>
        </w:rPr>
        <w:fldChar w:fldCharType="begin"/>
      </w:r>
      <w:r w:rsidRPr="0059123A">
        <w:rPr>
          <w:rFonts w:ascii="Times New Roman" w:hAnsi="Times New Roman" w:cs="Times New Roman"/>
          <w:sz w:val="22"/>
          <w:szCs w:val="22"/>
        </w:rPr>
        <w:instrText xml:space="preserve"> SEQ Table \* ARABIC </w:instrText>
      </w:r>
      <w:r w:rsidRPr="0059123A">
        <w:rPr>
          <w:rFonts w:ascii="Times New Roman" w:hAnsi="Times New Roman" w:cs="Times New Roman"/>
          <w:sz w:val="22"/>
          <w:szCs w:val="22"/>
        </w:rPr>
        <w:fldChar w:fldCharType="separate"/>
      </w:r>
      <w:r w:rsidRPr="0059123A">
        <w:rPr>
          <w:rFonts w:ascii="Times New Roman" w:hAnsi="Times New Roman" w:cs="Times New Roman"/>
          <w:sz w:val="22"/>
          <w:szCs w:val="22"/>
        </w:rPr>
        <w:t>1</w:t>
      </w:r>
      <w:r w:rsidRPr="0059123A">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R</w:t>
      </w:r>
      <w:r w:rsidRPr="0059123A">
        <w:rPr>
          <w:rFonts w:ascii="Times New Roman" w:hAnsi="Times New Roman" w:cs="Times New Roman"/>
          <w:sz w:val="22"/>
          <w:szCs w:val="22"/>
        </w:rPr>
        <w:t>esource allocation table to be used for PDSCH</w:t>
      </w:r>
      <w:r w:rsidR="006F25FD">
        <w:rPr>
          <w:noProof/>
          <w:sz w:val="22"/>
          <w:szCs w:val="22"/>
        </w:rPr>
        <w:drawing>
          <wp:inline distT="0" distB="0" distL="0" distR="0" wp14:anchorId="29DCEA5E">
            <wp:extent cx="5689040" cy="1038951"/>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1940" cy="1048612"/>
                    </a:xfrm>
                    <a:prstGeom prst="rect">
                      <a:avLst/>
                    </a:prstGeom>
                    <a:noFill/>
                  </pic:spPr>
                </pic:pic>
              </a:graphicData>
            </a:graphic>
          </wp:inline>
        </w:drawing>
      </w:r>
    </w:p>
    <w:p w:rsidR="005912ED" w:rsidRPr="005912ED" w:rsidRDefault="005912ED" w:rsidP="0027487B">
      <w:pPr>
        <w:spacing w:afterLines="50" w:after="156"/>
        <w:rPr>
          <w:b/>
          <w:i/>
        </w:rPr>
      </w:pPr>
      <w:r>
        <w:rPr>
          <w:sz w:val="22"/>
          <w:szCs w:val="22"/>
        </w:rPr>
        <w:t>In summary, it is proposed to c</w:t>
      </w:r>
      <w:r w:rsidRPr="00C84955">
        <w:rPr>
          <w:sz w:val="22"/>
          <w:szCs w:val="22"/>
        </w:rPr>
        <w:t>onfigure candidate PDSCH to HARQ-ACK timing values for each row in the resource allocation in time domain table. The bit field of “PDSCH-to-HARQ-timing-indicator” in PDCCH maps to the candidate values configured in the row</w:t>
      </w:r>
      <w:r>
        <w:rPr>
          <w:sz w:val="22"/>
          <w:szCs w:val="22"/>
        </w:rPr>
        <w:t>.</w:t>
      </w:r>
    </w:p>
    <w:p w:rsidR="00904EED" w:rsidRDefault="00312753" w:rsidP="0027487B">
      <w:pPr>
        <w:spacing w:afterLines="50" w:after="156"/>
        <w:rPr>
          <w:b/>
          <w:i/>
        </w:rPr>
      </w:pPr>
      <w:r>
        <w:rPr>
          <w:b/>
          <w:i/>
        </w:rPr>
        <w:t>Proposal 2: C</w:t>
      </w:r>
      <w:r w:rsidRPr="00312753">
        <w:rPr>
          <w:b/>
          <w:i/>
        </w:rPr>
        <w:t xml:space="preserve">onfigure candidate PDSCH to HARQ-ACK timing values for each row </w:t>
      </w:r>
      <w:r w:rsidR="0019378C">
        <w:rPr>
          <w:b/>
          <w:i/>
        </w:rPr>
        <w:t>of</w:t>
      </w:r>
      <w:r w:rsidRPr="00312753">
        <w:rPr>
          <w:b/>
          <w:i/>
        </w:rPr>
        <w:t xml:space="preserve"> the</w:t>
      </w:r>
      <w:r w:rsidR="001D0F02">
        <w:rPr>
          <w:b/>
          <w:i/>
        </w:rPr>
        <w:t xml:space="preserve"> PDSCH</w:t>
      </w:r>
      <w:r w:rsidRPr="00312753">
        <w:rPr>
          <w:b/>
          <w:i/>
        </w:rPr>
        <w:t xml:space="preserve"> resource allocation in</w:t>
      </w:r>
      <w:r w:rsidR="005907BC">
        <w:rPr>
          <w:b/>
          <w:i/>
        </w:rPr>
        <w:t xml:space="preserve"> the</w:t>
      </w:r>
      <w:r w:rsidRPr="00312753">
        <w:rPr>
          <w:b/>
          <w:i/>
        </w:rPr>
        <w:t xml:space="preserve"> time domain table. </w:t>
      </w:r>
    </w:p>
    <w:p w:rsidR="00B95A88" w:rsidRPr="00C002E9" w:rsidRDefault="00595E68" w:rsidP="00BF08EC">
      <w:pPr>
        <w:pStyle w:val="a8"/>
        <w:numPr>
          <w:ilvl w:val="0"/>
          <w:numId w:val="37"/>
        </w:numPr>
        <w:spacing w:afterLines="50" w:after="156"/>
        <w:ind w:firstLineChars="0"/>
        <w:rPr>
          <w:b/>
          <w:sz w:val="22"/>
          <w:szCs w:val="22"/>
          <w:u w:val="single"/>
        </w:rPr>
      </w:pPr>
      <w:r w:rsidRPr="00C002E9">
        <w:rPr>
          <w:b/>
          <w:sz w:val="22"/>
          <w:szCs w:val="22"/>
          <w:u w:val="single"/>
        </w:rPr>
        <w:t xml:space="preserve">HARQ-ACK codebook </w:t>
      </w:r>
      <w:r w:rsidR="00BF08EC" w:rsidRPr="00BF08EC">
        <w:rPr>
          <w:b/>
          <w:sz w:val="22"/>
          <w:szCs w:val="22"/>
          <w:u w:val="single"/>
        </w:rPr>
        <w:t>construct</w:t>
      </w:r>
      <w:r w:rsidR="00BF08EC">
        <w:rPr>
          <w:b/>
          <w:sz w:val="22"/>
          <w:szCs w:val="22"/>
          <w:u w:val="single"/>
        </w:rPr>
        <w:t>ion</w:t>
      </w:r>
    </w:p>
    <w:p w:rsidR="00A85FD4" w:rsidRPr="00257984" w:rsidRDefault="0008028F" w:rsidP="0010501C">
      <w:pPr>
        <w:spacing w:afterLines="50" w:after="156"/>
        <w:rPr>
          <w:sz w:val="22"/>
          <w:szCs w:val="22"/>
        </w:rPr>
      </w:pPr>
      <w:r>
        <w:rPr>
          <w:sz w:val="22"/>
          <w:szCs w:val="22"/>
        </w:rPr>
        <w:t xml:space="preserve">It is agreed </w:t>
      </w:r>
      <w:r w:rsidRPr="0008028F">
        <w:rPr>
          <w:sz w:val="22"/>
          <w:szCs w:val="22"/>
        </w:rPr>
        <w:t>at least two HARQ-ACK codebooks can be simultaneously constructed</w:t>
      </w:r>
      <w:r w:rsidR="00E25D2B">
        <w:rPr>
          <w:sz w:val="22"/>
          <w:szCs w:val="22"/>
        </w:rPr>
        <w:t xml:space="preserve"> </w:t>
      </w:r>
      <w:r w:rsidRPr="0008028F">
        <w:rPr>
          <w:sz w:val="22"/>
          <w:szCs w:val="22"/>
        </w:rPr>
        <w:t>for supporting different service types for a UE</w:t>
      </w:r>
      <w:r>
        <w:rPr>
          <w:sz w:val="22"/>
          <w:szCs w:val="22"/>
        </w:rPr>
        <w:t xml:space="preserve">. </w:t>
      </w:r>
      <w:r w:rsidR="007A0DE0">
        <w:rPr>
          <w:sz w:val="22"/>
          <w:szCs w:val="22"/>
        </w:rPr>
        <w:t>With p</w:t>
      </w:r>
      <w:r w:rsidR="007A0DE0" w:rsidRPr="007A0DE0">
        <w:rPr>
          <w:sz w:val="22"/>
          <w:szCs w:val="22"/>
        </w:rPr>
        <w:t>redefine</w:t>
      </w:r>
      <w:r w:rsidR="00DB3AA4">
        <w:rPr>
          <w:sz w:val="22"/>
          <w:szCs w:val="22"/>
        </w:rPr>
        <w:t>d</w:t>
      </w:r>
      <w:r w:rsidR="007A0DE0" w:rsidRPr="007A0DE0">
        <w:rPr>
          <w:sz w:val="22"/>
          <w:szCs w:val="22"/>
        </w:rPr>
        <w:t xml:space="preserve"> sub-slot pattern </w:t>
      </w:r>
      <w:r w:rsidR="00F02C01">
        <w:rPr>
          <w:sz w:val="22"/>
          <w:szCs w:val="22"/>
        </w:rPr>
        <w:t>in</w:t>
      </w:r>
      <w:r w:rsidR="007A0DE0" w:rsidRPr="007A0DE0">
        <w:rPr>
          <w:sz w:val="22"/>
          <w:szCs w:val="22"/>
        </w:rPr>
        <w:t xml:space="preserve"> a slot</w:t>
      </w:r>
      <w:r>
        <w:rPr>
          <w:sz w:val="22"/>
          <w:szCs w:val="22"/>
        </w:rPr>
        <w:t xml:space="preserve"> as discussed in the section 2.1, </w:t>
      </w:r>
      <w:r w:rsidR="007A0DE0">
        <w:rPr>
          <w:sz w:val="22"/>
          <w:szCs w:val="22"/>
        </w:rPr>
        <w:t xml:space="preserve">HARQ-ACK bits within a same </w:t>
      </w:r>
      <w:r w:rsidR="000428D0">
        <w:rPr>
          <w:sz w:val="22"/>
          <w:szCs w:val="22"/>
        </w:rPr>
        <w:t xml:space="preserve">time </w:t>
      </w:r>
      <w:r w:rsidR="007A0DE0">
        <w:rPr>
          <w:sz w:val="22"/>
          <w:szCs w:val="22"/>
        </w:rPr>
        <w:t xml:space="preserve">unit </w:t>
      </w:r>
      <w:r w:rsidR="003A77D7">
        <w:rPr>
          <w:sz w:val="22"/>
          <w:szCs w:val="22"/>
        </w:rPr>
        <w:t>is to</w:t>
      </w:r>
      <w:r w:rsidR="007A0DE0">
        <w:rPr>
          <w:sz w:val="22"/>
          <w:szCs w:val="22"/>
        </w:rPr>
        <w:t xml:space="preserve"> be multiplexed to one codebook.</w:t>
      </w:r>
      <w:r w:rsidR="00257984">
        <w:rPr>
          <w:sz w:val="22"/>
          <w:szCs w:val="22"/>
        </w:rPr>
        <w:t xml:space="preserve"> gNB can indicate the HARQ-ACK feedback for different services to different sub-slots. With finer time </w:t>
      </w:r>
      <w:r w:rsidR="00257984" w:rsidRPr="00DE6B27">
        <w:rPr>
          <w:sz w:val="22"/>
          <w:szCs w:val="22"/>
        </w:rPr>
        <w:t>unit</w:t>
      </w:r>
      <w:r w:rsidR="00257984">
        <w:rPr>
          <w:sz w:val="22"/>
          <w:szCs w:val="22"/>
        </w:rPr>
        <w:t xml:space="preserve">, the latency of HARQ-ACK for URLLC could be satisfied. Actually, some sub-slots can also be used for eMBB HARQ-ACK transmission. Moreover, with more than two </w:t>
      </w:r>
      <w:r w:rsidR="00257984">
        <w:rPr>
          <w:sz w:val="22"/>
          <w:szCs w:val="22"/>
        </w:rPr>
        <w:lastRenderedPageBreak/>
        <w:t xml:space="preserve">sub-slots defined within one slot, more than 2 </w:t>
      </w:r>
      <w:r w:rsidR="00257984" w:rsidRPr="00257984">
        <w:rPr>
          <w:sz w:val="22"/>
          <w:szCs w:val="22"/>
        </w:rPr>
        <w:t>HARQ-ACK codebooks can be</w:t>
      </w:r>
      <w:r w:rsidR="00257984">
        <w:rPr>
          <w:sz w:val="22"/>
          <w:szCs w:val="22"/>
        </w:rPr>
        <w:t xml:space="preserve"> constructed in one slot according to the gNB indication.</w:t>
      </w:r>
    </w:p>
    <w:p w:rsidR="003677AE" w:rsidRDefault="00A85FD4" w:rsidP="0010501C">
      <w:pPr>
        <w:spacing w:afterLines="50" w:after="156"/>
        <w:rPr>
          <w:b/>
          <w:i/>
        </w:rPr>
      </w:pPr>
      <w:r>
        <w:rPr>
          <w:b/>
          <w:i/>
        </w:rPr>
        <w:t xml:space="preserve">Proposal 3: </w:t>
      </w:r>
      <w:r w:rsidR="003677AE" w:rsidRPr="003677AE">
        <w:rPr>
          <w:b/>
          <w:i/>
        </w:rPr>
        <w:t xml:space="preserve">HARQ-ACK bits within a same </w:t>
      </w:r>
      <w:r w:rsidR="000428D0" w:rsidRPr="000428D0">
        <w:rPr>
          <w:b/>
          <w:i/>
        </w:rPr>
        <w:t xml:space="preserve">time </w:t>
      </w:r>
      <w:r w:rsidR="003677AE" w:rsidRPr="003677AE">
        <w:rPr>
          <w:b/>
          <w:i/>
        </w:rPr>
        <w:t>unit is to be multiplexed to one codebook.</w:t>
      </w:r>
    </w:p>
    <w:p w:rsidR="00A85FD4" w:rsidRDefault="003677AE" w:rsidP="0010501C">
      <w:pPr>
        <w:spacing w:afterLines="50" w:after="156"/>
        <w:rPr>
          <w:b/>
          <w:i/>
        </w:rPr>
      </w:pPr>
      <w:r>
        <w:rPr>
          <w:b/>
          <w:i/>
        </w:rPr>
        <w:t xml:space="preserve">Proposal 4: </w:t>
      </w:r>
      <w:r w:rsidR="000A2768">
        <w:rPr>
          <w:b/>
          <w:i/>
        </w:rPr>
        <w:t>I</w:t>
      </w:r>
      <w:r w:rsidR="000A2768" w:rsidRPr="000A2768">
        <w:rPr>
          <w:b/>
          <w:i/>
        </w:rPr>
        <w:t>ndicate HARQ-ACK feedback for different service</w:t>
      </w:r>
      <w:r w:rsidR="000A2768">
        <w:rPr>
          <w:b/>
          <w:i/>
        </w:rPr>
        <w:t>s</w:t>
      </w:r>
      <w:r w:rsidR="000A2768" w:rsidRPr="000A2768">
        <w:rPr>
          <w:b/>
          <w:i/>
        </w:rPr>
        <w:t xml:space="preserve"> to different sub-slots</w:t>
      </w:r>
      <w:r w:rsidR="00E85D92">
        <w:rPr>
          <w:b/>
          <w:i/>
        </w:rPr>
        <w:t>.</w:t>
      </w:r>
    </w:p>
    <w:p w:rsidR="00257984" w:rsidRDefault="00257984" w:rsidP="00257984">
      <w:pPr>
        <w:spacing w:afterLines="50" w:after="156"/>
        <w:rPr>
          <w:b/>
          <w:i/>
        </w:rPr>
      </w:pPr>
      <w:r>
        <w:rPr>
          <w:b/>
          <w:i/>
        </w:rPr>
        <w:t xml:space="preserve">Proposal 5: </w:t>
      </w:r>
      <w:r w:rsidRPr="009B6B86">
        <w:rPr>
          <w:b/>
          <w:i/>
        </w:rPr>
        <w:t>More than 2 HARQ-ACK codebooks can be constructed in one slot</w:t>
      </w:r>
      <w:r w:rsidR="009B6B86">
        <w:rPr>
          <w:b/>
          <w:i/>
        </w:rPr>
        <w:t>.</w:t>
      </w:r>
    </w:p>
    <w:p w:rsidR="003F4BCB" w:rsidRDefault="00C96AEF" w:rsidP="00C96AEF">
      <w:pPr>
        <w:spacing w:afterLines="50" w:after="156"/>
        <w:rPr>
          <w:rFonts w:cs="Arial"/>
        </w:rPr>
      </w:pPr>
      <w:r w:rsidRPr="00595E68">
        <w:rPr>
          <w:rFonts w:hint="eastAsia"/>
          <w:sz w:val="22"/>
          <w:szCs w:val="22"/>
        </w:rPr>
        <w:t xml:space="preserve">Currently, </w:t>
      </w:r>
      <w:r w:rsidR="009D3E4E">
        <w:t xml:space="preserve">HARQ-ACK </w:t>
      </w:r>
      <w:r>
        <w:rPr>
          <w:rFonts w:cs="Arial"/>
        </w:rPr>
        <w:t>codebook size</w:t>
      </w:r>
      <w:r w:rsidR="009D3E4E">
        <w:rPr>
          <w:rFonts w:cs="Arial"/>
        </w:rPr>
        <w:t xml:space="preserve"> determination</w:t>
      </w:r>
      <w:r>
        <w:rPr>
          <w:rFonts w:cs="Arial"/>
        </w:rPr>
        <w:t xml:space="preserve"> is based on “</w:t>
      </w:r>
      <w:r w:rsidRPr="00B916EC">
        <w:rPr>
          <w:rFonts w:cs="Arial"/>
          <w:i/>
        </w:rPr>
        <w:t>semi-static</w:t>
      </w:r>
      <w:r>
        <w:rPr>
          <w:rFonts w:cs="Arial"/>
        </w:rPr>
        <w:t>”or based on “</w:t>
      </w:r>
      <w:r>
        <w:rPr>
          <w:rFonts w:cs="Arial"/>
          <w:i/>
        </w:rPr>
        <w:t>dynam</w:t>
      </w:r>
      <w:r w:rsidRPr="00B916EC">
        <w:rPr>
          <w:rFonts w:cs="Arial"/>
          <w:i/>
        </w:rPr>
        <w:t>ic</w:t>
      </w:r>
      <w:r>
        <w:rPr>
          <w:rFonts w:cs="Arial"/>
        </w:rPr>
        <w:t xml:space="preserve">” </w:t>
      </w:r>
      <w:r w:rsidR="009D3E4E">
        <w:t>depends on</w:t>
      </w:r>
      <w:r>
        <w:t xml:space="preserve"> the configured parameter </w:t>
      </w:r>
      <w:r w:rsidRPr="00AF2C90">
        <w:rPr>
          <w:i/>
        </w:rPr>
        <w:t>pdsch-</w:t>
      </w:r>
      <w:r w:rsidRPr="00B916EC">
        <w:rPr>
          <w:rFonts w:cs="Arial"/>
          <w:i/>
        </w:rPr>
        <w:t>HARQ-ACK-</w:t>
      </w:r>
      <w:r>
        <w:rPr>
          <w:rFonts w:cs="Arial"/>
          <w:i/>
        </w:rPr>
        <w:t>C</w:t>
      </w:r>
      <w:r w:rsidRPr="00B916EC">
        <w:rPr>
          <w:rFonts w:cs="Arial"/>
          <w:i/>
        </w:rPr>
        <w:t>odebook</w:t>
      </w:r>
      <w:r>
        <w:rPr>
          <w:rFonts w:cs="Arial"/>
        </w:rPr>
        <w:t>. In general, dynamic codebook size determination provides more efficient resource usage than semi-static codebook size determination since HARQ-ACK feedback is only for the actual transmitted PDSCH. However, since the HARQ-ACK codebook size determination depends on the DAI bits in the PDCCH, the reliability of PDCCH would impact the accuracy of codebook size determination. On the other hand, semi-static HARQ-ACK codebook size determination is robust in the codebook size determination while</w:t>
      </w:r>
      <w:r w:rsidR="004E4BB7">
        <w:rPr>
          <w:rFonts w:cs="Arial"/>
        </w:rPr>
        <w:t xml:space="preserve"> it is</w:t>
      </w:r>
      <w:r>
        <w:rPr>
          <w:rFonts w:cs="Arial"/>
        </w:rPr>
        <w:t xml:space="preserve"> inefficient considering resource usage.</w:t>
      </w:r>
    </w:p>
    <w:p w:rsidR="006E52B3" w:rsidRDefault="006E52B3" w:rsidP="00C96AEF">
      <w:pPr>
        <w:spacing w:afterLines="50" w:after="156"/>
        <w:rPr>
          <w:rFonts w:cs="Arial"/>
        </w:rPr>
      </w:pPr>
      <w:r>
        <w:rPr>
          <w:rFonts w:cs="Arial"/>
        </w:rPr>
        <w:t xml:space="preserve">For URLLC, since the reliability of PDCCH should have been enhanced to a high level, the accuracy of dynamic HARQ-ACK codebook determination could be guaranteed. </w:t>
      </w:r>
      <w:r w:rsidR="003C6204">
        <w:rPr>
          <w:rFonts w:cs="Arial"/>
        </w:rPr>
        <w:t xml:space="preserve">Also considering the high requirements reliability of HARQ-ACK, dynamic codebook size is more proper for URLLC. For eMBB, semi-static codebook determination is needed sometimes as is supported in the current spec. </w:t>
      </w:r>
    </w:p>
    <w:p w:rsidR="003C6204" w:rsidRDefault="003C6204" w:rsidP="003C6204">
      <w:pPr>
        <w:spacing w:afterLines="50" w:after="156"/>
        <w:rPr>
          <w:rFonts w:cs="Arial"/>
        </w:rPr>
      </w:pPr>
      <w:r>
        <w:rPr>
          <w:rFonts w:cs="Arial" w:hint="eastAsia"/>
        </w:rPr>
        <w:t xml:space="preserve">As a result, it is proposed to support configuring the </w:t>
      </w:r>
      <w:r>
        <w:rPr>
          <w:rFonts w:cs="Arial"/>
        </w:rPr>
        <w:t xml:space="preserve">type of </w:t>
      </w:r>
      <w:r w:rsidRPr="003C6204">
        <w:rPr>
          <w:rFonts w:cs="Arial"/>
        </w:rPr>
        <w:t>HARQ-ACK</w:t>
      </w:r>
      <w:r>
        <w:rPr>
          <w:rFonts w:cs="Arial"/>
        </w:rPr>
        <w:t xml:space="preserve"> c</w:t>
      </w:r>
      <w:r w:rsidRPr="003C6204">
        <w:rPr>
          <w:rFonts w:cs="Arial"/>
        </w:rPr>
        <w:t>odebook</w:t>
      </w:r>
      <w:r>
        <w:rPr>
          <w:rFonts w:cs="Arial"/>
        </w:rPr>
        <w:t xml:space="preserve"> </w:t>
      </w:r>
      <w:r w:rsidR="00EB36A6" w:rsidRPr="00EB36A6">
        <w:rPr>
          <w:rFonts w:cs="Arial"/>
        </w:rPr>
        <w:t>as “semi-static” or “dynamic” per sub-slot</w:t>
      </w:r>
      <w:r w:rsidR="00EB36A6">
        <w:rPr>
          <w:rFonts w:cs="Arial"/>
        </w:rPr>
        <w:t xml:space="preserve"> independently</w:t>
      </w:r>
      <w:r w:rsidRPr="003C6204">
        <w:rPr>
          <w:rFonts w:cs="Arial"/>
        </w:rPr>
        <w:t>.</w:t>
      </w:r>
      <w:r>
        <w:rPr>
          <w:rFonts w:cs="Arial"/>
        </w:rPr>
        <w:t xml:space="preserve"> When</w:t>
      </w:r>
      <w:r w:rsidRPr="003C6204">
        <w:rPr>
          <w:rFonts w:cs="Arial"/>
        </w:rPr>
        <w:t xml:space="preserve"> HARQ-ACK feedback for different services is indicated to different sub-slots, independent</w:t>
      </w:r>
      <w:r>
        <w:rPr>
          <w:rFonts w:cs="Arial"/>
        </w:rPr>
        <w:t xml:space="preserve"> </w:t>
      </w:r>
      <w:r w:rsidRPr="003C6204">
        <w:rPr>
          <w:rFonts w:cs="Arial"/>
        </w:rPr>
        <w:t>HARQ-ACK</w:t>
      </w:r>
      <w:r>
        <w:rPr>
          <w:rFonts w:cs="Arial"/>
        </w:rPr>
        <w:t xml:space="preserve"> c</w:t>
      </w:r>
      <w:r w:rsidRPr="003C6204">
        <w:rPr>
          <w:rFonts w:cs="Arial"/>
        </w:rPr>
        <w:t>odebook</w:t>
      </w:r>
      <w:r>
        <w:rPr>
          <w:rFonts w:cs="Arial"/>
        </w:rPr>
        <w:t xml:space="preserve"> type can be used</w:t>
      </w:r>
      <w:r w:rsidRPr="003C6204">
        <w:rPr>
          <w:rFonts w:cs="Arial"/>
        </w:rPr>
        <w:t>.</w:t>
      </w:r>
    </w:p>
    <w:p w:rsidR="00231D0C" w:rsidRPr="00231D0C" w:rsidRDefault="00231D0C" w:rsidP="00231D0C">
      <w:pPr>
        <w:spacing w:afterLines="50" w:after="156"/>
        <w:rPr>
          <w:b/>
          <w:i/>
        </w:rPr>
      </w:pPr>
      <w:r>
        <w:rPr>
          <w:b/>
          <w:i/>
        </w:rPr>
        <w:t xml:space="preserve">Proposal </w:t>
      </w:r>
      <w:r w:rsidR="009B6B86">
        <w:rPr>
          <w:b/>
          <w:i/>
        </w:rPr>
        <w:t>6</w:t>
      </w:r>
      <w:r>
        <w:rPr>
          <w:b/>
          <w:i/>
        </w:rPr>
        <w:t xml:space="preserve">: </w:t>
      </w:r>
      <w:r w:rsidRPr="00231D0C">
        <w:rPr>
          <w:b/>
          <w:i/>
        </w:rPr>
        <w:t>Support c</w:t>
      </w:r>
      <w:r w:rsidRPr="00231D0C">
        <w:rPr>
          <w:rFonts w:hint="eastAsia"/>
          <w:b/>
          <w:i/>
        </w:rPr>
        <w:t xml:space="preserve">onfiguring the </w:t>
      </w:r>
      <w:r w:rsidRPr="00231D0C">
        <w:rPr>
          <w:b/>
          <w:i/>
        </w:rPr>
        <w:t>type of HARQ-ACK codebook</w:t>
      </w:r>
      <w:r w:rsidR="00734E3B">
        <w:rPr>
          <w:b/>
          <w:i/>
        </w:rPr>
        <w:t xml:space="preserve"> determination as “</w:t>
      </w:r>
      <w:r w:rsidR="00734E3B" w:rsidRPr="00734E3B">
        <w:rPr>
          <w:b/>
          <w:i/>
        </w:rPr>
        <w:t>semi-static</w:t>
      </w:r>
      <w:r w:rsidR="00734E3B">
        <w:rPr>
          <w:b/>
          <w:i/>
        </w:rPr>
        <w:t>” or “</w:t>
      </w:r>
      <w:r w:rsidR="00734E3B" w:rsidRPr="00734E3B">
        <w:rPr>
          <w:b/>
          <w:i/>
        </w:rPr>
        <w:t>dynamic</w:t>
      </w:r>
      <w:r w:rsidR="00734E3B">
        <w:rPr>
          <w:b/>
          <w:i/>
        </w:rPr>
        <w:t>”</w:t>
      </w:r>
      <w:r w:rsidRPr="00231D0C">
        <w:rPr>
          <w:b/>
          <w:i/>
        </w:rPr>
        <w:t xml:space="preserve"> per sub-slot.</w:t>
      </w:r>
    </w:p>
    <w:p w:rsidR="008B2446" w:rsidRPr="00F97C57" w:rsidRDefault="00E02E8B" w:rsidP="00F97C57">
      <w:pPr>
        <w:pStyle w:val="2"/>
        <w:rPr>
          <w:rFonts w:ascii="Arial" w:hAnsi="Arial" w:cs="Arial"/>
          <w:sz w:val="24"/>
          <w:szCs w:val="24"/>
        </w:rPr>
      </w:pPr>
      <w:r>
        <w:rPr>
          <w:rFonts w:ascii="Arial" w:hAnsi="Arial" w:cs="Arial"/>
          <w:sz w:val="24"/>
          <w:szCs w:val="24"/>
        </w:rPr>
        <w:t>SR transmission</w:t>
      </w:r>
    </w:p>
    <w:p w:rsidR="00E02E8B" w:rsidRDefault="00A340D7" w:rsidP="00A340D7">
      <w:pPr>
        <w:spacing w:afterLines="50" w:after="156"/>
        <w:rPr>
          <w:sz w:val="22"/>
          <w:szCs w:val="22"/>
        </w:rPr>
      </w:pPr>
      <w:r>
        <w:rPr>
          <w:sz w:val="22"/>
          <w:szCs w:val="22"/>
        </w:rPr>
        <w:t xml:space="preserve">According to the current spec, when </w:t>
      </w:r>
      <w:r w:rsidR="00E02E8B" w:rsidRPr="00CE3190">
        <w:rPr>
          <w:sz w:val="22"/>
          <w:szCs w:val="22"/>
        </w:rPr>
        <w:t xml:space="preserve">there is burst positive UL URLLC scheduling requirement during HARQ-ACK and or CSI transmission intervals, the UE has to delay the SR to the next configured SR occasion. The SR delay may finally lead to large latency of UL URLLC service. </w:t>
      </w:r>
      <w:r>
        <w:rPr>
          <w:sz w:val="22"/>
          <w:szCs w:val="22"/>
        </w:rPr>
        <w:t>A</w:t>
      </w:r>
      <w:r w:rsidR="0059534F">
        <w:rPr>
          <w:sz w:val="22"/>
          <w:szCs w:val="22"/>
        </w:rPr>
        <w:t xml:space="preserve">nother thing </w:t>
      </w:r>
      <w:r>
        <w:rPr>
          <w:sz w:val="22"/>
          <w:szCs w:val="22"/>
        </w:rPr>
        <w:t>a</w:t>
      </w:r>
      <w:r w:rsidR="00E02E8B" w:rsidRPr="0059534F">
        <w:rPr>
          <w:sz w:val="22"/>
          <w:szCs w:val="22"/>
        </w:rPr>
        <w:t>ccording to the current mechanism</w:t>
      </w:r>
      <w:r>
        <w:rPr>
          <w:sz w:val="22"/>
          <w:szCs w:val="22"/>
        </w:rPr>
        <w:t xml:space="preserve"> is</w:t>
      </w:r>
      <w:r w:rsidR="00E02E8B" w:rsidRPr="0059534F">
        <w:rPr>
          <w:sz w:val="22"/>
          <w:szCs w:val="22"/>
        </w:rPr>
        <w:t xml:space="preserve"> the UE drops PUSCH and only transmits PUCCH</w:t>
      </w:r>
      <w:r w:rsidRPr="00A340D7">
        <w:rPr>
          <w:sz w:val="22"/>
          <w:szCs w:val="22"/>
        </w:rPr>
        <w:t xml:space="preserve"> </w:t>
      </w:r>
      <w:r w:rsidRPr="0059534F">
        <w:rPr>
          <w:sz w:val="22"/>
          <w:szCs w:val="22"/>
        </w:rPr>
        <w:t>when PUCCH repetition overlaps with PUSCH</w:t>
      </w:r>
      <w:r w:rsidR="00E02E8B" w:rsidRPr="0059534F">
        <w:rPr>
          <w:sz w:val="22"/>
          <w:szCs w:val="22"/>
        </w:rPr>
        <w:t>. This also impacts the latency of UL URLLC service if the dropped PUSCH corresponds to URLLC data.</w:t>
      </w:r>
      <w:r>
        <w:rPr>
          <w:rFonts w:hint="eastAsia"/>
          <w:sz w:val="22"/>
          <w:szCs w:val="22"/>
        </w:rPr>
        <w:t>T</w:t>
      </w:r>
      <w:r>
        <w:rPr>
          <w:sz w:val="22"/>
          <w:szCs w:val="22"/>
        </w:rPr>
        <w:t xml:space="preserve">o improve the latency performance of SR, PUSCH for URLLC and to enable more flexible scheduling, </w:t>
      </w:r>
      <w:r w:rsidR="00E02E8B" w:rsidRPr="0059534F">
        <w:rPr>
          <w:sz w:val="22"/>
          <w:szCs w:val="22"/>
        </w:rPr>
        <w:t xml:space="preserve">simultaneous PUCCH and PUSCH transmission or UCI multiplexing enhancements should be considered </w:t>
      </w:r>
      <w:r w:rsidR="005776E9">
        <w:rPr>
          <w:sz w:val="22"/>
          <w:szCs w:val="22"/>
        </w:rPr>
        <w:t>at least as capability of some R</w:t>
      </w:r>
      <w:r w:rsidR="00E02E8B" w:rsidRPr="0059534F">
        <w:rPr>
          <w:sz w:val="22"/>
          <w:szCs w:val="22"/>
        </w:rPr>
        <w:t>el.16</w:t>
      </w:r>
      <w:r w:rsidR="005776E9">
        <w:rPr>
          <w:sz w:val="22"/>
          <w:szCs w:val="22"/>
        </w:rPr>
        <w:t xml:space="preserve"> UEs</w:t>
      </w:r>
      <w:r w:rsidR="00E02E8B" w:rsidRPr="0059534F">
        <w:rPr>
          <w:sz w:val="22"/>
          <w:szCs w:val="22"/>
        </w:rPr>
        <w:t>.</w:t>
      </w:r>
    </w:p>
    <w:p w:rsidR="007965E1" w:rsidRDefault="00E02E8B" w:rsidP="0027487B">
      <w:pPr>
        <w:spacing w:afterLines="50" w:after="156"/>
        <w:rPr>
          <w:b/>
          <w:i/>
        </w:rPr>
      </w:pPr>
      <w:r>
        <w:rPr>
          <w:b/>
          <w:i/>
        </w:rPr>
        <w:t xml:space="preserve">Proposal </w:t>
      </w:r>
      <w:r w:rsidR="009B6B86">
        <w:rPr>
          <w:b/>
          <w:i/>
        </w:rPr>
        <w:t>7</w:t>
      </w:r>
      <w:r>
        <w:rPr>
          <w:b/>
          <w:i/>
        </w:rPr>
        <w:t xml:space="preserve">: Simultaneous PUCCH and PUSCH transmission should be considered </w:t>
      </w:r>
      <w:r w:rsidR="00335D41" w:rsidRPr="00335D41">
        <w:rPr>
          <w:b/>
          <w:i/>
        </w:rPr>
        <w:t>as capability of some R</w:t>
      </w:r>
      <w:r w:rsidR="00335D41">
        <w:rPr>
          <w:b/>
          <w:i/>
        </w:rPr>
        <w:t>el.16 UEs</w:t>
      </w:r>
      <w:r>
        <w:rPr>
          <w:b/>
          <w:i/>
        </w:rPr>
        <w:t>.</w:t>
      </w:r>
    </w:p>
    <w:p w:rsidR="002B06C5" w:rsidRPr="00F97C57" w:rsidRDefault="002B06C5" w:rsidP="002B06C5">
      <w:pPr>
        <w:pStyle w:val="2"/>
        <w:rPr>
          <w:rFonts w:ascii="Arial" w:hAnsi="Arial" w:cs="Arial"/>
          <w:sz w:val="24"/>
          <w:szCs w:val="24"/>
        </w:rPr>
      </w:pPr>
      <w:r>
        <w:rPr>
          <w:rFonts w:ascii="Arial" w:hAnsi="Arial" w:cs="Arial"/>
          <w:sz w:val="24"/>
          <w:szCs w:val="24"/>
        </w:rPr>
        <w:t>UCI transmission on PUSCH</w:t>
      </w:r>
    </w:p>
    <w:p w:rsidR="00594BB3" w:rsidRPr="006F0243" w:rsidRDefault="00594BB3" w:rsidP="00594BB3">
      <w:pPr>
        <w:spacing w:afterLines="50" w:after="156"/>
        <w:rPr>
          <w:rFonts w:eastAsia="Batang"/>
          <w:color w:val="000000"/>
        </w:rPr>
      </w:pPr>
      <w:r w:rsidRPr="006F0243">
        <w:rPr>
          <w:rFonts w:eastAsia="Batang"/>
          <w:color w:val="000000"/>
        </w:rPr>
        <w:t xml:space="preserve">For the configured </w:t>
      </w:r>
      <w:r w:rsidR="006F0243">
        <w:rPr>
          <w:rFonts w:eastAsia="Batang"/>
          <w:color w:val="000000"/>
        </w:rPr>
        <w:t xml:space="preserve">grant </w:t>
      </w:r>
      <w:r w:rsidRPr="006F0243">
        <w:rPr>
          <w:rFonts w:eastAsia="Batang"/>
          <w:color w:val="000000"/>
        </w:rPr>
        <w:t xml:space="preserve">PUSCH, there is no real time DCI indication. To make the performance of UL-SCH and UCI within the configured </w:t>
      </w:r>
      <w:r w:rsidR="006F0243">
        <w:rPr>
          <w:rFonts w:eastAsia="Batang"/>
          <w:color w:val="000000"/>
        </w:rPr>
        <w:t xml:space="preserve">grant </w:t>
      </w:r>
      <w:r w:rsidRPr="006F0243">
        <w:rPr>
          <w:rFonts w:eastAsia="Batang"/>
          <w:color w:val="000000"/>
        </w:rPr>
        <w:t xml:space="preserve">PUSCH is under the control of gNB, it is proposed that the UCI transmission on configured PUSCH can be disabled/enabled by the gNB. Disabling can be achieved by configuring the value of </w:t>
      </w:r>
      <w:r w:rsidR="006F0243">
        <w:rPr>
          <w:rFonts w:eastAsia="Batang"/>
          <w:color w:val="000000"/>
        </w:rPr>
        <w:t>“0” as the “beta</w:t>
      </w:r>
      <w:r w:rsidR="00D63512">
        <w:rPr>
          <w:rFonts w:eastAsia="Batang"/>
          <w:color w:val="000000"/>
        </w:rPr>
        <w:t>-</w:t>
      </w:r>
      <w:r w:rsidR="006F0243">
        <w:rPr>
          <w:rFonts w:eastAsia="Batang"/>
          <w:color w:val="000000"/>
        </w:rPr>
        <w:lastRenderedPageBreak/>
        <w:t>offset”</w:t>
      </w:r>
      <w:r w:rsidRPr="006F0243">
        <w:rPr>
          <w:rFonts w:eastAsia="Batang"/>
          <w:color w:val="000000"/>
        </w:rPr>
        <w:t xml:space="preserve">. </w:t>
      </w:r>
    </w:p>
    <w:p w:rsidR="002B06C5" w:rsidRPr="000876E6" w:rsidRDefault="00594BB3" w:rsidP="006F0243">
      <w:pPr>
        <w:rPr>
          <w:b/>
          <w:i/>
        </w:rPr>
      </w:pPr>
      <w:r>
        <w:rPr>
          <w:b/>
          <w:i/>
        </w:rPr>
        <w:t xml:space="preserve">Proposal </w:t>
      </w:r>
      <w:r w:rsidR="009B6B86">
        <w:rPr>
          <w:b/>
          <w:i/>
        </w:rPr>
        <w:t>8</w:t>
      </w:r>
      <w:r>
        <w:rPr>
          <w:b/>
          <w:i/>
        </w:rPr>
        <w:t xml:space="preserve">: UCI transmission on configured </w:t>
      </w:r>
      <w:r w:rsidR="006F0243">
        <w:rPr>
          <w:b/>
          <w:i/>
        </w:rPr>
        <w:t xml:space="preserve">grant </w:t>
      </w:r>
      <w:r>
        <w:rPr>
          <w:b/>
          <w:i/>
        </w:rPr>
        <w:t xml:space="preserve">PUSCH can be disabled/enabled by the gNB by configuring the value of “0” </w:t>
      </w:r>
      <w:r>
        <w:rPr>
          <w:rFonts w:hint="eastAsia"/>
          <w:b/>
          <w:i/>
        </w:rPr>
        <w:t xml:space="preserve">as the </w:t>
      </w:r>
      <w:r>
        <w:rPr>
          <w:b/>
          <w:i/>
        </w:rPr>
        <w:t>“</w:t>
      </w:r>
      <w:r w:rsidRPr="003A05B8">
        <w:rPr>
          <w:b/>
          <w:i/>
        </w:rPr>
        <w:t>beta</w:t>
      </w:r>
      <w:r w:rsidR="00D63512">
        <w:rPr>
          <w:b/>
          <w:i/>
        </w:rPr>
        <w:t>-</w:t>
      </w:r>
      <w:r w:rsidRPr="003A05B8">
        <w:rPr>
          <w:b/>
          <w:i/>
        </w:rPr>
        <w:t>offset</w:t>
      </w:r>
      <w:r>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5509C">
        <w:rPr>
          <w:kern w:val="0"/>
          <w:sz w:val="22"/>
          <w:szCs w:val="22"/>
        </w:rPr>
        <w:t>details about potential enhancements to UCI for URLLC</w:t>
      </w:r>
      <w:r>
        <w:rPr>
          <w:sz w:val="22"/>
          <w:szCs w:val="22"/>
        </w:rPr>
        <w:t>.</w:t>
      </w:r>
      <w:r w:rsidRPr="00D20FD9">
        <w:rPr>
          <w:sz w:val="22"/>
          <w:szCs w:val="22"/>
        </w:rPr>
        <w:t xml:space="preserve"> The following proposals are reached:</w:t>
      </w:r>
    </w:p>
    <w:p w:rsidR="009B6B86" w:rsidRPr="00494C9A" w:rsidRDefault="009B6B86" w:rsidP="009B6B86">
      <w:pPr>
        <w:spacing w:afterLines="50" w:after="156"/>
        <w:rPr>
          <w:b/>
          <w:i/>
        </w:rPr>
      </w:pPr>
      <w:r>
        <w:rPr>
          <w:b/>
          <w:i/>
        </w:rPr>
        <w:t xml:space="preserve">Proposal 1: </w:t>
      </w:r>
      <w:r w:rsidRPr="00453B69">
        <w:rPr>
          <w:b/>
          <w:i/>
        </w:rPr>
        <w:t xml:space="preserve">Predefine </w:t>
      </w:r>
      <w:r>
        <w:rPr>
          <w:b/>
          <w:i/>
        </w:rPr>
        <w:t>sub</w:t>
      </w:r>
      <w:r w:rsidRPr="00453B69">
        <w:rPr>
          <w:b/>
          <w:i/>
        </w:rPr>
        <w:t xml:space="preserve">-slot pattern within a slot for HARQ-ACK timing indication. </w:t>
      </w:r>
    </w:p>
    <w:p w:rsidR="009B6B86" w:rsidRDefault="009B6B86" w:rsidP="009B6B86">
      <w:pPr>
        <w:spacing w:afterLines="50" w:after="156"/>
        <w:rPr>
          <w:b/>
          <w:i/>
        </w:rPr>
      </w:pPr>
      <w:r>
        <w:rPr>
          <w:b/>
          <w:i/>
        </w:rPr>
        <w:t>Proposal 2: C</w:t>
      </w:r>
      <w:r w:rsidRPr="00312753">
        <w:rPr>
          <w:b/>
          <w:i/>
        </w:rPr>
        <w:t xml:space="preserve">onfigure candidate PDSCH to HARQ-ACK timing values for each row </w:t>
      </w:r>
      <w:r>
        <w:rPr>
          <w:b/>
          <w:i/>
        </w:rPr>
        <w:t>of</w:t>
      </w:r>
      <w:r w:rsidRPr="00312753">
        <w:rPr>
          <w:b/>
          <w:i/>
        </w:rPr>
        <w:t xml:space="preserve"> the</w:t>
      </w:r>
      <w:r>
        <w:rPr>
          <w:b/>
          <w:i/>
        </w:rPr>
        <w:t xml:space="preserve"> PDSCH</w:t>
      </w:r>
      <w:r w:rsidRPr="00312753">
        <w:rPr>
          <w:b/>
          <w:i/>
        </w:rPr>
        <w:t xml:space="preserve"> resource allocation in</w:t>
      </w:r>
      <w:r>
        <w:rPr>
          <w:b/>
          <w:i/>
        </w:rPr>
        <w:t xml:space="preserve"> the</w:t>
      </w:r>
      <w:r w:rsidRPr="00312753">
        <w:rPr>
          <w:b/>
          <w:i/>
        </w:rPr>
        <w:t xml:space="preserve"> time domain table. </w:t>
      </w:r>
    </w:p>
    <w:p w:rsidR="009B6B86" w:rsidRDefault="009B6B86" w:rsidP="009B6B86">
      <w:pPr>
        <w:spacing w:afterLines="50" w:after="156"/>
        <w:rPr>
          <w:b/>
          <w:i/>
        </w:rPr>
      </w:pPr>
      <w:r>
        <w:rPr>
          <w:b/>
          <w:i/>
        </w:rPr>
        <w:t xml:space="preserve">Proposal 3: </w:t>
      </w:r>
      <w:r w:rsidRPr="003677AE">
        <w:rPr>
          <w:b/>
          <w:i/>
        </w:rPr>
        <w:t xml:space="preserve">HARQ-ACK bits within a same </w:t>
      </w:r>
      <w:r w:rsidRPr="000428D0">
        <w:rPr>
          <w:b/>
          <w:i/>
        </w:rPr>
        <w:t xml:space="preserve">time </w:t>
      </w:r>
      <w:r w:rsidRPr="003677AE">
        <w:rPr>
          <w:b/>
          <w:i/>
        </w:rPr>
        <w:t>unit is to be multiplexed to one codebook.</w:t>
      </w:r>
    </w:p>
    <w:p w:rsidR="009B6B86" w:rsidRDefault="009B6B86" w:rsidP="009B6B86">
      <w:pPr>
        <w:spacing w:afterLines="50" w:after="156"/>
        <w:rPr>
          <w:b/>
          <w:i/>
        </w:rPr>
      </w:pPr>
      <w:r>
        <w:rPr>
          <w:b/>
          <w:i/>
        </w:rPr>
        <w:t>Proposal 4: I</w:t>
      </w:r>
      <w:r w:rsidRPr="000A2768">
        <w:rPr>
          <w:b/>
          <w:i/>
        </w:rPr>
        <w:t>ndicate HARQ-ACK feedback for different service</w:t>
      </w:r>
      <w:r>
        <w:rPr>
          <w:b/>
          <w:i/>
        </w:rPr>
        <w:t>s</w:t>
      </w:r>
      <w:r w:rsidRPr="000A2768">
        <w:rPr>
          <w:b/>
          <w:i/>
        </w:rPr>
        <w:t xml:space="preserve"> to different sub-slots</w:t>
      </w:r>
      <w:r>
        <w:rPr>
          <w:b/>
          <w:i/>
        </w:rPr>
        <w:t>.</w:t>
      </w:r>
    </w:p>
    <w:p w:rsidR="009B6B86" w:rsidRDefault="009B6B86" w:rsidP="009B6B86">
      <w:pPr>
        <w:spacing w:afterLines="50" w:after="156"/>
        <w:rPr>
          <w:b/>
          <w:i/>
        </w:rPr>
      </w:pPr>
      <w:r>
        <w:rPr>
          <w:b/>
          <w:i/>
        </w:rPr>
        <w:t xml:space="preserve">Proposal 5: </w:t>
      </w:r>
      <w:r w:rsidRPr="009B6B86">
        <w:rPr>
          <w:b/>
          <w:i/>
        </w:rPr>
        <w:t>More than 2 HARQ-ACK codebooks can be constructed in one slot</w:t>
      </w:r>
      <w:r>
        <w:rPr>
          <w:b/>
          <w:i/>
        </w:rPr>
        <w:t>.</w:t>
      </w:r>
    </w:p>
    <w:p w:rsidR="009B6B86" w:rsidRPr="00231D0C" w:rsidRDefault="009B6B86" w:rsidP="009B6B86">
      <w:pPr>
        <w:spacing w:afterLines="50" w:after="156"/>
        <w:rPr>
          <w:b/>
          <w:i/>
        </w:rPr>
      </w:pPr>
      <w:r>
        <w:rPr>
          <w:b/>
          <w:i/>
        </w:rPr>
        <w:t xml:space="preserve">Proposal 6: </w:t>
      </w:r>
      <w:r w:rsidRPr="00231D0C">
        <w:rPr>
          <w:b/>
          <w:i/>
        </w:rPr>
        <w:t>Support c</w:t>
      </w:r>
      <w:r w:rsidRPr="00231D0C">
        <w:rPr>
          <w:rFonts w:hint="eastAsia"/>
          <w:b/>
          <w:i/>
        </w:rPr>
        <w:t xml:space="preserve">onfiguring the </w:t>
      </w:r>
      <w:r w:rsidRPr="00231D0C">
        <w:rPr>
          <w:b/>
          <w:i/>
        </w:rPr>
        <w:t>type of HARQ-ACK codebook</w:t>
      </w:r>
      <w:r>
        <w:rPr>
          <w:b/>
          <w:i/>
        </w:rPr>
        <w:t xml:space="preserve"> determination as “</w:t>
      </w:r>
      <w:r w:rsidRPr="00734E3B">
        <w:rPr>
          <w:b/>
          <w:i/>
        </w:rPr>
        <w:t>semi-static</w:t>
      </w:r>
      <w:r>
        <w:rPr>
          <w:b/>
          <w:i/>
        </w:rPr>
        <w:t>” or “</w:t>
      </w:r>
      <w:r w:rsidRPr="00734E3B">
        <w:rPr>
          <w:b/>
          <w:i/>
        </w:rPr>
        <w:t>dynamic</w:t>
      </w:r>
      <w:r>
        <w:rPr>
          <w:b/>
          <w:i/>
        </w:rPr>
        <w:t>”</w:t>
      </w:r>
      <w:r w:rsidRPr="00231D0C">
        <w:rPr>
          <w:b/>
          <w:i/>
        </w:rPr>
        <w:t xml:space="preserve"> per sub-slot</w:t>
      </w:r>
      <w:r w:rsidR="005776E9">
        <w:rPr>
          <w:b/>
          <w:i/>
        </w:rPr>
        <w:t xml:space="preserve"> </w:t>
      </w:r>
      <w:r w:rsidR="005776E9" w:rsidRPr="005776E9">
        <w:rPr>
          <w:b/>
          <w:i/>
        </w:rPr>
        <w:t>independently</w:t>
      </w:r>
      <w:r w:rsidRPr="00231D0C">
        <w:rPr>
          <w:b/>
          <w:i/>
        </w:rPr>
        <w:t>.</w:t>
      </w:r>
    </w:p>
    <w:p w:rsidR="0048172D" w:rsidRDefault="0048172D" w:rsidP="0048172D">
      <w:pPr>
        <w:spacing w:afterLines="50" w:after="156"/>
        <w:rPr>
          <w:b/>
          <w:i/>
        </w:rPr>
      </w:pPr>
      <w:r>
        <w:rPr>
          <w:b/>
          <w:i/>
        </w:rPr>
        <w:t xml:space="preserve">Proposal 7: Simultaneous PUCCH and PUSCH transmission should be considered </w:t>
      </w:r>
      <w:r w:rsidRPr="00335D41">
        <w:rPr>
          <w:b/>
          <w:i/>
        </w:rPr>
        <w:t>as capability of some R</w:t>
      </w:r>
      <w:r>
        <w:rPr>
          <w:b/>
          <w:i/>
        </w:rPr>
        <w:t>el.16 UEs.</w:t>
      </w:r>
    </w:p>
    <w:p w:rsidR="009B6B86" w:rsidRPr="000876E6" w:rsidRDefault="009B6B86" w:rsidP="009B6B86">
      <w:pPr>
        <w:rPr>
          <w:b/>
          <w:i/>
        </w:rPr>
      </w:pPr>
      <w:r>
        <w:rPr>
          <w:b/>
          <w:i/>
        </w:rPr>
        <w:t xml:space="preserve">Proposal 8: UCI transmission on configured grant PUSCH can be disabled/enabled by the gNB by configuring the value of “0” </w:t>
      </w:r>
      <w:r>
        <w:rPr>
          <w:rFonts w:hint="eastAsia"/>
          <w:b/>
          <w:i/>
        </w:rPr>
        <w:t xml:space="preserve">as the </w:t>
      </w:r>
      <w:r>
        <w:rPr>
          <w:b/>
          <w:i/>
        </w:rPr>
        <w:t>“</w:t>
      </w:r>
      <w:r w:rsidRPr="003A05B8">
        <w:rPr>
          <w:b/>
          <w:i/>
        </w:rPr>
        <w:t>beta</w:t>
      </w:r>
      <w:r>
        <w:rPr>
          <w:b/>
          <w:i/>
        </w:rPr>
        <w:t>-</w:t>
      </w:r>
      <w:r w:rsidRPr="003A05B8">
        <w:rPr>
          <w:b/>
          <w:i/>
        </w:rPr>
        <w:t>offset</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5460C0" w:rsidP="003779C1">
      <w:pPr>
        <w:pStyle w:val="a8"/>
        <w:numPr>
          <w:ilvl w:val="0"/>
          <w:numId w:val="2"/>
        </w:numPr>
        <w:ind w:firstLineChars="0"/>
        <w:rPr>
          <w:sz w:val="22"/>
          <w:szCs w:val="22"/>
        </w:rPr>
      </w:pPr>
      <w:bookmarkStart w:id="6" w:name="_Ref528917504"/>
      <w:bookmarkStart w:id="7" w:name="_Ref528922183"/>
      <w:r w:rsidRPr="00265D2D">
        <w:rPr>
          <w:sz w:val="22"/>
          <w:szCs w:val="22"/>
        </w:rPr>
        <w:t>3GPP TS 38213.Vf30, “Physical layer procedures for control”</w:t>
      </w:r>
      <w:bookmarkEnd w:id="6"/>
      <w:bookmarkEnd w:id="7"/>
    </w:p>
    <w:p w:rsidR="00C85187" w:rsidRDefault="005460C0" w:rsidP="002E60E3">
      <w:pPr>
        <w:pStyle w:val="a8"/>
        <w:numPr>
          <w:ilvl w:val="0"/>
          <w:numId w:val="2"/>
        </w:numPr>
        <w:ind w:firstLineChars="0"/>
        <w:rPr>
          <w:sz w:val="22"/>
          <w:szCs w:val="22"/>
        </w:rPr>
      </w:pPr>
      <w:bookmarkStart w:id="8" w:name="_Ref528933548"/>
      <w:r>
        <w:rPr>
          <w:sz w:val="22"/>
          <w:szCs w:val="22"/>
        </w:rPr>
        <w:t>3GPP TS 38214.Vf30, “</w:t>
      </w:r>
      <w:r w:rsidRPr="00D306C5">
        <w:rPr>
          <w:sz w:val="22"/>
          <w:szCs w:val="22"/>
        </w:rPr>
        <w:t>Physical layer procedures for data</w:t>
      </w:r>
      <w:r>
        <w:rPr>
          <w:sz w:val="22"/>
          <w:szCs w:val="22"/>
        </w:rPr>
        <w:t>”</w:t>
      </w:r>
      <w:bookmarkEnd w:id="8"/>
    </w:p>
    <w:sectPr w:rsidR="00C85187"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FC8" w:rsidRDefault="005E7FC8" w:rsidP="001C5D0C">
      <w:r>
        <w:separator/>
      </w:r>
    </w:p>
  </w:endnote>
  <w:endnote w:type="continuationSeparator" w:id="0">
    <w:p w:rsidR="005E7FC8" w:rsidRDefault="005E7FC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FC8" w:rsidRDefault="005E7FC8" w:rsidP="001C5D0C">
      <w:r>
        <w:separator/>
      </w:r>
    </w:p>
  </w:footnote>
  <w:footnote w:type="continuationSeparator" w:id="0">
    <w:p w:rsidR="005E7FC8" w:rsidRDefault="005E7FC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0557632"/>
    <w:multiLevelType w:val="hybridMultilevel"/>
    <w:tmpl w:val="3B3CB5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6"/>
  </w:num>
  <w:num w:numId="3">
    <w:abstractNumId w:val="14"/>
  </w:num>
  <w:num w:numId="4">
    <w:abstractNumId w:val="18"/>
  </w:num>
  <w:num w:numId="5">
    <w:abstractNumId w:val="3"/>
  </w:num>
  <w:num w:numId="6">
    <w:abstractNumId w:val="7"/>
  </w:num>
  <w:num w:numId="7">
    <w:abstractNumId w:val="10"/>
  </w:num>
  <w:num w:numId="8">
    <w:abstractNumId w:val="12"/>
  </w:num>
  <w:num w:numId="9">
    <w:abstractNumId w:val="9"/>
  </w:num>
  <w:num w:numId="10">
    <w:abstractNumId w:val="20"/>
  </w:num>
  <w:num w:numId="11">
    <w:abstractNumId w:val="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3"/>
  </w:num>
  <w:num w:numId="15">
    <w:abstractNumId w:val="22"/>
  </w:num>
  <w:num w:numId="16">
    <w:abstractNumId w:val="16"/>
  </w:num>
  <w:num w:numId="17">
    <w:abstractNumId w:val="8"/>
  </w:num>
  <w:num w:numId="18">
    <w:abstractNumId w:val="11"/>
  </w:num>
  <w:num w:numId="19">
    <w:abstractNumId w:val="19"/>
  </w:num>
  <w:num w:numId="20">
    <w:abstractNumId w:val="21"/>
  </w:num>
  <w:num w:numId="21">
    <w:abstractNumId w:val="4"/>
  </w:num>
  <w:num w:numId="22">
    <w:abstractNumId w:val="25"/>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6"/>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15"/>
  </w:num>
  <w:num w:numId="36">
    <w:abstractNumId w:val="17"/>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3C25"/>
    <w:rsid w:val="00014CC4"/>
    <w:rsid w:val="000158D6"/>
    <w:rsid w:val="00020301"/>
    <w:rsid w:val="00020729"/>
    <w:rsid w:val="00023302"/>
    <w:rsid w:val="00023808"/>
    <w:rsid w:val="000408FD"/>
    <w:rsid w:val="000418EA"/>
    <w:rsid w:val="000428D0"/>
    <w:rsid w:val="00042930"/>
    <w:rsid w:val="00043C3B"/>
    <w:rsid w:val="00045E67"/>
    <w:rsid w:val="0005061F"/>
    <w:rsid w:val="0005076C"/>
    <w:rsid w:val="000508A7"/>
    <w:rsid w:val="0005095E"/>
    <w:rsid w:val="00051376"/>
    <w:rsid w:val="00053447"/>
    <w:rsid w:val="000535E2"/>
    <w:rsid w:val="00053BC9"/>
    <w:rsid w:val="00056212"/>
    <w:rsid w:val="00060C84"/>
    <w:rsid w:val="00063125"/>
    <w:rsid w:val="00064C76"/>
    <w:rsid w:val="0006670A"/>
    <w:rsid w:val="0007262D"/>
    <w:rsid w:val="0008028F"/>
    <w:rsid w:val="00086916"/>
    <w:rsid w:val="000876E6"/>
    <w:rsid w:val="000920C0"/>
    <w:rsid w:val="0009363D"/>
    <w:rsid w:val="00094088"/>
    <w:rsid w:val="0009763E"/>
    <w:rsid w:val="000A0A16"/>
    <w:rsid w:val="000A2768"/>
    <w:rsid w:val="000A4E4A"/>
    <w:rsid w:val="000D2DC0"/>
    <w:rsid w:val="000D3502"/>
    <w:rsid w:val="000D7065"/>
    <w:rsid w:val="000E796F"/>
    <w:rsid w:val="000F0686"/>
    <w:rsid w:val="000F16BF"/>
    <w:rsid w:val="000F360B"/>
    <w:rsid w:val="000F4A98"/>
    <w:rsid w:val="000F4DF4"/>
    <w:rsid w:val="000F5398"/>
    <w:rsid w:val="000F72E4"/>
    <w:rsid w:val="0010016B"/>
    <w:rsid w:val="0010501C"/>
    <w:rsid w:val="001079E4"/>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1AD"/>
    <w:rsid w:val="00181359"/>
    <w:rsid w:val="001923D5"/>
    <w:rsid w:val="0019378C"/>
    <w:rsid w:val="00194BCF"/>
    <w:rsid w:val="00197053"/>
    <w:rsid w:val="001A10F2"/>
    <w:rsid w:val="001A1F94"/>
    <w:rsid w:val="001A3C96"/>
    <w:rsid w:val="001A7220"/>
    <w:rsid w:val="001C0968"/>
    <w:rsid w:val="001C5D0C"/>
    <w:rsid w:val="001C6939"/>
    <w:rsid w:val="001D07D4"/>
    <w:rsid w:val="001D0F02"/>
    <w:rsid w:val="001D1328"/>
    <w:rsid w:val="001D3CE2"/>
    <w:rsid w:val="001D7FEA"/>
    <w:rsid w:val="001F4A04"/>
    <w:rsid w:val="002010DC"/>
    <w:rsid w:val="00201EAD"/>
    <w:rsid w:val="00211539"/>
    <w:rsid w:val="00211DC3"/>
    <w:rsid w:val="00214B4F"/>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D2D"/>
    <w:rsid w:val="002663F7"/>
    <w:rsid w:val="00267AEA"/>
    <w:rsid w:val="00270C00"/>
    <w:rsid w:val="002723D7"/>
    <w:rsid w:val="0027487B"/>
    <w:rsid w:val="00275CE2"/>
    <w:rsid w:val="002774FA"/>
    <w:rsid w:val="00283B92"/>
    <w:rsid w:val="002843CE"/>
    <w:rsid w:val="0028598C"/>
    <w:rsid w:val="0028702C"/>
    <w:rsid w:val="0028716D"/>
    <w:rsid w:val="00290761"/>
    <w:rsid w:val="00291E3C"/>
    <w:rsid w:val="002930DD"/>
    <w:rsid w:val="00297841"/>
    <w:rsid w:val="002A0933"/>
    <w:rsid w:val="002A0B7D"/>
    <w:rsid w:val="002A2BB6"/>
    <w:rsid w:val="002A421E"/>
    <w:rsid w:val="002A4E2B"/>
    <w:rsid w:val="002B06C5"/>
    <w:rsid w:val="002B1AD7"/>
    <w:rsid w:val="002C5E07"/>
    <w:rsid w:val="002C5FC1"/>
    <w:rsid w:val="002D0037"/>
    <w:rsid w:val="002D0611"/>
    <w:rsid w:val="002E147F"/>
    <w:rsid w:val="002E59F3"/>
    <w:rsid w:val="002F042C"/>
    <w:rsid w:val="002F50A8"/>
    <w:rsid w:val="002F5781"/>
    <w:rsid w:val="002F70E4"/>
    <w:rsid w:val="00302B59"/>
    <w:rsid w:val="00302CC8"/>
    <w:rsid w:val="00304864"/>
    <w:rsid w:val="0030548E"/>
    <w:rsid w:val="00312753"/>
    <w:rsid w:val="003167F6"/>
    <w:rsid w:val="00316D1B"/>
    <w:rsid w:val="00317A3F"/>
    <w:rsid w:val="00321962"/>
    <w:rsid w:val="003273E3"/>
    <w:rsid w:val="00335853"/>
    <w:rsid w:val="00335D41"/>
    <w:rsid w:val="00343EAA"/>
    <w:rsid w:val="003444EF"/>
    <w:rsid w:val="0034596D"/>
    <w:rsid w:val="0034619A"/>
    <w:rsid w:val="00346B64"/>
    <w:rsid w:val="00354C54"/>
    <w:rsid w:val="00357F5D"/>
    <w:rsid w:val="0036256A"/>
    <w:rsid w:val="00364C97"/>
    <w:rsid w:val="0036510B"/>
    <w:rsid w:val="003677AE"/>
    <w:rsid w:val="00367881"/>
    <w:rsid w:val="003729D8"/>
    <w:rsid w:val="0037339E"/>
    <w:rsid w:val="00373E30"/>
    <w:rsid w:val="003779C1"/>
    <w:rsid w:val="00386180"/>
    <w:rsid w:val="0038667A"/>
    <w:rsid w:val="00391617"/>
    <w:rsid w:val="003973B3"/>
    <w:rsid w:val="003A00EC"/>
    <w:rsid w:val="003A05B8"/>
    <w:rsid w:val="003A3B9E"/>
    <w:rsid w:val="003A553C"/>
    <w:rsid w:val="003A77D7"/>
    <w:rsid w:val="003C39AC"/>
    <w:rsid w:val="003C42F3"/>
    <w:rsid w:val="003C6204"/>
    <w:rsid w:val="003C66CD"/>
    <w:rsid w:val="003C67DB"/>
    <w:rsid w:val="003C6DA1"/>
    <w:rsid w:val="003C707F"/>
    <w:rsid w:val="003D0F54"/>
    <w:rsid w:val="003D1395"/>
    <w:rsid w:val="003D2681"/>
    <w:rsid w:val="003E2985"/>
    <w:rsid w:val="003E32A2"/>
    <w:rsid w:val="003E4951"/>
    <w:rsid w:val="003F28C2"/>
    <w:rsid w:val="003F4BCB"/>
    <w:rsid w:val="003F5918"/>
    <w:rsid w:val="003F6EFF"/>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37A1E"/>
    <w:rsid w:val="00442640"/>
    <w:rsid w:val="00443758"/>
    <w:rsid w:val="004501C4"/>
    <w:rsid w:val="00453B69"/>
    <w:rsid w:val="0046084E"/>
    <w:rsid w:val="004608DF"/>
    <w:rsid w:val="00464038"/>
    <w:rsid w:val="00464B4E"/>
    <w:rsid w:val="00465EE6"/>
    <w:rsid w:val="00467BA7"/>
    <w:rsid w:val="00471D7E"/>
    <w:rsid w:val="00480E4D"/>
    <w:rsid w:val="0048172D"/>
    <w:rsid w:val="00494A1F"/>
    <w:rsid w:val="00494C9A"/>
    <w:rsid w:val="00496569"/>
    <w:rsid w:val="00496803"/>
    <w:rsid w:val="004A3E18"/>
    <w:rsid w:val="004A7D6D"/>
    <w:rsid w:val="004B129D"/>
    <w:rsid w:val="004B16ED"/>
    <w:rsid w:val="004C31B6"/>
    <w:rsid w:val="004C4461"/>
    <w:rsid w:val="004D0FE5"/>
    <w:rsid w:val="004D33EE"/>
    <w:rsid w:val="004D37B0"/>
    <w:rsid w:val="004E0876"/>
    <w:rsid w:val="004E4BB7"/>
    <w:rsid w:val="004E66A0"/>
    <w:rsid w:val="004F2361"/>
    <w:rsid w:val="00500E41"/>
    <w:rsid w:val="00515383"/>
    <w:rsid w:val="005253BF"/>
    <w:rsid w:val="00533A5B"/>
    <w:rsid w:val="00540B9F"/>
    <w:rsid w:val="005460C0"/>
    <w:rsid w:val="005471CA"/>
    <w:rsid w:val="005606F1"/>
    <w:rsid w:val="00560E0B"/>
    <w:rsid w:val="005711A7"/>
    <w:rsid w:val="00573D03"/>
    <w:rsid w:val="005776E9"/>
    <w:rsid w:val="0058190E"/>
    <w:rsid w:val="00582421"/>
    <w:rsid w:val="00586AA0"/>
    <w:rsid w:val="005907BC"/>
    <w:rsid w:val="0059123A"/>
    <w:rsid w:val="005912ED"/>
    <w:rsid w:val="00594798"/>
    <w:rsid w:val="00594BB3"/>
    <w:rsid w:val="0059534F"/>
    <w:rsid w:val="00595E68"/>
    <w:rsid w:val="005966DE"/>
    <w:rsid w:val="00596DC5"/>
    <w:rsid w:val="005A1D1D"/>
    <w:rsid w:val="005A2BDA"/>
    <w:rsid w:val="005A2D28"/>
    <w:rsid w:val="005A305B"/>
    <w:rsid w:val="005A7D30"/>
    <w:rsid w:val="005B2D5B"/>
    <w:rsid w:val="005B39EE"/>
    <w:rsid w:val="005B4CA6"/>
    <w:rsid w:val="005C2130"/>
    <w:rsid w:val="005C2CD8"/>
    <w:rsid w:val="005C594A"/>
    <w:rsid w:val="005D2163"/>
    <w:rsid w:val="005E1674"/>
    <w:rsid w:val="005E1B0C"/>
    <w:rsid w:val="005E7CA4"/>
    <w:rsid w:val="005E7FC8"/>
    <w:rsid w:val="005F073D"/>
    <w:rsid w:val="005F5530"/>
    <w:rsid w:val="00602500"/>
    <w:rsid w:val="006067ED"/>
    <w:rsid w:val="00612997"/>
    <w:rsid w:val="00615EB6"/>
    <w:rsid w:val="00624E91"/>
    <w:rsid w:val="0062583D"/>
    <w:rsid w:val="00626296"/>
    <w:rsid w:val="00637F06"/>
    <w:rsid w:val="006401A9"/>
    <w:rsid w:val="006435C1"/>
    <w:rsid w:val="0064420C"/>
    <w:rsid w:val="00644E0B"/>
    <w:rsid w:val="0064728E"/>
    <w:rsid w:val="00647ED5"/>
    <w:rsid w:val="00656397"/>
    <w:rsid w:val="00661CCB"/>
    <w:rsid w:val="006651AA"/>
    <w:rsid w:val="0066682D"/>
    <w:rsid w:val="006702E9"/>
    <w:rsid w:val="00672895"/>
    <w:rsid w:val="00677591"/>
    <w:rsid w:val="0068535C"/>
    <w:rsid w:val="00686127"/>
    <w:rsid w:val="006A17F9"/>
    <w:rsid w:val="006A3BF3"/>
    <w:rsid w:val="006A6D37"/>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FD"/>
    <w:rsid w:val="006F41A3"/>
    <w:rsid w:val="006F6754"/>
    <w:rsid w:val="006F77D4"/>
    <w:rsid w:val="006F7A76"/>
    <w:rsid w:val="00702E88"/>
    <w:rsid w:val="007051EE"/>
    <w:rsid w:val="00705AE7"/>
    <w:rsid w:val="0070633F"/>
    <w:rsid w:val="0071046C"/>
    <w:rsid w:val="00720AF2"/>
    <w:rsid w:val="007226E0"/>
    <w:rsid w:val="0072591E"/>
    <w:rsid w:val="007307EC"/>
    <w:rsid w:val="00734E3B"/>
    <w:rsid w:val="007411E8"/>
    <w:rsid w:val="00741648"/>
    <w:rsid w:val="007423DE"/>
    <w:rsid w:val="007430E3"/>
    <w:rsid w:val="00746B70"/>
    <w:rsid w:val="00750484"/>
    <w:rsid w:val="007514C8"/>
    <w:rsid w:val="00757F69"/>
    <w:rsid w:val="00761E06"/>
    <w:rsid w:val="00762807"/>
    <w:rsid w:val="00762C4E"/>
    <w:rsid w:val="00765A27"/>
    <w:rsid w:val="00771406"/>
    <w:rsid w:val="00771F24"/>
    <w:rsid w:val="00777C47"/>
    <w:rsid w:val="00777D53"/>
    <w:rsid w:val="00787558"/>
    <w:rsid w:val="00791752"/>
    <w:rsid w:val="007950A8"/>
    <w:rsid w:val="00796582"/>
    <w:rsid w:val="007965E1"/>
    <w:rsid w:val="007A0DE0"/>
    <w:rsid w:val="007B0CC9"/>
    <w:rsid w:val="007C29E9"/>
    <w:rsid w:val="007C5C54"/>
    <w:rsid w:val="007C7DA8"/>
    <w:rsid w:val="007E0366"/>
    <w:rsid w:val="007E2A6C"/>
    <w:rsid w:val="007E4FB4"/>
    <w:rsid w:val="007E53C9"/>
    <w:rsid w:val="007E72FA"/>
    <w:rsid w:val="007F2DB0"/>
    <w:rsid w:val="007F5B7A"/>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6907"/>
    <w:rsid w:val="00851D72"/>
    <w:rsid w:val="0086016D"/>
    <w:rsid w:val="008614A2"/>
    <w:rsid w:val="00861FFF"/>
    <w:rsid w:val="008624FD"/>
    <w:rsid w:val="00862FC4"/>
    <w:rsid w:val="00867514"/>
    <w:rsid w:val="00867541"/>
    <w:rsid w:val="008717C8"/>
    <w:rsid w:val="008769F6"/>
    <w:rsid w:val="00880FDC"/>
    <w:rsid w:val="00882C31"/>
    <w:rsid w:val="00884C01"/>
    <w:rsid w:val="00886CC1"/>
    <w:rsid w:val="00890D99"/>
    <w:rsid w:val="00896E06"/>
    <w:rsid w:val="008A0985"/>
    <w:rsid w:val="008A1172"/>
    <w:rsid w:val="008A14CF"/>
    <w:rsid w:val="008A2B6E"/>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27456"/>
    <w:rsid w:val="009359CD"/>
    <w:rsid w:val="00941F94"/>
    <w:rsid w:val="00947872"/>
    <w:rsid w:val="0095135A"/>
    <w:rsid w:val="00952CE3"/>
    <w:rsid w:val="00953577"/>
    <w:rsid w:val="00960596"/>
    <w:rsid w:val="00962BA9"/>
    <w:rsid w:val="0097315F"/>
    <w:rsid w:val="00980344"/>
    <w:rsid w:val="00986B02"/>
    <w:rsid w:val="00993C7B"/>
    <w:rsid w:val="00995045"/>
    <w:rsid w:val="0099562E"/>
    <w:rsid w:val="009A2A0F"/>
    <w:rsid w:val="009B6B86"/>
    <w:rsid w:val="009C0F40"/>
    <w:rsid w:val="009C46DE"/>
    <w:rsid w:val="009C7712"/>
    <w:rsid w:val="009D2B86"/>
    <w:rsid w:val="009D3E4E"/>
    <w:rsid w:val="009D458B"/>
    <w:rsid w:val="009D4664"/>
    <w:rsid w:val="009D6975"/>
    <w:rsid w:val="009E5DA6"/>
    <w:rsid w:val="009E5E82"/>
    <w:rsid w:val="009E6C63"/>
    <w:rsid w:val="009F19FF"/>
    <w:rsid w:val="009F2D79"/>
    <w:rsid w:val="009F5CEA"/>
    <w:rsid w:val="009F61B7"/>
    <w:rsid w:val="009F7737"/>
    <w:rsid w:val="00A0125F"/>
    <w:rsid w:val="00A04D91"/>
    <w:rsid w:val="00A06A3D"/>
    <w:rsid w:val="00A07F47"/>
    <w:rsid w:val="00A10D04"/>
    <w:rsid w:val="00A11091"/>
    <w:rsid w:val="00A15A82"/>
    <w:rsid w:val="00A308B8"/>
    <w:rsid w:val="00A3178D"/>
    <w:rsid w:val="00A340D7"/>
    <w:rsid w:val="00A40E77"/>
    <w:rsid w:val="00A41B69"/>
    <w:rsid w:val="00A4283D"/>
    <w:rsid w:val="00A4304C"/>
    <w:rsid w:val="00A54AE6"/>
    <w:rsid w:val="00A55AB8"/>
    <w:rsid w:val="00A649BB"/>
    <w:rsid w:val="00A66000"/>
    <w:rsid w:val="00A7251A"/>
    <w:rsid w:val="00A7347F"/>
    <w:rsid w:val="00A76F97"/>
    <w:rsid w:val="00A776B9"/>
    <w:rsid w:val="00A85FD4"/>
    <w:rsid w:val="00A90A77"/>
    <w:rsid w:val="00AA73BB"/>
    <w:rsid w:val="00AB1E7A"/>
    <w:rsid w:val="00AB2762"/>
    <w:rsid w:val="00AB3E95"/>
    <w:rsid w:val="00AC4CBC"/>
    <w:rsid w:val="00AE376B"/>
    <w:rsid w:val="00AF18B6"/>
    <w:rsid w:val="00AF4CE3"/>
    <w:rsid w:val="00B0223A"/>
    <w:rsid w:val="00B035C6"/>
    <w:rsid w:val="00B072A2"/>
    <w:rsid w:val="00B1004B"/>
    <w:rsid w:val="00B13EAE"/>
    <w:rsid w:val="00B145D1"/>
    <w:rsid w:val="00B218AC"/>
    <w:rsid w:val="00B22EFF"/>
    <w:rsid w:val="00B32DD0"/>
    <w:rsid w:val="00B35892"/>
    <w:rsid w:val="00B3777A"/>
    <w:rsid w:val="00B4406E"/>
    <w:rsid w:val="00B4544F"/>
    <w:rsid w:val="00B472CA"/>
    <w:rsid w:val="00B552FA"/>
    <w:rsid w:val="00B60523"/>
    <w:rsid w:val="00B6494E"/>
    <w:rsid w:val="00B7102A"/>
    <w:rsid w:val="00B75AD7"/>
    <w:rsid w:val="00B7666A"/>
    <w:rsid w:val="00B76D6F"/>
    <w:rsid w:val="00B81A89"/>
    <w:rsid w:val="00B854AF"/>
    <w:rsid w:val="00B9307A"/>
    <w:rsid w:val="00B95958"/>
    <w:rsid w:val="00B95A88"/>
    <w:rsid w:val="00B979BD"/>
    <w:rsid w:val="00BA11B5"/>
    <w:rsid w:val="00BA39BA"/>
    <w:rsid w:val="00BA7833"/>
    <w:rsid w:val="00BB0840"/>
    <w:rsid w:val="00BB3718"/>
    <w:rsid w:val="00BB67BC"/>
    <w:rsid w:val="00BB6F8D"/>
    <w:rsid w:val="00BC1960"/>
    <w:rsid w:val="00BC5A23"/>
    <w:rsid w:val="00BE5588"/>
    <w:rsid w:val="00BF08EC"/>
    <w:rsid w:val="00BF3FAE"/>
    <w:rsid w:val="00C002E9"/>
    <w:rsid w:val="00C01B34"/>
    <w:rsid w:val="00C01EF9"/>
    <w:rsid w:val="00C03B89"/>
    <w:rsid w:val="00C04447"/>
    <w:rsid w:val="00C11A3B"/>
    <w:rsid w:val="00C14424"/>
    <w:rsid w:val="00C171EF"/>
    <w:rsid w:val="00C2407A"/>
    <w:rsid w:val="00C32EC4"/>
    <w:rsid w:val="00C34EB3"/>
    <w:rsid w:val="00C353CF"/>
    <w:rsid w:val="00C354D5"/>
    <w:rsid w:val="00C53AFD"/>
    <w:rsid w:val="00C5509C"/>
    <w:rsid w:val="00C576C8"/>
    <w:rsid w:val="00C576E0"/>
    <w:rsid w:val="00C60BB9"/>
    <w:rsid w:val="00C61CDD"/>
    <w:rsid w:val="00C62490"/>
    <w:rsid w:val="00C65BFF"/>
    <w:rsid w:val="00C7018E"/>
    <w:rsid w:val="00C72526"/>
    <w:rsid w:val="00C80CA0"/>
    <w:rsid w:val="00C812D4"/>
    <w:rsid w:val="00C827E8"/>
    <w:rsid w:val="00C83455"/>
    <w:rsid w:val="00C84955"/>
    <w:rsid w:val="00C85187"/>
    <w:rsid w:val="00C91512"/>
    <w:rsid w:val="00C96AEF"/>
    <w:rsid w:val="00CA0240"/>
    <w:rsid w:val="00CA0D33"/>
    <w:rsid w:val="00CA3421"/>
    <w:rsid w:val="00CA7BF8"/>
    <w:rsid w:val="00CB293A"/>
    <w:rsid w:val="00CB3689"/>
    <w:rsid w:val="00CB6DFF"/>
    <w:rsid w:val="00CC04B3"/>
    <w:rsid w:val="00CC3667"/>
    <w:rsid w:val="00CD0646"/>
    <w:rsid w:val="00CD3FEF"/>
    <w:rsid w:val="00CD742E"/>
    <w:rsid w:val="00CD74B2"/>
    <w:rsid w:val="00CE035A"/>
    <w:rsid w:val="00CE1DB1"/>
    <w:rsid w:val="00CE3190"/>
    <w:rsid w:val="00CE5802"/>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4ABB"/>
    <w:rsid w:val="00D5556D"/>
    <w:rsid w:val="00D55F34"/>
    <w:rsid w:val="00D56516"/>
    <w:rsid w:val="00D57074"/>
    <w:rsid w:val="00D57407"/>
    <w:rsid w:val="00D63512"/>
    <w:rsid w:val="00D635EF"/>
    <w:rsid w:val="00D666E2"/>
    <w:rsid w:val="00D72656"/>
    <w:rsid w:val="00D74D9C"/>
    <w:rsid w:val="00D77E5A"/>
    <w:rsid w:val="00D8030D"/>
    <w:rsid w:val="00D83C51"/>
    <w:rsid w:val="00D86117"/>
    <w:rsid w:val="00D913F8"/>
    <w:rsid w:val="00D93152"/>
    <w:rsid w:val="00D94F9A"/>
    <w:rsid w:val="00D97EFB"/>
    <w:rsid w:val="00DA4214"/>
    <w:rsid w:val="00DA4E51"/>
    <w:rsid w:val="00DA6AE7"/>
    <w:rsid w:val="00DA6D5C"/>
    <w:rsid w:val="00DB3AA4"/>
    <w:rsid w:val="00DB4975"/>
    <w:rsid w:val="00DB6808"/>
    <w:rsid w:val="00DB6F11"/>
    <w:rsid w:val="00DC23A5"/>
    <w:rsid w:val="00DC75B0"/>
    <w:rsid w:val="00DD3B27"/>
    <w:rsid w:val="00DD7F9B"/>
    <w:rsid w:val="00DE005B"/>
    <w:rsid w:val="00DE3053"/>
    <w:rsid w:val="00DE6B27"/>
    <w:rsid w:val="00DF0EAC"/>
    <w:rsid w:val="00DF369C"/>
    <w:rsid w:val="00DF3FC5"/>
    <w:rsid w:val="00DF69CD"/>
    <w:rsid w:val="00DF6DA9"/>
    <w:rsid w:val="00E02166"/>
    <w:rsid w:val="00E02E8B"/>
    <w:rsid w:val="00E03D17"/>
    <w:rsid w:val="00E07367"/>
    <w:rsid w:val="00E12EF9"/>
    <w:rsid w:val="00E16421"/>
    <w:rsid w:val="00E21779"/>
    <w:rsid w:val="00E25D2B"/>
    <w:rsid w:val="00E26332"/>
    <w:rsid w:val="00E2745C"/>
    <w:rsid w:val="00E3017B"/>
    <w:rsid w:val="00E32097"/>
    <w:rsid w:val="00E35B2F"/>
    <w:rsid w:val="00E35CB7"/>
    <w:rsid w:val="00E40811"/>
    <w:rsid w:val="00E460D8"/>
    <w:rsid w:val="00E52366"/>
    <w:rsid w:val="00E60299"/>
    <w:rsid w:val="00E71954"/>
    <w:rsid w:val="00E74459"/>
    <w:rsid w:val="00E829A4"/>
    <w:rsid w:val="00E84DA9"/>
    <w:rsid w:val="00E85D92"/>
    <w:rsid w:val="00E85FBB"/>
    <w:rsid w:val="00E86514"/>
    <w:rsid w:val="00EA0F5F"/>
    <w:rsid w:val="00EA58B1"/>
    <w:rsid w:val="00EA6A8E"/>
    <w:rsid w:val="00EA7BCD"/>
    <w:rsid w:val="00EB11CE"/>
    <w:rsid w:val="00EB369C"/>
    <w:rsid w:val="00EB36A6"/>
    <w:rsid w:val="00EB60B4"/>
    <w:rsid w:val="00EC453C"/>
    <w:rsid w:val="00EC52B4"/>
    <w:rsid w:val="00EC553D"/>
    <w:rsid w:val="00ED02C7"/>
    <w:rsid w:val="00ED0499"/>
    <w:rsid w:val="00ED2AC0"/>
    <w:rsid w:val="00ED4227"/>
    <w:rsid w:val="00ED4C68"/>
    <w:rsid w:val="00ED5AA2"/>
    <w:rsid w:val="00EE034B"/>
    <w:rsid w:val="00EE170E"/>
    <w:rsid w:val="00EE2F77"/>
    <w:rsid w:val="00EE357E"/>
    <w:rsid w:val="00EF09E3"/>
    <w:rsid w:val="00EF3E91"/>
    <w:rsid w:val="00EF7CFD"/>
    <w:rsid w:val="00F02C01"/>
    <w:rsid w:val="00F035E7"/>
    <w:rsid w:val="00F03657"/>
    <w:rsid w:val="00F05832"/>
    <w:rsid w:val="00F0609B"/>
    <w:rsid w:val="00F10EBA"/>
    <w:rsid w:val="00F110F6"/>
    <w:rsid w:val="00F12ADD"/>
    <w:rsid w:val="00F21B03"/>
    <w:rsid w:val="00F23B9E"/>
    <w:rsid w:val="00F2675D"/>
    <w:rsid w:val="00F343C0"/>
    <w:rsid w:val="00F37044"/>
    <w:rsid w:val="00F44836"/>
    <w:rsid w:val="00F511C5"/>
    <w:rsid w:val="00F5230C"/>
    <w:rsid w:val="00F554DE"/>
    <w:rsid w:val="00F60535"/>
    <w:rsid w:val="00F63469"/>
    <w:rsid w:val="00F65242"/>
    <w:rsid w:val="00F65B2C"/>
    <w:rsid w:val="00F66FEF"/>
    <w:rsid w:val="00F736EC"/>
    <w:rsid w:val="00F73A1A"/>
    <w:rsid w:val="00F7641C"/>
    <w:rsid w:val="00F81A06"/>
    <w:rsid w:val="00F863F5"/>
    <w:rsid w:val="00F86761"/>
    <w:rsid w:val="00F91E3F"/>
    <w:rsid w:val="00F97C57"/>
    <w:rsid w:val="00FA1014"/>
    <w:rsid w:val="00FB7ED2"/>
    <w:rsid w:val="00FC3B1E"/>
    <w:rsid w:val="00FC3CDC"/>
    <w:rsid w:val="00FC5C94"/>
    <w:rsid w:val="00FC6A1E"/>
    <w:rsid w:val="00FD4C1C"/>
    <w:rsid w:val="00FD78D8"/>
    <w:rsid w:val="00FE13E3"/>
    <w:rsid w:val="00FE29DE"/>
    <w:rsid w:val="00FF4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BB158"/>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E0AD0-089B-45C5-8B2D-9ED55705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50</cp:revision>
  <dcterms:created xsi:type="dcterms:W3CDTF">2019-01-11T15:13:00Z</dcterms:created>
  <dcterms:modified xsi:type="dcterms:W3CDTF">2019-02-15T10:31:00Z</dcterms:modified>
</cp:coreProperties>
</file>