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6F7D" w:rsidRPr="00C76F7D" w:rsidRDefault="00C76F7D" w:rsidP="00C76F7D">
      <w:pPr>
        <w:tabs>
          <w:tab w:val="left" w:pos="567"/>
        </w:tabs>
        <w:rPr>
          <w:rFonts w:cs="Arial"/>
          <w:b/>
          <w:bCs/>
          <w:sz w:val="24"/>
        </w:rPr>
      </w:pPr>
      <w:r w:rsidRPr="00C76F7D">
        <w:rPr>
          <w:rFonts w:cs="Arial"/>
          <w:b/>
          <w:bCs/>
          <w:sz w:val="24"/>
        </w:rPr>
        <w:t>3GPP TSG RAN WG1 #96</w:t>
      </w:r>
      <w:r w:rsidRPr="00C76F7D">
        <w:rPr>
          <w:rFonts w:cs="Arial"/>
          <w:b/>
          <w:bCs/>
          <w:sz w:val="24"/>
        </w:rPr>
        <w:tab/>
      </w:r>
      <w:r w:rsidRPr="00C76F7D">
        <w:rPr>
          <w:rFonts w:cs="Arial"/>
          <w:b/>
          <w:bCs/>
          <w:sz w:val="24"/>
        </w:rPr>
        <w:tab/>
      </w:r>
      <w:r w:rsidRPr="00C76F7D">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C76F7D">
        <w:rPr>
          <w:rFonts w:cs="Arial"/>
          <w:b/>
          <w:bCs/>
          <w:sz w:val="24"/>
        </w:rPr>
        <w:t>R1-19</w:t>
      </w:r>
      <w:r w:rsidR="005C64E4">
        <w:rPr>
          <w:rFonts w:cs="Arial"/>
          <w:b/>
          <w:bCs/>
          <w:sz w:val="24"/>
        </w:rPr>
        <w:t>01893</w:t>
      </w:r>
    </w:p>
    <w:p w:rsidR="000F259D" w:rsidRDefault="00C76F7D" w:rsidP="00C76F7D">
      <w:pPr>
        <w:tabs>
          <w:tab w:val="left" w:pos="567"/>
        </w:tabs>
        <w:rPr>
          <w:rFonts w:cs="Arial"/>
          <w:b/>
          <w:bCs/>
          <w:sz w:val="24"/>
        </w:rPr>
      </w:pPr>
      <w:r w:rsidRPr="00C76F7D">
        <w:rPr>
          <w:rFonts w:cs="Arial"/>
          <w:b/>
          <w:bCs/>
          <w:sz w:val="24"/>
        </w:rPr>
        <w:t xml:space="preserve">Athens, Greece, 25th February – 1st </w:t>
      </w:r>
      <w:proofErr w:type="gramStart"/>
      <w:r w:rsidRPr="00C76F7D">
        <w:rPr>
          <w:rFonts w:cs="Arial"/>
          <w:b/>
          <w:bCs/>
          <w:sz w:val="24"/>
        </w:rPr>
        <w:t>March,</w:t>
      </w:r>
      <w:proofErr w:type="gramEnd"/>
      <w:r w:rsidRPr="00C76F7D">
        <w:rPr>
          <w:rFonts w:cs="Arial"/>
          <w:b/>
          <w:bCs/>
          <w:sz w:val="24"/>
        </w:rPr>
        <w:t xml:space="preserve"> 2019</w:t>
      </w:r>
      <w:bookmarkStart w:id="0" w:name="_GoBack"/>
      <w:bookmarkEnd w:id="0"/>
    </w:p>
    <w:p w:rsidR="00C76F7D" w:rsidRPr="005D2C51" w:rsidRDefault="00C76F7D" w:rsidP="00C76F7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0C21D0">
        <w:rPr>
          <w:b/>
          <w:sz w:val="24"/>
          <w:szCs w:val="24"/>
        </w:rPr>
        <w:t>7</w:t>
      </w:r>
      <w:r w:rsidR="00885004">
        <w:rPr>
          <w:b/>
          <w:sz w:val="24"/>
          <w:szCs w:val="24"/>
        </w:rPr>
        <w:t>.</w:t>
      </w:r>
      <w:r w:rsidR="001F02DD">
        <w:rPr>
          <w:b/>
          <w:sz w:val="24"/>
          <w:szCs w:val="24"/>
        </w:rPr>
        <w:t>2.3</w:t>
      </w:r>
      <w:r w:rsidR="006B67B9">
        <w:rPr>
          <w:b/>
          <w:sz w:val="24"/>
          <w:szCs w:val="24"/>
        </w:rPr>
        <w:t>.5</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212204">
        <w:rPr>
          <w:sz w:val="24"/>
          <w:szCs w:val="24"/>
        </w:rPr>
        <w:tab/>
      </w:r>
      <w:r w:rsidR="006B67B9" w:rsidRPr="006B67B9">
        <w:rPr>
          <w:b/>
          <w:sz w:val="24"/>
          <w:szCs w:val="24"/>
        </w:rPr>
        <w:t>Mechanisms for supporting IAB node timing alignment</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C45853" w:rsidRDefault="00C45853" w:rsidP="00C45853">
      <w:pPr>
        <w:rPr>
          <w:rFonts w:ascii="Calibri" w:eastAsia="Malgun Gothic" w:hAnsi="Calibri" w:cs="Batang"/>
          <w:lang w:val="en-GB" w:eastAsia="ko-KR"/>
        </w:rPr>
      </w:pPr>
      <w:r w:rsidRPr="004131D6">
        <w:rPr>
          <w:rFonts w:ascii="Calibri" w:eastAsia="Malgun Gothic" w:hAnsi="Calibri" w:cs="Batang"/>
          <w:lang w:val="en-GB" w:eastAsia="ko-KR"/>
        </w:rPr>
        <w:t>As part of the Work Item on Integrated Access and Backhaul for NR [1], 3GPP has agreed to support solutions for efficient operation of integrated access and wireless backhaul for NR including the following requirements:</w:t>
      </w:r>
    </w:p>
    <w:p w:rsidR="00C45853" w:rsidRDefault="00C45853" w:rsidP="00C45853">
      <w:pPr>
        <w:pStyle w:val="ListParagraph"/>
        <w:numPr>
          <w:ilvl w:val="0"/>
          <w:numId w:val="19"/>
        </w:numPr>
        <w:spacing w:beforeLines="60" w:before="144" w:afterLines="60" w:after="144" w:line="256" w:lineRule="auto"/>
        <w:contextualSpacing w:val="0"/>
        <w:jc w:val="left"/>
        <w:rPr>
          <w:rFonts w:asciiTheme="minorHAnsi" w:hAnsiTheme="minorHAnsi"/>
        </w:rPr>
      </w:pPr>
      <w:r>
        <w:t>Specification of mechanism to support the “case-1” OTA timing alignment.</w:t>
      </w:r>
    </w:p>
    <w:p w:rsidR="00C45853" w:rsidRPr="00C724F1" w:rsidRDefault="00C45853" w:rsidP="00C45853">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the design considerations for Case 1 IAB node timing alignment.</w:t>
      </w:r>
    </w:p>
    <w:p w:rsidR="00346605" w:rsidRPr="00172743" w:rsidRDefault="00C724F1" w:rsidP="00326FF6">
      <w:pPr>
        <w:pStyle w:val="Heading1"/>
      </w:pPr>
      <w:r>
        <w:t>IAB</w:t>
      </w:r>
      <w:r w:rsidR="00C45853">
        <w:t xml:space="preserve"> node timing alignment</w:t>
      </w:r>
    </w:p>
    <w:p w:rsidR="00512838" w:rsidRDefault="00512838" w:rsidP="00512838">
      <w:pPr>
        <w:spacing w:before="0" w:after="0" w:line="288" w:lineRule="auto"/>
        <w:rPr>
          <w:rFonts w:ascii="Calibri" w:hAnsi="Calibri"/>
          <w:color w:val="000000"/>
          <w:kern w:val="24"/>
        </w:rPr>
      </w:pPr>
      <w:r w:rsidRPr="00F35DD7">
        <w:rPr>
          <w:rFonts w:ascii="Calibri" w:hAnsi="Calibri"/>
          <w:color w:val="000000"/>
          <w:kern w:val="24"/>
        </w:rPr>
        <w:t xml:space="preserve">One of the key requirements of NR when operating in TDD band is the synchronization and symbol level alignment of the DL across all the </w:t>
      </w:r>
      <w:proofErr w:type="spellStart"/>
      <w:r w:rsidRPr="00F35DD7">
        <w:rPr>
          <w:rFonts w:ascii="Calibri" w:hAnsi="Calibri"/>
          <w:color w:val="000000"/>
          <w:kern w:val="24"/>
        </w:rPr>
        <w:t>gNB</w:t>
      </w:r>
      <w:proofErr w:type="spellEnd"/>
      <w:r w:rsidRPr="00F35DD7">
        <w:rPr>
          <w:rFonts w:ascii="Calibri" w:hAnsi="Calibri"/>
          <w:color w:val="000000"/>
          <w:kern w:val="24"/>
        </w:rPr>
        <w:t xml:space="preserve"> DUs. For IAB the relay DUs do not have any wired backhaul, therefore they must derive their timing synchronization over the air. </w:t>
      </w:r>
    </w:p>
    <w:p w:rsidR="00512838" w:rsidRDefault="00512838" w:rsidP="00512838">
      <w:pPr>
        <w:spacing w:before="0" w:after="0" w:line="288" w:lineRule="auto"/>
        <w:rPr>
          <w:rFonts w:ascii="Calibri" w:hAnsi="Calibri"/>
          <w:color w:val="000000"/>
          <w:kern w:val="24"/>
        </w:rPr>
      </w:pPr>
    </w:p>
    <w:p w:rsidR="00B57126" w:rsidRDefault="00B57126" w:rsidP="00B57126">
      <w:pPr>
        <w:pStyle w:val="maintext"/>
        <w:ind w:firstLineChars="0" w:firstLine="0"/>
        <w:jc w:val="center"/>
      </w:pPr>
      <w:r>
        <w:rPr>
          <w:noProof/>
          <w:lang w:val="en-US" w:eastAsia="en-US"/>
        </w:rPr>
        <w:drawing>
          <wp:inline distT="0" distB="0" distL="0" distR="0" wp14:anchorId="7E206329" wp14:editId="3B89191A">
            <wp:extent cx="5363570" cy="2424528"/>
            <wp:effectExtent l="0" t="0" r="889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68702" cy="2426848"/>
                    </a:xfrm>
                    <a:prstGeom prst="rect">
                      <a:avLst/>
                    </a:prstGeom>
                    <a:noFill/>
                  </pic:spPr>
                </pic:pic>
              </a:graphicData>
            </a:graphic>
          </wp:inline>
        </w:drawing>
      </w:r>
    </w:p>
    <w:p w:rsidR="00B57126" w:rsidRPr="0033513A" w:rsidRDefault="00B57126" w:rsidP="00B57126">
      <w:pPr>
        <w:pStyle w:val="maintext"/>
        <w:ind w:firstLineChars="0" w:firstLine="0"/>
      </w:pPr>
    </w:p>
    <w:p w:rsidR="00B57126" w:rsidRDefault="00B57126" w:rsidP="00B57126">
      <w:pPr>
        <w:pStyle w:val="Caption"/>
        <w:ind w:left="720"/>
        <w:rPr>
          <w:rFonts w:ascii="Calibri" w:hAnsi="Calibri"/>
        </w:rPr>
      </w:pPr>
      <w:r w:rsidRPr="00077712">
        <w:rPr>
          <w:rFonts w:ascii="Calibri" w:hAnsi="Calibri"/>
        </w:rPr>
        <w:t xml:space="preserve">Figure </w:t>
      </w:r>
      <w:r>
        <w:rPr>
          <w:rFonts w:ascii="Calibri" w:hAnsi="Calibri"/>
        </w:rPr>
        <w:t>1</w:t>
      </w:r>
      <w:r w:rsidRPr="00077712">
        <w:rPr>
          <w:rFonts w:ascii="Calibri" w:hAnsi="Calibri"/>
        </w:rPr>
        <w:t xml:space="preserve">: </w:t>
      </w:r>
      <w:r>
        <w:rPr>
          <w:rFonts w:ascii="Calibri" w:hAnsi="Calibri"/>
        </w:rPr>
        <w:t>IAB frame synchronization over multiple hops</w:t>
      </w:r>
    </w:p>
    <w:p w:rsidR="00B57126" w:rsidRDefault="00B57126" w:rsidP="00B57126">
      <w:pPr>
        <w:spacing w:before="0" w:after="0" w:line="288" w:lineRule="auto"/>
        <w:rPr>
          <w:rFonts w:ascii="Calibri" w:hAnsi="Calibri"/>
          <w:color w:val="000000"/>
          <w:kern w:val="24"/>
        </w:rPr>
      </w:pPr>
      <w:r w:rsidRPr="00F35DD7">
        <w:rPr>
          <w:rFonts w:ascii="Calibri" w:hAnsi="Calibri"/>
          <w:color w:val="000000"/>
          <w:kern w:val="24"/>
        </w:rPr>
        <w:t xml:space="preserve">Figure </w:t>
      </w:r>
      <w:r>
        <w:rPr>
          <w:rFonts w:ascii="Calibri" w:hAnsi="Calibri"/>
          <w:color w:val="000000"/>
          <w:kern w:val="24"/>
        </w:rPr>
        <w:t>1</w:t>
      </w:r>
      <w:r w:rsidRPr="00F35DD7">
        <w:rPr>
          <w:rFonts w:ascii="Calibri" w:hAnsi="Calibri"/>
          <w:color w:val="000000"/>
          <w:kern w:val="24"/>
        </w:rPr>
        <w:t xml:space="preserve"> </w:t>
      </w:r>
      <w:r>
        <w:rPr>
          <w:rFonts w:ascii="Calibri" w:hAnsi="Calibri"/>
          <w:color w:val="000000"/>
          <w:kern w:val="24"/>
        </w:rPr>
        <w:t>gives an example of</w:t>
      </w:r>
      <w:r w:rsidRPr="00F35DD7">
        <w:rPr>
          <w:rFonts w:ascii="Calibri" w:hAnsi="Calibri"/>
          <w:color w:val="000000"/>
          <w:kern w:val="24"/>
        </w:rPr>
        <w:t xml:space="preserve"> a timing relationship between the backhaul subframes</w:t>
      </w:r>
      <w:r>
        <w:rPr>
          <w:rFonts w:ascii="Calibri" w:hAnsi="Calibri"/>
          <w:color w:val="000000"/>
          <w:kern w:val="24"/>
        </w:rPr>
        <w:t xml:space="preserve"> received by the MT of an IAB node</w:t>
      </w:r>
      <w:r w:rsidRPr="00F35DD7">
        <w:rPr>
          <w:rFonts w:ascii="Calibri" w:hAnsi="Calibri"/>
          <w:color w:val="000000"/>
          <w:kern w:val="24"/>
        </w:rPr>
        <w:t>, relative to the access subframe</w:t>
      </w:r>
      <w:r>
        <w:rPr>
          <w:rFonts w:ascii="Calibri" w:hAnsi="Calibri"/>
          <w:color w:val="000000"/>
          <w:kern w:val="24"/>
        </w:rPr>
        <w:t>s</w:t>
      </w:r>
      <w:r w:rsidRPr="00F35DD7">
        <w:rPr>
          <w:rFonts w:ascii="Calibri" w:hAnsi="Calibri"/>
          <w:color w:val="000000"/>
          <w:kern w:val="24"/>
        </w:rPr>
        <w:t xml:space="preserve"> </w:t>
      </w:r>
      <w:r>
        <w:rPr>
          <w:rFonts w:ascii="Calibri" w:hAnsi="Calibri"/>
          <w:color w:val="000000"/>
          <w:kern w:val="24"/>
        </w:rPr>
        <w:t>transmitted by the</w:t>
      </w:r>
      <w:r w:rsidRPr="00F35DD7">
        <w:rPr>
          <w:rFonts w:ascii="Calibri" w:hAnsi="Calibri"/>
          <w:color w:val="000000"/>
          <w:kern w:val="24"/>
        </w:rPr>
        <w:t xml:space="preserve"> DU of a</w:t>
      </w:r>
      <w:r>
        <w:rPr>
          <w:rFonts w:ascii="Calibri" w:hAnsi="Calibri"/>
          <w:color w:val="000000"/>
          <w:kern w:val="24"/>
        </w:rPr>
        <w:t>n</w:t>
      </w:r>
      <w:r w:rsidRPr="00F35DD7">
        <w:rPr>
          <w:rFonts w:ascii="Calibri" w:hAnsi="Calibri"/>
          <w:color w:val="000000"/>
          <w:kern w:val="24"/>
        </w:rPr>
        <w:t xml:space="preserve"> IAB node. </w:t>
      </w:r>
    </w:p>
    <w:p w:rsidR="00B57126" w:rsidRDefault="00B57126" w:rsidP="00B57126">
      <w:pPr>
        <w:spacing w:before="0" w:after="0" w:line="288" w:lineRule="auto"/>
        <w:rPr>
          <w:rFonts w:ascii="Calibri" w:hAnsi="Calibri"/>
          <w:color w:val="000000"/>
          <w:kern w:val="24"/>
        </w:rPr>
      </w:pPr>
    </w:p>
    <w:p w:rsidR="00B57126" w:rsidRDefault="00B57126" w:rsidP="00B57126">
      <w:pPr>
        <w:spacing w:before="0" w:after="0" w:line="288" w:lineRule="auto"/>
        <w:rPr>
          <w:rFonts w:ascii="Calibri" w:hAnsi="Calibri"/>
          <w:color w:val="000000"/>
          <w:kern w:val="24"/>
        </w:rPr>
      </w:pPr>
      <w:r>
        <w:rPr>
          <w:rFonts w:ascii="Calibri" w:hAnsi="Calibri"/>
          <w:color w:val="000000"/>
          <w:kern w:val="24"/>
        </w:rPr>
        <w:t xml:space="preserve">Case 1 timing as defined in the IAB TR 38.874 is </w:t>
      </w:r>
      <w:r w:rsidR="00516006">
        <w:rPr>
          <w:rFonts w:ascii="Calibri" w:hAnsi="Calibri"/>
          <w:color w:val="000000"/>
          <w:kern w:val="24"/>
        </w:rPr>
        <w:t>defined to</w:t>
      </w:r>
      <w:r>
        <w:rPr>
          <w:rFonts w:ascii="Calibri" w:hAnsi="Calibri"/>
          <w:color w:val="000000"/>
          <w:kern w:val="24"/>
        </w:rPr>
        <w:t xml:space="preserve"> be supported </w:t>
      </w:r>
      <w:r w:rsidR="00516006">
        <w:rPr>
          <w:rFonts w:ascii="Calibri" w:hAnsi="Calibri"/>
          <w:color w:val="000000"/>
          <w:kern w:val="24"/>
        </w:rPr>
        <w:t xml:space="preserve">in Rel.16 </w:t>
      </w:r>
      <w:proofErr w:type="gramStart"/>
      <w:r>
        <w:rPr>
          <w:rFonts w:ascii="Calibri" w:hAnsi="Calibri"/>
          <w:color w:val="000000"/>
          <w:kern w:val="24"/>
        </w:rPr>
        <w:t>in order to</w:t>
      </w:r>
      <w:proofErr w:type="gramEnd"/>
      <w:r>
        <w:rPr>
          <w:rFonts w:ascii="Calibri" w:hAnsi="Calibri"/>
          <w:color w:val="000000"/>
          <w:kern w:val="24"/>
        </w:rPr>
        <w:t xml:space="preserve"> ensure</w:t>
      </w:r>
      <w:r w:rsidRPr="00F35DD7">
        <w:rPr>
          <w:rFonts w:ascii="Calibri" w:hAnsi="Calibri"/>
          <w:color w:val="000000"/>
          <w:kern w:val="24"/>
        </w:rPr>
        <w:t xml:space="preserve"> the access subframe DL </w:t>
      </w:r>
      <w:r>
        <w:rPr>
          <w:rFonts w:ascii="Calibri" w:hAnsi="Calibri"/>
          <w:color w:val="000000"/>
          <w:kern w:val="24"/>
        </w:rPr>
        <w:t>are</w:t>
      </w:r>
      <w:r w:rsidRPr="00F35DD7">
        <w:rPr>
          <w:rFonts w:ascii="Calibri" w:hAnsi="Calibri"/>
          <w:color w:val="000000"/>
          <w:kern w:val="24"/>
        </w:rPr>
        <w:t xml:space="preserve"> symbol level and sl</w:t>
      </w:r>
      <w:r>
        <w:rPr>
          <w:rFonts w:ascii="Calibri" w:hAnsi="Calibri"/>
          <w:color w:val="000000"/>
          <w:kern w:val="24"/>
        </w:rPr>
        <w:t>ot level aligned across all DUs [2]:</w:t>
      </w:r>
    </w:p>
    <w:p w:rsidR="00B57126" w:rsidRPr="0091752F" w:rsidRDefault="00B57126" w:rsidP="0091752F">
      <w:pPr>
        <w:pStyle w:val="ListParagraph"/>
        <w:numPr>
          <w:ilvl w:val="0"/>
          <w:numId w:val="19"/>
        </w:numPr>
        <w:spacing w:before="0" w:after="0" w:line="288" w:lineRule="auto"/>
        <w:rPr>
          <w:rFonts w:ascii="Calibri" w:hAnsi="Calibri"/>
          <w:color w:val="000000"/>
          <w:kern w:val="24"/>
        </w:rPr>
      </w:pPr>
      <w:r w:rsidRPr="00F207B8">
        <w:t>Case #1: DL transmission timing alignment across IAB-nodes and IAB-donors</w:t>
      </w:r>
      <w:r w:rsidRPr="0091752F">
        <w:rPr>
          <w:rFonts w:eastAsia="Malgun Gothic" w:hint="eastAsia"/>
          <w:lang w:eastAsia="ko-KR"/>
        </w:rPr>
        <w:t>:</w:t>
      </w:r>
    </w:p>
    <w:p w:rsidR="00B57126" w:rsidRDefault="00B57126" w:rsidP="00B57126">
      <w:pPr>
        <w:spacing w:before="0" w:after="0" w:line="288" w:lineRule="auto"/>
        <w:rPr>
          <w:rFonts w:ascii="Calibri" w:hAnsi="Calibri"/>
          <w:color w:val="000000"/>
          <w:kern w:val="24"/>
        </w:rPr>
      </w:pPr>
      <w:r w:rsidRPr="00F35DD7">
        <w:rPr>
          <w:rFonts w:ascii="Calibri" w:hAnsi="Calibri"/>
          <w:color w:val="000000"/>
          <w:kern w:val="24"/>
        </w:rPr>
        <w:lastRenderedPageBreak/>
        <w:t xml:space="preserve"> </w:t>
      </w:r>
      <w:r>
        <w:rPr>
          <w:rFonts w:ascii="Calibri" w:hAnsi="Calibri"/>
          <w:color w:val="000000"/>
          <w:kern w:val="24"/>
        </w:rPr>
        <w:t>Although the</w:t>
      </w:r>
      <w:r w:rsidRPr="00F35DD7">
        <w:rPr>
          <w:rFonts w:ascii="Calibri" w:hAnsi="Calibri"/>
          <w:color w:val="000000"/>
          <w:kern w:val="24"/>
        </w:rPr>
        <w:t xml:space="preserve"> backhaul subframe as seen </w:t>
      </w:r>
      <w:r>
        <w:rPr>
          <w:rFonts w:ascii="Calibri" w:hAnsi="Calibri"/>
          <w:color w:val="000000"/>
          <w:kern w:val="24"/>
        </w:rPr>
        <w:t xml:space="preserve">by </w:t>
      </w:r>
      <w:r w:rsidRPr="00F35DD7">
        <w:rPr>
          <w:rFonts w:ascii="Calibri" w:hAnsi="Calibri"/>
          <w:color w:val="000000"/>
          <w:kern w:val="24"/>
        </w:rPr>
        <w:t xml:space="preserve">the </w:t>
      </w:r>
      <w:r>
        <w:rPr>
          <w:rFonts w:ascii="Calibri" w:hAnsi="Calibri"/>
          <w:color w:val="000000"/>
          <w:kern w:val="24"/>
        </w:rPr>
        <w:t>MT function</w:t>
      </w:r>
      <w:r w:rsidRPr="00F35DD7">
        <w:rPr>
          <w:rFonts w:ascii="Calibri" w:hAnsi="Calibri"/>
          <w:color w:val="000000"/>
          <w:kern w:val="24"/>
        </w:rPr>
        <w:t xml:space="preserve"> of the IAB node </w:t>
      </w:r>
      <w:r w:rsidR="0091752F">
        <w:rPr>
          <w:rFonts w:ascii="Calibri" w:hAnsi="Calibri"/>
          <w:color w:val="000000"/>
          <w:kern w:val="24"/>
        </w:rPr>
        <w:t>in Figure 1</w:t>
      </w:r>
      <w:r>
        <w:rPr>
          <w:rFonts w:ascii="Calibri" w:hAnsi="Calibri"/>
          <w:color w:val="000000"/>
          <w:kern w:val="24"/>
        </w:rPr>
        <w:t xml:space="preserve"> </w:t>
      </w:r>
      <w:r w:rsidRPr="00F35DD7">
        <w:rPr>
          <w:rFonts w:ascii="Calibri" w:hAnsi="Calibri"/>
          <w:color w:val="000000"/>
          <w:kern w:val="24"/>
        </w:rPr>
        <w:t>has the DL and UL shifted due to the propagation delays</w:t>
      </w:r>
      <w:r>
        <w:rPr>
          <w:rFonts w:ascii="Calibri" w:hAnsi="Calibri"/>
          <w:color w:val="000000"/>
          <w:kern w:val="24"/>
        </w:rPr>
        <w:t>,</w:t>
      </w:r>
      <w:r w:rsidRPr="00F35DD7">
        <w:rPr>
          <w:rFonts w:ascii="Calibri" w:hAnsi="Calibri"/>
          <w:color w:val="000000"/>
          <w:kern w:val="24"/>
        </w:rPr>
        <w:t xml:space="preserve"> the </w:t>
      </w:r>
      <w:r>
        <w:rPr>
          <w:rFonts w:ascii="Calibri" w:hAnsi="Calibri"/>
          <w:color w:val="000000"/>
          <w:kern w:val="24"/>
        </w:rPr>
        <w:t>IAB node MT function</w:t>
      </w:r>
      <w:r w:rsidRPr="00F35DD7">
        <w:rPr>
          <w:rFonts w:ascii="Calibri" w:hAnsi="Calibri"/>
          <w:color w:val="000000"/>
          <w:kern w:val="24"/>
        </w:rPr>
        <w:t xml:space="preserve"> is aware of this shift since the timing advance is provided to the </w:t>
      </w:r>
      <w:r>
        <w:rPr>
          <w:rFonts w:ascii="Calibri" w:hAnsi="Calibri"/>
          <w:color w:val="000000"/>
          <w:kern w:val="24"/>
        </w:rPr>
        <w:t>MT</w:t>
      </w:r>
      <w:r w:rsidRPr="00F35DD7">
        <w:rPr>
          <w:rFonts w:ascii="Calibri" w:hAnsi="Calibri"/>
          <w:color w:val="000000"/>
          <w:kern w:val="24"/>
        </w:rPr>
        <w:t xml:space="preserve"> explicitly, so the timing advance can be used by the IAB node t</w:t>
      </w:r>
      <w:r>
        <w:rPr>
          <w:rFonts w:ascii="Calibri" w:hAnsi="Calibri"/>
          <w:color w:val="000000"/>
          <w:kern w:val="24"/>
        </w:rPr>
        <w:t>o align its DL access subframes transmitted by the DU function by applying a TA/2 shift.</w:t>
      </w:r>
    </w:p>
    <w:p w:rsidR="00B57126" w:rsidRDefault="00B57126" w:rsidP="00B57126">
      <w:pPr>
        <w:spacing w:before="0" w:after="0" w:line="288" w:lineRule="auto"/>
        <w:rPr>
          <w:rFonts w:ascii="Calibri" w:hAnsi="Calibri"/>
          <w:color w:val="000000"/>
          <w:kern w:val="24"/>
        </w:rPr>
      </w:pPr>
    </w:p>
    <w:p w:rsidR="007A3BD6" w:rsidRDefault="007A3BD6" w:rsidP="00B57126">
      <w:pPr>
        <w:spacing w:before="0" w:after="0" w:line="288" w:lineRule="auto"/>
        <w:rPr>
          <w:rFonts w:ascii="Calibri" w:hAnsi="Calibri"/>
          <w:color w:val="000000"/>
          <w:kern w:val="24"/>
        </w:rPr>
      </w:pPr>
      <w:r>
        <w:rPr>
          <w:rFonts w:ascii="Calibri" w:hAnsi="Calibri"/>
          <w:color w:val="000000"/>
          <w:kern w:val="24"/>
        </w:rPr>
        <w:t xml:space="preserve">The following agreements were made in the RAN1 NR </w:t>
      </w:r>
      <w:proofErr w:type="spellStart"/>
      <w:r>
        <w:rPr>
          <w:rFonts w:ascii="Calibri" w:hAnsi="Calibri"/>
          <w:color w:val="000000"/>
          <w:kern w:val="24"/>
        </w:rPr>
        <w:t>Adhoc</w:t>
      </w:r>
      <w:proofErr w:type="spellEnd"/>
      <w:r>
        <w:rPr>
          <w:rFonts w:ascii="Calibri" w:hAnsi="Calibri"/>
          <w:color w:val="000000"/>
          <w:kern w:val="24"/>
        </w:rPr>
        <w:t xml:space="preserve"> #4:</w:t>
      </w:r>
    </w:p>
    <w:p w:rsidR="007A3BD6" w:rsidRPr="0004553A" w:rsidRDefault="007A3BD6" w:rsidP="007A3BD6">
      <w:pPr>
        <w:rPr>
          <w:lang w:eastAsia="x-none"/>
        </w:rPr>
      </w:pPr>
      <w:r w:rsidRPr="0004553A">
        <w:rPr>
          <w:highlight w:val="green"/>
          <w:lang w:eastAsia="x-none"/>
        </w:rPr>
        <w:t>Agreements</w:t>
      </w:r>
      <w:r w:rsidRPr="0004553A">
        <w:rPr>
          <w:lang w:eastAsia="x-none"/>
        </w:rPr>
        <w:t>:</w:t>
      </w:r>
    </w:p>
    <w:p w:rsidR="007A3BD6" w:rsidRPr="0004553A" w:rsidRDefault="007A3BD6" w:rsidP="007A3BD6">
      <w:r w:rsidRPr="0004553A">
        <w:t xml:space="preserve">An IAB node should set its DL TX timing ahead of its DL Rx timing by TA/2 + </w:t>
      </w:r>
      <w:proofErr w:type="spellStart"/>
      <w:r w:rsidRPr="0004553A">
        <w:t>T_delta</w:t>
      </w:r>
      <w:proofErr w:type="spellEnd"/>
    </w:p>
    <w:p w:rsidR="007A3BD6" w:rsidRDefault="007A3BD6" w:rsidP="007A3BD6">
      <w:pPr>
        <w:numPr>
          <w:ilvl w:val="0"/>
          <w:numId w:val="21"/>
        </w:numPr>
        <w:spacing w:before="0" w:after="0"/>
        <w:jc w:val="left"/>
      </w:pPr>
      <w:proofErr w:type="spellStart"/>
      <w:r w:rsidRPr="0004553A">
        <w:t>T_delta</w:t>
      </w:r>
      <w:proofErr w:type="spellEnd"/>
      <w:r w:rsidRPr="0004553A">
        <w:t xml:space="preserve"> is </w:t>
      </w:r>
      <w:proofErr w:type="spellStart"/>
      <w:r w:rsidRPr="0004553A">
        <w:t>signalled</w:t>
      </w:r>
      <w:proofErr w:type="spellEnd"/>
      <w:r w:rsidRPr="0004553A">
        <w:t xml:space="preserve"> from the parent node, where the value is intended to account for factors such the offset between parent DL Tx and UL Rx, if any due to factors such as Tx to Rx switching time, HW impairments, etc.</w:t>
      </w:r>
    </w:p>
    <w:p w:rsidR="007A3BD6" w:rsidRPr="00F33B09" w:rsidRDefault="007A3BD6" w:rsidP="007A3BD6">
      <w:pPr>
        <w:numPr>
          <w:ilvl w:val="0"/>
          <w:numId w:val="21"/>
        </w:numPr>
        <w:spacing w:before="0" w:after="0"/>
        <w:jc w:val="left"/>
      </w:pPr>
      <w:r w:rsidRPr="00F33B09">
        <w:t>TA is the timing gap between UL Tx timing and DL Rx timing, which is derived based on existing Rel-15 mechanism</w:t>
      </w:r>
    </w:p>
    <w:p w:rsidR="007A3BD6" w:rsidRPr="0004553A" w:rsidRDefault="007A3BD6" w:rsidP="007A3BD6">
      <w:pPr>
        <w:numPr>
          <w:ilvl w:val="0"/>
          <w:numId w:val="20"/>
        </w:numPr>
      </w:pPr>
      <w:r w:rsidRPr="0004553A">
        <w:t>FFS (not necessarily an exhaustive list):</w:t>
      </w:r>
    </w:p>
    <w:p w:rsidR="007A3BD6" w:rsidRPr="0004553A" w:rsidRDefault="007A3BD6" w:rsidP="007A3BD6">
      <w:pPr>
        <w:numPr>
          <w:ilvl w:val="1"/>
          <w:numId w:val="20"/>
        </w:numPr>
      </w:pPr>
      <w:r w:rsidRPr="0004553A">
        <w:t xml:space="preserve">value range and granularity of </w:t>
      </w:r>
      <w:proofErr w:type="spellStart"/>
      <w:r w:rsidRPr="0004553A">
        <w:t>Tdelta</w:t>
      </w:r>
      <w:proofErr w:type="spellEnd"/>
    </w:p>
    <w:p w:rsidR="007A3BD6" w:rsidRPr="0004553A" w:rsidRDefault="007A3BD6" w:rsidP="007A3BD6">
      <w:pPr>
        <w:numPr>
          <w:ilvl w:val="1"/>
          <w:numId w:val="20"/>
        </w:numPr>
      </w:pPr>
      <w:r w:rsidRPr="0004553A">
        <w:t xml:space="preserve">need for aperiodic/periodic updates of </w:t>
      </w:r>
      <w:proofErr w:type="spellStart"/>
      <w:r w:rsidRPr="0004553A">
        <w:t>Tdelta</w:t>
      </w:r>
      <w:proofErr w:type="spellEnd"/>
    </w:p>
    <w:p w:rsidR="007A3BD6" w:rsidRPr="0004553A" w:rsidRDefault="007A3BD6" w:rsidP="007A3BD6">
      <w:pPr>
        <w:numPr>
          <w:ilvl w:val="1"/>
          <w:numId w:val="20"/>
        </w:numPr>
      </w:pPr>
      <w:r w:rsidRPr="0004553A">
        <w:t xml:space="preserve">other timing impairment factors for adjusting IAB node timing to be included in </w:t>
      </w:r>
      <w:proofErr w:type="spellStart"/>
      <w:r w:rsidRPr="0004553A">
        <w:t>Tdelta</w:t>
      </w:r>
      <w:proofErr w:type="spellEnd"/>
    </w:p>
    <w:p w:rsidR="007A3BD6" w:rsidRPr="0004553A" w:rsidRDefault="007A3BD6" w:rsidP="007A3BD6">
      <w:pPr>
        <w:numPr>
          <w:ilvl w:val="1"/>
          <w:numId w:val="20"/>
        </w:numPr>
      </w:pPr>
      <w:r w:rsidRPr="0004553A">
        <w:t>timing alignment when the IAB node has multiple parents</w:t>
      </w:r>
    </w:p>
    <w:p w:rsidR="007A3BD6" w:rsidRPr="0004553A" w:rsidRDefault="007A3BD6" w:rsidP="007A3BD6">
      <w:pPr>
        <w:numPr>
          <w:ilvl w:val="1"/>
          <w:numId w:val="20"/>
        </w:numPr>
      </w:pPr>
      <w:r w:rsidRPr="0004553A">
        <w:t xml:space="preserve">Note: once the design of the above FFS points is in a good shape, </w:t>
      </w:r>
      <w:proofErr w:type="gramStart"/>
      <w:r w:rsidRPr="0004553A">
        <w:t>an</w:t>
      </w:r>
      <w:proofErr w:type="gramEnd"/>
      <w:r w:rsidRPr="0004553A">
        <w:t xml:space="preserve"> LS to RAN4 may be necessary to solicit their input</w:t>
      </w:r>
    </w:p>
    <w:p w:rsidR="00D55400" w:rsidRDefault="00D55400" w:rsidP="00B57126">
      <w:pPr>
        <w:spacing w:before="0" w:after="0" w:line="288" w:lineRule="auto"/>
        <w:rPr>
          <w:rFonts w:ascii="Calibri" w:hAnsi="Calibri"/>
          <w:color w:val="000000"/>
          <w:kern w:val="24"/>
        </w:rPr>
      </w:pPr>
    </w:p>
    <w:p w:rsidR="005C64E4" w:rsidRDefault="00D55400" w:rsidP="005C64E4">
      <w:pPr>
        <w:rPr>
          <w:rFonts w:ascii="Calibri" w:hAnsi="Calibri"/>
          <w:color w:val="000000"/>
          <w:kern w:val="24"/>
        </w:rPr>
      </w:pPr>
      <w:r>
        <w:rPr>
          <w:rFonts w:ascii="Calibri" w:hAnsi="Calibri"/>
          <w:color w:val="000000"/>
          <w:kern w:val="24"/>
        </w:rPr>
        <w:t xml:space="preserve">As noted in the above agreements, an additional offset of </w:t>
      </w:r>
      <w:proofErr w:type="spellStart"/>
      <w:r>
        <w:rPr>
          <w:rFonts w:ascii="Calibri" w:hAnsi="Calibri"/>
          <w:color w:val="000000"/>
          <w:kern w:val="24"/>
        </w:rPr>
        <w:t>T_delta</w:t>
      </w:r>
      <w:proofErr w:type="spellEnd"/>
      <w:r>
        <w:rPr>
          <w:rFonts w:ascii="Calibri" w:hAnsi="Calibri"/>
          <w:color w:val="000000"/>
          <w:kern w:val="24"/>
        </w:rPr>
        <w:t xml:space="preserve"> may need to be applied at the IAB node</w:t>
      </w:r>
      <w:r w:rsidR="00D865A8">
        <w:rPr>
          <w:rFonts w:ascii="Calibri" w:hAnsi="Calibri"/>
          <w:color w:val="000000"/>
          <w:kern w:val="24"/>
        </w:rPr>
        <w:t xml:space="preserve"> </w:t>
      </w:r>
      <w:proofErr w:type="gramStart"/>
      <w:r w:rsidR="00D865A8">
        <w:rPr>
          <w:rFonts w:ascii="Calibri" w:hAnsi="Calibri"/>
          <w:color w:val="000000"/>
          <w:kern w:val="24"/>
        </w:rPr>
        <w:t>in order to</w:t>
      </w:r>
      <w:proofErr w:type="gramEnd"/>
      <w:r w:rsidR="00D865A8">
        <w:rPr>
          <w:rFonts w:ascii="Calibri" w:hAnsi="Calibri"/>
          <w:color w:val="000000"/>
          <w:kern w:val="24"/>
        </w:rPr>
        <w:t xml:space="preserve"> account for multiple potential impairments such as Tx switching time or HW impairments. On question about </w:t>
      </w:r>
      <w:proofErr w:type="spellStart"/>
      <w:r w:rsidR="00D865A8">
        <w:rPr>
          <w:rFonts w:ascii="Calibri" w:hAnsi="Calibri"/>
          <w:color w:val="000000"/>
          <w:kern w:val="24"/>
        </w:rPr>
        <w:t>T_delta</w:t>
      </w:r>
      <w:proofErr w:type="spellEnd"/>
      <w:r w:rsidR="00D865A8">
        <w:rPr>
          <w:rFonts w:ascii="Calibri" w:hAnsi="Calibri"/>
          <w:color w:val="000000"/>
          <w:kern w:val="24"/>
        </w:rPr>
        <w:t xml:space="preserve"> is the granularity and value range compared to the existing TA signaling. </w:t>
      </w:r>
      <w:proofErr w:type="gramStart"/>
      <w:r w:rsidR="00D865A8">
        <w:rPr>
          <w:rFonts w:ascii="Calibri" w:hAnsi="Calibri"/>
          <w:color w:val="000000"/>
          <w:kern w:val="24"/>
        </w:rPr>
        <w:t>In order to</w:t>
      </w:r>
      <w:proofErr w:type="gramEnd"/>
      <w:r w:rsidR="00D865A8">
        <w:rPr>
          <w:rFonts w:ascii="Calibri" w:hAnsi="Calibri"/>
          <w:color w:val="000000"/>
          <w:kern w:val="24"/>
        </w:rPr>
        <w:t xml:space="preserve"> provide additional information above the existing TA granularity the value range of </w:t>
      </w:r>
      <w:proofErr w:type="spellStart"/>
      <w:r w:rsidR="00D865A8">
        <w:rPr>
          <w:rFonts w:ascii="Calibri" w:hAnsi="Calibri"/>
          <w:color w:val="000000"/>
          <w:kern w:val="24"/>
        </w:rPr>
        <w:t>T_delta</w:t>
      </w:r>
      <w:proofErr w:type="spellEnd"/>
      <w:r w:rsidR="00D865A8">
        <w:rPr>
          <w:rFonts w:ascii="Calibri" w:hAnsi="Calibri"/>
          <w:color w:val="000000"/>
          <w:kern w:val="24"/>
        </w:rPr>
        <w:t xml:space="preserve"> should be between 0 and the minimum value of TA which can be communicated to </w:t>
      </w:r>
      <w:r w:rsidR="005C64E4">
        <w:rPr>
          <w:rFonts w:ascii="Calibri" w:hAnsi="Calibri"/>
          <w:color w:val="000000"/>
          <w:kern w:val="24"/>
        </w:rPr>
        <w:t xml:space="preserve">the IAB node, with a granularity which may depend on the subcarrier spacing (e.g. to account for the switching time as a function of symbol duration). </w:t>
      </w:r>
    </w:p>
    <w:p w:rsidR="005C64E4" w:rsidRDefault="005C64E4" w:rsidP="005C64E4">
      <w:pPr>
        <w:rPr>
          <w:rFonts w:ascii="Calibri" w:hAnsi="Calibri"/>
          <w:b/>
          <w:lang w:val="en-GB" w:eastAsia="zh-CN"/>
        </w:rPr>
      </w:pPr>
      <w:r w:rsidRPr="003141F5">
        <w:rPr>
          <w:rFonts w:ascii="Calibri" w:hAnsi="Calibri"/>
          <w:b/>
          <w:lang w:val="en-GB" w:eastAsia="zh-CN"/>
        </w:rPr>
        <w:t xml:space="preserve">Proposal </w:t>
      </w:r>
      <w:r>
        <w:rPr>
          <w:rFonts w:ascii="Calibri" w:hAnsi="Calibri"/>
          <w:b/>
          <w:lang w:val="en-GB" w:eastAsia="zh-CN"/>
        </w:rPr>
        <w:t>1</w:t>
      </w:r>
      <w:r w:rsidRPr="003141F5">
        <w:rPr>
          <w:rFonts w:ascii="Calibri" w:hAnsi="Calibri"/>
          <w:b/>
          <w:lang w:val="en-GB" w:eastAsia="zh-CN"/>
        </w:rPr>
        <w:t xml:space="preserve">: </w:t>
      </w:r>
      <w:r>
        <w:rPr>
          <w:rFonts w:ascii="Calibri" w:hAnsi="Calibri"/>
          <w:b/>
          <w:lang w:val="en-GB" w:eastAsia="zh-CN"/>
        </w:rPr>
        <w:t>Explicit signalling is provided from the parent to an IAB-node DU</w:t>
      </w:r>
      <w:r w:rsidRPr="003141F5">
        <w:rPr>
          <w:rFonts w:ascii="Calibri" w:hAnsi="Calibri"/>
          <w:b/>
          <w:lang w:val="en-GB" w:eastAsia="zh-CN"/>
        </w:rPr>
        <w:t xml:space="preserve"> </w:t>
      </w:r>
      <w:r>
        <w:rPr>
          <w:rFonts w:ascii="Calibri" w:hAnsi="Calibri"/>
          <w:b/>
          <w:lang w:val="en-GB" w:eastAsia="zh-CN"/>
        </w:rPr>
        <w:t>indicating the value of</w:t>
      </w:r>
      <w:r w:rsidRPr="003141F5">
        <w:rPr>
          <w:rFonts w:ascii="Calibri" w:hAnsi="Calibri"/>
          <w:b/>
          <w:lang w:val="en-GB" w:eastAsia="zh-CN"/>
        </w:rPr>
        <w:t xml:space="preserve"> </w:t>
      </w:r>
      <w:proofErr w:type="spellStart"/>
      <w:r>
        <w:rPr>
          <w:rFonts w:ascii="Calibri" w:hAnsi="Calibri"/>
          <w:b/>
          <w:lang w:val="en-GB" w:eastAsia="zh-CN"/>
        </w:rPr>
        <w:t>T_delta</w:t>
      </w:r>
      <w:proofErr w:type="spellEnd"/>
      <w:r w:rsidRPr="003141F5">
        <w:rPr>
          <w:rFonts w:ascii="Calibri" w:hAnsi="Calibri"/>
          <w:b/>
          <w:lang w:val="en-GB" w:eastAsia="zh-CN"/>
        </w:rPr>
        <w:t xml:space="preserve"> </w:t>
      </w:r>
      <w:r>
        <w:rPr>
          <w:rFonts w:ascii="Calibri" w:hAnsi="Calibri"/>
          <w:b/>
          <w:lang w:val="en-GB" w:eastAsia="zh-CN"/>
        </w:rPr>
        <w:t xml:space="preserve">with a value range between 0 and </w:t>
      </w:r>
      <w:proofErr w:type="gramStart"/>
      <w:r>
        <w:rPr>
          <w:rFonts w:ascii="Calibri" w:hAnsi="Calibri"/>
          <w:b/>
          <w:lang w:val="en-GB" w:eastAsia="zh-CN"/>
        </w:rPr>
        <w:t>min(</w:t>
      </w:r>
      <w:proofErr w:type="gramEnd"/>
      <w:r>
        <w:rPr>
          <w:rFonts w:ascii="Calibri" w:hAnsi="Calibri"/>
          <w:b/>
          <w:lang w:val="en-GB" w:eastAsia="zh-CN"/>
        </w:rPr>
        <w:t xml:space="preserve">TA value range). </w:t>
      </w:r>
    </w:p>
    <w:p w:rsidR="005C64E4" w:rsidRDefault="005C64E4" w:rsidP="00B57126">
      <w:pPr>
        <w:spacing w:before="0" w:after="0" w:line="288" w:lineRule="auto"/>
        <w:rPr>
          <w:rFonts w:ascii="Calibri" w:hAnsi="Calibri"/>
          <w:color w:val="000000"/>
          <w:kern w:val="24"/>
        </w:rPr>
      </w:pPr>
    </w:p>
    <w:p w:rsidR="007A3BD6" w:rsidRDefault="005C64E4" w:rsidP="00B57126">
      <w:pPr>
        <w:spacing w:before="0" w:after="0" w:line="288" w:lineRule="auto"/>
        <w:rPr>
          <w:rFonts w:ascii="Calibri" w:hAnsi="Calibri"/>
          <w:color w:val="000000"/>
          <w:kern w:val="24"/>
        </w:rPr>
      </w:pPr>
      <w:r>
        <w:rPr>
          <w:rFonts w:ascii="Calibri" w:hAnsi="Calibri"/>
          <w:color w:val="000000"/>
          <w:kern w:val="24"/>
        </w:rPr>
        <w:t xml:space="preserve">In addition, since the value of </w:t>
      </w:r>
      <w:proofErr w:type="spellStart"/>
      <w:r>
        <w:rPr>
          <w:rFonts w:ascii="Calibri" w:hAnsi="Calibri"/>
          <w:color w:val="000000"/>
          <w:kern w:val="24"/>
        </w:rPr>
        <w:t>T_delta</w:t>
      </w:r>
      <w:proofErr w:type="spellEnd"/>
      <w:r>
        <w:rPr>
          <w:rFonts w:ascii="Calibri" w:hAnsi="Calibri"/>
          <w:color w:val="000000"/>
          <w:kern w:val="24"/>
        </w:rPr>
        <w:t xml:space="preserve"> may not change at the same rate or periodicity as TA, it can be provided with separate signaling from the TA on an aperiodic-basis.</w:t>
      </w:r>
    </w:p>
    <w:p w:rsidR="00992432" w:rsidRPr="00287D4D" w:rsidRDefault="005C64E4" w:rsidP="0091752F">
      <w:pPr>
        <w:rPr>
          <w:rFonts w:ascii="Calibri" w:hAnsi="Calibri"/>
          <w:b/>
          <w:color w:val="000000"/>
          <w:kern w:val="24"/>
        </w:rPr>
      </w:pPr>
      <w:r>
        <w:rPr>
          <w:rFonts w:ascii="Calibri" w:hAnsi="Calibri"/>
          <w:b/>
          <w:lang w:val="en-GB" w:eastAsia="zh-CN"/>
        </w:rPr>
        <w:t xml:space="preserve">Proposal 2: </w:t>
      </w:r>
      <w:proofErr w:type="spellStart"/>
      <w:r>
        <w:rPr>
          <w:rFonts w:ascii="Calibri" w:hAnsi="Calibri"/>
          <w:b/>
          <w:lang w:val="en-GB" w:eastAsia="zh-CN"/>
        </w:rPr>
        <w:t>T_delta</w:t>
      </w:r>
      <w:proofErr w:type="spellEnd"/>
      <w:r>
        <w:rPr>
          <w:rFonts w:ascii="Calibri" w:hAnsi="Calibri"/>
          <w:b/>
          <w:lang w:val="en-GB" w:eastAsia="zh-CN"/>
        </w:rPr>
        <w:t xml:space="preserve"> is provided independently of TA on an aperiodic basis.</w:t>
      </w:r>
    </w:p>
    <w:p w:rsidR="00175301" w:rsidRPr="0033513A" w:rsidRDefault="00175301" w:rsidP="00FB2665">
      <w:pPr>
        <w:pStyle w:val="maintext"/>
        <w:ind w:firstLineChars="0" w:firstLine="0"/>
      </w:pPr>
    </w:p>
    <w:p w:rsidR="007338D6" w:rsidRPr="00172743" w:rsidRDefault="003A566A" w:rsidP="00326FF6">
      <w:pPr>
        <w:pStyle w:val="Heading1"/>
      </w:pPr>
      <w:r w:rsidRPr="00172743">
        <w:t>Conclusion</w:t>
      </w:r>
    </w:p>
    <w:p w:rsidR="0091752F"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91752F">
        <w:rPr>
          <w:rFonts w:ascii="Calibri" w:hAnsi="Calibri"/>
        </w:rPr>
        <w:t>timing alignment for</w:t>
      </w:r>
      <w:r w:rsidR="003A553B">
        <w:rPr>
          <w:rFonts w:ascii="Calibri" w:hAnsi="Calibri"/>
        </w:rPr>
        <w:t xml:space="preserve"> </w:t>
      </w:r>
      <w:r w:rsidR="00C724F1">
        <w:rPr>
          <w:rFonts w:ascii="Calibri" w:hAnsi="Calibri"/>
        </w:rPr>
        <w:t>IAB</w:t>
      </w:r>
      <w:r w:rsidR="0091752F">
        <w:rPr>
          <w:rFonts w:ascii="Calibri" w:hAnsi="Calibri"/>
        </w:rPr>
        <w:t>. The following proposal</w:t>
      </w:r>
      <w:r w:rsidR="005C64E4">
        <w:rPr>
          <w:rFonts w:ascii="Calibri" w:hAnsi="Calibri"/>
        </w:rPr>
        <w:t>s</w:t>
      </w:r>
      <w:r w:rsidR="00E604D6">
        <w:rPr>
          <w:rFonts w:ascii="Calibri" w:hAnsi="Calibri"/>
        </w:rPr>
        <w:t xml:space="preserve"> w</w:t>
      </w:r>
      <w:r w:rsidR="005C64E4">
        <w:rPr>
          <w:rFonts w:ascii="Calibri" w:hAnsi="Calibri"/>
        </w:rPr>
        <w:t>ere</w:t>
      </w:r>
      <w:r w:rsidR="00E604D6">
        <w:rPr>
          <w:rFonts w:ascii="Calibri" w:hAnsi="Calibri"/>
        </w:rPr>
        <w:t xml:space="preserve"> made</w:t>
      </w:r>
      <w:r>
        <w:rPr>
          <w:rFonts w:ascii="Calibri" w:hAnsi="Calibri"/>
        </w:rPr>
        <w:t>:</w:t>
      </w:r>
    </w:p>
    <w:p w:rsidR="005C64E4" w:rsidRDefault="005C64E4" w:rsidP="005C64E4">
      <w:pPr>
        <w:rPr>
          <w:rFonts w:ascii="Calibri" w:hAnsi="Calibri"/>
          <w:b/>
          <w:lang w:val="en-GB" w:eastAsia="zh-CN"/>
        </w:rPr>
      </w:pPr>
      <w:r w:rsidRPr="003141F5">
        <w:rPr>
          <w:rFonts w:ascii="Calibri" w:hAnsi="Calibri"/>
          <w:b/>
          <w:lang w:val="en-GB" w:eastAsia="zh-CN"/>
        </w:rPr>
        <w:t xml:space="preserve">Proposal </w:t>
      </w:r>
      <w:r>
        <w:rPr>
          <w:rFonts w:ascii="Calibri" w:hAnsi="Calibri"/>
          <w:b/>
          <w:lang w:val="en-GB" w:eastAsia="zh-CN"/>
        </w:rPr>
        <w:t>1</w:t>
      </w:r>
      <w:r w:rsidRPr="003141F5">
        <w:rPr>
          <w:rFonts w:ascii="Calibri" w:hAnsi="Calibri"/>
          <w:b/>
          <w:lang w:val="en-GB" w:eastAsia="zh-CN"/>
        </w:rPr>
        <w:t xml:space="preserve">: </w:t>
      </w:r>
      <w:r>
        <w:rPr>
          <w:rFonts w:ascii="Calibri" w:hAnsi="Calibri"/>
          <w:b/>
          <w:lang w:val="en-GB" w:eastAsia="zh-CN"/>
        </w:rPr>
        <w:t>Explicit signalling is provided from the parent to an IAB-node DU</w:t>
      </w:r>
      <w:r w:rsidRPr="003141F5">
        <w:rPr>
          <w:rFonts w:ascii="Calibri" w:hAnsi="Calibri"/>
          <w:b/>
          <w:lang w:val="en-GB" w:eastAsia="zh-CN"/>
        </w:rPr>
        <w:t xml:space="preserve"> </w:t>
      </w:r>
      <w:r>
        <w:rPr>
          <w:rFonts w:ascii="Calibri" w:hAnsi="Calibri"/>
          <w:b/>
          <w:lang w:val="en-GB" w:eastAsia="zh-CN"/>
        </w:rPr>
        <w:t>indicating the value of</w:t>
      </w:r>
      <w:r w:rsidRPr="003141F5">
        <w:rPr>
          <w:rFonts w:ascii="Calibri" w:hAnsi="Calibri"/>
          <w:b/>
          <w:lang w:val="en-GB" w:eastAsia="zh-CN"/>
        </w:rPr>
        <w:t xml:space="preserve"> </w:t>
      </w:r>
      <w:proofErr w:type="spellStart"/>
      <w:r>
        <w:rPr>
          <w:rFonts w:ascii="Calibri" w:hAnsi="Calibri"/>
          <w:b/>
          <w:lang w:val="en-GB" w:eastAsia="zh-CN"/>
        </w:rPr>
        <w:t>T_delta</w:t>
      </w:r>
      <w:proofErr w:type="spellEnd"/>
      <w:r w:rsidRPr="003141F5">
        <w:rPr>
          <w:rFonts w:ascii="Calibri" w:hAnsi="Calibri"/>
          <w:b/>
          <w:lang w:val="en-GB" w:eastAsia="zh-CN"/>
        </w:rPr>
        <w:t xml:space="preserve"> </w:t>
      </w:r>
      <w:r>
        <w:rPr>
          <w:rFonts w:ascii="Calibri" w:hAnsi="Calibri"/>
          <w:b/>
          <w:lang w:val="en-GB" w:eastAsia="zh-CN"/>
        </w:rPr>
        <w:t xml:space="preserve">with a value range between 0 and </w:t>
      </w:r>
      <w:proofErr w:type="gramStart"/>
      <w:r>
        <w:rPr>
          <w:rFonts w:ascii="Calibri" w:hAnsi="Calibri"/>
          <w:b/>
          <w:lang w:val="en-GB" w:eastAsia="zh-CN"/>
        </w:rPr>
        <w:t>min(</w:t>
      </w:r>
      <w:proofErr w:type="gramEnd"/>
      <w:r>
        <w:rPr>
          <w:rFonts w:ascii="Calibri" w:hAnsi="Calibri"/>
          <w:b/>
          <w:lang w:val="en-GB" w:eastAsia="zh-CN"/>
        </w:rPr>
        <w:t xml:space="preserve">TA value range). </w:t>
      </w:r>
    </w:p>
    <w:p w:rsidR="005C64E4" w:rsidRPr="00287D4D" w:rsidRDefault="005C64E4" w:rsidP="005C64E4">
      <w:pPr>
        <w:rPr>
          <w:rFonts w:ascii="Calibri" w:hAnsi="Calibri"/>
          <w:b/>
          <w:color w:val="000000"/>
          <w:kern w:val="24"/>
        </w:rPr>
      </w:pPr>
      <w:r>
        <w:rPr>
          <w:rFonts w:ascii="Calibri" w:hAnsi="Calibri"/>
          <w:b/>
          <w:lang w:val="en-GB" w:eastAsia="zh-CN"/>
        </w:rPr>
        <w:t xml:space="preserve">Proposal 2: </w:t>
      </w:r>
      <w:proofErr w:type="spellStart"/>
      <w:r>
        <w:rPr>
          <w:rFonts w:ascii="Calibri" w:hAnsi="Calibri"/>
          <w:b/>
          <w:lang w:val="en-GB" w:eastAsia="zh-CN"/>
        </w:rPr>
        <w:t>T_delta</w:t>
      </w:r>
      <w:proofErr w:type="spellEnd"/>
      <w:r>
        <w:rPr>
          <w:rFonts w:ascii="Calibri" w:hAnsi="Calibri"/>
          <w:b/>
          <w:lang w:val="en-GB" w:eastAsia="zh-CN"/>
        </w:rPr>
        <w:t xml:space="preserve"> is provided independently of TA on an aperiodic basis.</w:t>
      </w:r>
    </w:p>
    <w:p w:rsidR="00FE6C15" w:rsidRPr="0076067D" w:rsidRDefault="00FE6C15" w:rsidP="0076067D">
      <w:pPr>
        <w:pStyle w:val="Heading1"/>
      </w:pPr>
      <w:r>
        <w:t>Reference</w:t>
      </w:r>
    </w:p>
    <w:p w:rsidR="00C45853" w:rsidRDefault="00C45853" w:rsidP="00C45853">
      <w:pPr>
        <w:pStyle w:val="2222"/>
        <w:spacing w:after="120" w:line="288" w:lineRule="auto"/>
        <w:ind w:firstLineChars="0" w:firstLine="0"/>
        <w:jc w:val="left"/>
        <w:rPr>
          <w:rFonts w:cs="Times New Roman"/>
          <w:lang w:eastAsia="ko-KR"/>
        </w:rPr>
      </w:pPr>
      <w:r>
        <w:rPr>
          <w:rFonts w:cs="Times New Roman"/>
          <w:lang w:eastAsia="ko-KR"/>
        </w:rPr>
        <w:t xml:space="preserve">[1] RP-182882, </w:t>
      </w:r>
      <w:r w:rsidRPr="004131D6">
        <w:rPr>
          <w:rFonts w:cs="Times New Roman"/>
          <w:lang w:eastAsia="ko-KR"/>
        </w:rPr>
        <w:t>New WID: Integrated Access and Backhaul for NR</w:t>
      </w:r>
      <w:r>
        <w:rPr>
          <w:rFonts w:cs="Times New Roman"/>
          <w:lang w:eastAsia="ko-KR"/>
        </w:rPr>
        <w:t>, Qualcomm</w:t>
      </w:r>
    </w:p>
    <w:p w:rsidR="00FE6C15" w:rsidRPr="00B12672" w:rsidRDefault="00C45853" w:rsidP="005C64E4">
      <w:pPr>
        <w:pStyle w:val="2222"/>
        <w:spacing w:after="120" w:line="288" w:lineRule="auto"/>
        <w:ind w:firstLineChars="0" w:firstLine="0"/>
        <w:jc w:val="left"/>
        <w:rPr>
          <w:rFonts w:ascii="Calibri" w:hAnsi="Calibri" w:cs="Arial"/>
          <w:b/>
        </w:rPr>
      </w:pPr>
      <w:r>
        <w:rPr>
          <w:rFonts w:cs="Times New Roman"/>
          <w:lang w:eastAsia="ko-KR"/>
        </w:rPr>
        <w:t xml:space="preserve">[2] TR 38.874 1.0.0, </w:t>
      </w:r>
      <w:r>
        <w:rPr>
          <w:rFonts w:cs="Arial"/>
        </w:rPr>
        <w:t>Study on Integrated Access and Backhaul</w:t>
      </w: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7FA5" w:rsidRDefault="00C67FA5" w:rsidP="00424124">
      <w:pPr>
        <w:spacing w:before="0" w:after="0"/>
      </w:pPr>
      <w:r>
        <w:separator/>
      </w:r>
    </w:p>
  </w:endnote>
  <w:endnote w:type="continuationSeparator" w:id="0">
    <w:p w:rsidR="00C67FA5" w:rsidRDefault="00C67FA5"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7FA5" w:rsidRDefault="00C67FA5" w:rsidP="00424124">
      <w:pPr>
        <w:spacing w:before="0" w:after="0"/>
      </w:pPr>
      <w:r>
        <w:separator/>
      </w:r>
    </w:p>
  </w:footnote>
  <w:footnote w:type="continuationSeparator" w:id="0">
    <w:p w:rsidR="00C67FA5" w:rsidRDefault="00C67FA5"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60F2B"/>
    <w:multiLevelType w:val="hybridMultilevel"/>
    <w:tmpl w:val="B3F8AE6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4"/>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5"/>
  </w:num>
  <w:num w:numId="8">
    <w:abstractNumId w:val="12"/>
  </w:num>
  <w:num w:numId="9">
    <w:abstractNumId w:val="2"/>
  </w:num>
  <w:num w:numId="10">
    <w:abstractNumId w:val="3"/>
  </w:num>
  <w:num w:numId="11">
    <w:abstractNumId w:val="15"/>
  </w:num>
  <w:num w:numId="12">
    <w:abstractNumId w:val="8"/>
  </w:num>
  <w:num w:numId="13">
    <w:abstractNumId w:val="9"/>
  </w:num>
  <w:num w:numId="14">
    <w:abstractNumId w:val="20"/>
  </w:num>
  <w:num w:numId="15">
    <w:abstractNumId w:val="1"/>
  </w:num>
  <w:num w:numId="16">
    <w:abstractNumId w:val="18"/>
  </w:num>
  <w:num w:numId="17">
    <w:abstractNumId w:val="13"/>
  </w:num>
  <w:num w:numId="18">
    <w:abstractNumId w:val="10"/>
  </w:num>
  <w:num w:numId="19">
    <w:abstractNumId w:val="19"/>
  </w:num>
  <w:num w:numId="20">
    <w:abstractNumId w:val="17"/>
  </w:num>
  <w:num w:numId="2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485D"/>
    <w:rsid w:val="000149EC"/>
    <w:rsid w:val="00020F1A"/>
    <w:rsid w:val="00032D47"/>
    <w:rsid w:val="000337FC"/>
    <w:rsid w:val="000440EF"/>
    <w:rsid w:val="000463E4"/>
    <w:rsid w:val="00051B4B"/>
    <w:rsid w:val="00051EBB"/>
    <w:rsid w:val="0005289E"/>
    <w:rsid w:val="000550BC"/>
    <w:rsid w:val="00057E9B"/>
    <w:rsid w:val="000643FA"/>
    <w:rsid w:val="00070728"/>
    <w:rsid w:val="000730C9"/>
    <w:rsid w:val="0007575F"/>
    <w:rsid w:val="00075B2C"/>
    <w:rsid w:val="00075FD1"/>
    <w:rsid w:val="00077712"/>
    <w:rsid w:val="00085800"/>
    <w:rsid w:val="000865E3"/>
    <w:rsid w:val="000917C5"/>
    <w:rsid w:val="00097605"/>
    <w:rsid w:val="00097DC6"/>
    <w:rsid w:val="000A36A9"/>
    <w:rsid w:val="000B0720"/>
    <w:rsid w:val="000B58AF"/>
    <w:rsid w:val="000B6D99"/>
    <w:rsid w:val="000C05C0"/>
    <w:rsid w:val="000C21D0"/>
    <w:rsid w:val="000C57B9"/>
    <w:rsid w:val="000D38DC"/>
    <w:rsid w:val="000E29D8"/>
    <w:rsid w:val="000F259D"/>
    <w:rsid w:val="0010303E"/>
    <w:rsid w:val="0011327D"/>
    <w:rsid w:val="00116DA6"/>
    <w:rsid w:val="001279BC"/>
    <w:rsid w:val="00137E15"/>
    <w:rsid w:val="001417A8"/>
    <w:rsid w:val="00153793"/>
    <w:rsid w:val="00172743"/>
    <w:rsid w:val="00175301"/>
    <w:rsid w:val="001A5A68"/>
    <w:rsid w:val="001A6212"/>
    <w:rsid w:val="001A75E0"/>
    <w:rsid w:val="001B731B"/>
    <w:rsid w:val="001C4ACE"/>
    <w:rsid w:val="001C699C"/>
    <w:rsid w:val="001E02F3"/>
    <w:rsid w:val="001E0CE1"/>
    <w:rsid w:val="001E58CC"/>
    <w:rsid w:val="001F02DD"/>
    <w:rsid w:val="001F2A01"/>
    <w:rsid w:val="001F59ED"/>
    <w:rsid w:val="002013B3"/>
    <w:rsid w:val="00201870"/>
    <w:rsid w:val="00211D37"/>
    <w:rsid w:val="00212204"/>
    <w:rsid w:val="0021262A"/>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77973"/>
    <w:rsid w:val="00287D4D"/>
    <w:rsid w:val="0029112F"/>
    <w:rsid w:val="0029147A"/>
    <w:rsid w:val="002934A0"/>
    <w:rsid w:val="00297225"/>
    <w:rsid w:val="002A005E"/>
    <w:rsid w:val="002A0270"/>
    <w:rsid w:val="002A66E2"/>
    <w:rsid w:val="002B6E52"/>
    <w:rsid w:val="002C0488"/>
    <w:rsid w:val="002C4097"/>
    <w:rsid w:val="002C594E"/>
    <w:rsid w:val="002D3D42"/>
    <w:rsid w:val="002D479B"/>
    <w:rsid w:val="002D6EC9"/>
    <w:rsid w:val="002D787B"/>
    <w:rsid w:val="002E188B"/>
    <w:rsid w:val="002E65B5"/>
    <w:rsid w:val="002F2F26"/>
    <w:rsid w:val="002F4C25"/>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727DB"/>
    <w:rsid w:val="00385177"/>
    <w:rsid w:val="00386642"/>
    <w:rsid w:val="00392176"/>
    <w:rsid w:val="003921D6"/>
    <w:rsid w:val="003A0594"/>
    <w:rsid w:val="003A298A"/>
    <w:rsid w:val="003A553B"/>
    <w:rsid w:val="003A566A"/>
    <w:rsid w:val="003B1EC9"/>
    <w:rsid w:val="003B5456"/>
    <w:rsid w:val="003C2392"/>
    <w:rsid w:val="003C2E75"/>
    <w:rsid w:val="003E1304"/>
    <w:rsid w:val="003E35D4"/>
    <w:rsid w:val="003E7121"/>
    <w:rsid w:val="003F0731"/>
    <w:rsid w:val="003F33B4"/>
    <w:rsid w:val="004011AC"/>
    <w:rsid w:val="00405F6D"/>
    <w:rsid w:val="00424124"/>
    <w:rsid w:val="00434212"/>
    <w:rsid w:val="00440F6E"/>
    <w:rsid w:val="00443645"/>
    <w:rsid w:val="00443CD6"/>
    <w:rsid w:val="004552C9"/>
    <w:rsid w:val="004607AC"/>
    <w:rsid w:val="0046127E"/>
    <w:rsid w:val="00466E46"/>
    <w:rsid w:val="004678E1"/>
    <w:rsid w:val="004709B7"/>
    <w:rsid w:val="00473281"/>
    <w:rsid w:val="00473B68"/>
    <w:rsid w:val="00474C1F"/>
    <w:rsid w:val="0048301B"/>
    <w:rsid w:val="004A5ABE"/>
    <w:rsid w:val="004A6424"/>
    <w:rsid w:val="004A69D0"/>
    <w:rsid w:val="004A6A82"/>
    <w:rsid w:val="004B6AA8"/>
    <w:rsid w:val="004B6E00"/>
    <w:rsid w:val="004C130E"/>
    <w:rsid w:val="004C186B"/>
    <w:rsid w:val="004C38DD"/>
    <w:rsid w:val="004C3F2E"/>
    <w:rsid w:val="004C4856"/>
    <w:rsid w:val="004C6DC3"/>
    <w:rsid w:val="004C6ED8"/>
    <w:rsid w:val="004C7784"/>
    <w:rsid w:val="004D453B"/>
    <w:rsid w:val="004D780D"/>
    <w:rsid w:val="004D7CF8"/>
    <w:rsid w:val="004E6BC0"/>
    <w:rsid w:val="004E6D3B"/>
    <w:rsid w:val="004F44B8"/>
    <w:rsid w:val="005007E9"/>
    <w:rsid w:val="00504C05"/>
    <w:rsid w:val="00504E5F"/>
    <w:rsid w:val="005055A6"/>
    <w:rsid w:val="00507060"/>
    <w:rsid w:val="0051179B"/>
    <w:rsid w:val="00512838"/>
    <w:rsid w:val="0051424F"/>
    <w:rsid w:val="00516006"/>
    <w:rsid w:val="00523623"/>
    <w:rsid w:val="005300F0"/>
    <w:rsid w:val="005363F5"/>
    <w:rsid w:val="00541819"/>
    <w:rsid w:val="0054560C"/>
    <w:rsid w:val="00545FD3"/>
    <w:rsid w:val="0055464C"/>
    <w:rsid w:val="0056238B"/>
    <w:rsid w:val="00565BDB"/>
    <w:rsid w:val="005666A4"/>
    <w:rsid w:val="0057145F"/>
    <w:rsid w:val="00575859"/>
    <w:rsid w:val="005758E7"/>
    <w:rsid w:val="005778C8"/>
    <w:rsid w:val="0058120D"/>
    <w:rsid w:val="00594501"/>
    <w:rsid w:val="005A18B4"/>
    <w:rsid w:val="005A60B4"/>
    <w:rsid w:val="005B47BD"/>
    <w:rsid w:val="005B69C2"/>
    <w:rsid w:val="005B6FA6"/>
    <w:rsid w:val="005C64E4"/>
    <w:rsid w:val="005D2C51"/>
    <w:rsid w:val="005F21BF"/>
    <w:rsid w:val="005F613D"/>
    <w:rsid w:val="00600F57"/>
    <w:rsid w:val="00603015"/>
    <w:rsid w:val="0060603E"/>
    <w:rsid w:val="00632789"/>
    <w:rsid w:val="00633934"/>
    <w:rsid w:val="00634707"/>
    <w:rsid w:val="00636F9E"/>
    <w:rsid w:val="006439F2"/>
    <w:rsid w:val="00644034"/>
    <w:rsid w:val="006477B7"/>
    <w:rsid w:val="00652AC8"/>
    <w:rsid w:val="0065437E"/>
    <w:rsid w:val="0066157D"/>
    <w:rsid w:val="006703A8"/>
    <w:rsid w:val="0067125A"/>
    <w:rsid w:val="00671E30"/>
    <w:rsid w:val="006756FB"/>
    <w:rsid w:val="00677BD0"/>
    <w:rsid w:val="00685B82"/>
    <w:rsid w:val="00685E11"/>
    <w:rsid w:val="0069705B"/>
    <w:rsid w:val="006A0EDC"/>
    <w:rsid w:val="006A18DB"/>
    <w:rsid w:val="006A2D2E"/>
    <w:rsid w:val="006B67B9"/>
    <w:rsid w:val="006C0BAC"/>
    <w:rsid w:val="006C452E"/>
    <w:rsid w:val="006C7692"/>
    <w:rsid w:val="006D6ABC"/>
    <w:rsid w:val="006E790B"/>
    <w:rsid w:val="006F055C"/>
    <w:rsid w:val="006F52D9"/>
    <w:rsid w:val="00702C40"/>
    <w:rsid w:val="00707D20"/>
    <w:rsid w:val="00710F58"/>
    <w:rsid w:val="00713175"/>
    <w:rsid w:val="00713382"/>
    <w:rsid w:val="00714B77"/>
    <w:rsid w:val="00714CA5"/>
    <w:rsid w:val="00721AD7"/>
    <w:rsid w:val="007225EF"/>
    <w:rsid w:val="00722BA6"/>
    <w:rsid w:val="00723DC5"/>
    <w:rsid w:val="00726B84"/>
    <w:rsid w:val="00727952"/>
    <w:rsid w:val="007316AF"/>
    <w:rsid w:val="007338D6"/>
    <w:rsid w:val="00740B36"/>
    <w:rsid w:val="00745452"/>
    <w:rsid w:val="00747A6F"/>
    <w:rsid w:val="0075622F"/>
    <w:rsid w:val="0076067D"/>
    <w:rsid w:val="00782CDC"/>
    <w:rsid w:val="007839F9"/>
    <w:rsid w:val="00784132"/>
    <w:rsid w:val="00786229"/>
    <w:rsid w:val="0078708D"/>
    <w:rsid w:val="00787145"/>
    <w:rsid w:val="00791D57"/>
    <w:rsid w:val="007A2765"/>
    <w:rsid w:val="007A3BD6"/>
    <w:rsid w:val="007B13E5"/>
    <w:rsid w:val="007B2F6B"/>
    <w:rsid w:val="007B473A"/>
    <w:rsid w:val="007C4B85"/>
    <w:rsid w:val="007D0BB2"/>
    <w:rsid w:val="007D2C48"/>
    <w:rsid w:val="007E546F"/>
    <w:rsid w:val="007F0AF3"/>
    <w:rsid w:val="007F1928"/>
    <w:rsid w:val="007F392E"/>
    <w:rsid w:val="00802E6C"/>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B39B6"/>
    <w:rsid w:val="008C1AFD"/>
    <w:rsid w:val="008C4B67"/>
    <w:rsid w:val="008D1AEF"/>
    <w:rsid w:val="008E48C2"/>
    <w:rsid w:val="008F0D8C"/>
    <w:rsid w:val="008F2160"/>
    <w:rsid w:val="008F72DB"/>
    <w:rsid w:val="00901B67"/>
    <w:rsid w:val="00905E86"/>
    <w:rsid w:val="009124E4"/>
    <w:rsid w:val="0091752F"/>
    <w:rsid w:val="00917D0F"/>
    <w:rsid w:val="00924EA9"/>
    <w:rsid w:val="00925FA2"/>
    <w:rsid w:val="00926A9C"/>
    <w:rsid w:val="00927803"/>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7E4E"/>
    <w:rsid w:val="009A4D63"/>
    <w:rsid w:val="009A54FC"/>
    <w:rsid w:val="009B08C5"/>
    <w:rsid w:val="009B52C0"/>
    <w:rsid w:val="009B75E8"/>
    <w:rsid w:val="009C2167"/>
    <w:rsid w:val="009D46C1"/>
    <w:rsid w:val="009E0D02"/>
    <w:rsid w:val="009E4418"/>
    <w:rsid w:val="009E5838"/>
    <w:rsid w:val="00A0235E"/>
    <w:rsid w:val="00A04526"/>
    <w:rsid w:val="00A11704"/>
    <w:rsid w:val="00A11840"/>
    <w:rsid w:val="00A21D13"/>
    <w:rsid w:val="00A22671"/>
    <w:rsid w:val="00A22C61"/>
    <w:rsid w:val="00A262E4"/>
    <w:rsid w:val="00A26EC3"/>
    <w:rsid w:val="00A300E0"/>
    <w:rsid w:val="00A359C7"/>
    <w:rsid w:val="00A41CF3"/>
    <w:rsid w:val="00A456B1"/>
    <w:rsid w:val="00A4674D"/>
    <w:rsid w:val="00A547CE"/>
    <w:rsid w:val="00A55FF3"/>
    <w:rsid w:val="00A603CE"/>
    <w:rsid w:val="00A64CF7"/>
    <w:rsid w:val="00A72B33"/>
    <w:rsid w:val="00A821EA"/>
    <w:rsid w:val="00A8721E"/>
    <w:rsid w:val="00A92495"/>
    <w:rsid w:val="00AA5160"/>
    <w:rsid w:val="00AA5899"/>
    <w:rsid w:val="00AB0589"/>
    <w:rsid w:val="00AB75A3"/>
    <w:rsid w:val="00AB7FC6"/>
    <w:rsid w:val="00AC05AE"/>
    <w:rsid w:val="00AD115D"/>
    <w:rsid w:val="00AD16AE"/>
    <w:rsid w:val="00AD6C53"/>
    <w:rsid w:val="00AE72F4"/>
    <w:rsid w:val="00AF0A4B"/>
    <w:rsid w:val="00AF4BBC"/>
    <w:rsid w:val="00AF65DE"/>
    <w:rsid w:val="00B04278"/>
    <w:rsid w:val="00B12672"/>
    <w:rsid w:val="00B2434D"/>
    <w:rsid w:val="00B24D29"/>
    <w:rsid w:val="00B32216"/>
    <w:rsid w:val="00B34716"/>
    <w:rsid w:val="00B3707E"/>
    <w:rsid w:val="00B55FA2"/>
    <w:rsid w:val="00B57126"/>
    <w:rsid w:val="00B61A13"/>
    <w:rsid w:val="00B6232D"/>
    <w:rsid w:val="00B648CA"/>
    <w:rsid w:val="00B74894"/>
    <w:rsid w:val="00B749FB"/>
    <w:rsid w:val="00B75FF7"/>
    <w:rsid w:val="00B82B83"/>
    <w:rsid w:val="00B909F7"/>
    <w:rsid w:val="00B96A24"/>
    <w:rsid w:val="00BA677D"/>
    <w:rsid w:val="00BA6FDB"/>
    <w:rsid w:val="00BB02ED"/>
    <w:rsid w:val="00BB3CBF"/>
    <w:rsid w:val="00BB5132"/>
    <w:rsid w:val="00BC31F9"/>
    <w:rsid w:val="00BC6F83"/>
    <w:rsid w:val="00BC704C"/>
    <w:rsid w:val="00BD15E1"/>
    <w:rsid w:val="00BD34B4"/>
    <w:rsid w:val="00BE26B4"/>
    <w:rsid w:val="00BF2C5D"/>
    <w:rsid w:val="00BF31E3"/>
    <w:rsid w:val="00BF5F1C"/>
    <w:rsid w:val="00C07731"/>
    <w:rsid w:val="00C17E83"/>
    <w:rsid w:val="00C218A9"/>
    <w:rsid w:val="00C261F4"/>
    <w:rsid w:val="00C40BE6"/>
    <w:rsid w:val="00C45853"/>
    <w:rsid w:val="00C47EE0"/>
    <w:rsid w:val="00C534CA"/>
    <w:rsid w:val="00C63006"/>
    <w:rsid w:val="00C67568"/>
    <w:rsid w:val="00C67FA5"/>
    <w:rsid w:val="00C7007B"/>
    <w:rsid w:val="00C71871"/>
    <w:rsid w:val="00C724F1"/>
    <w:rsid w:val="00C735F1"/>
    <w:rsid w:val="00C76F7D"/>
    <w:rsid w:val="00C913B6"/>
    <w:rsid w:val="00C91C5E"/>
    <w:rsid w:val="00C92E44"/>
    <w:rsid w:val="00CA6EA3"/>
    <w:rsid w:val="00CB15A7"/>
    <w:rsid w:val="00CB6D97"/>
    <w:rsid w:val="00CC09CE"/>
    <w:rsid w:val="00CD7B54"/>
    <w:rsid w:val="00CE0C9D"/>
    <w:rsid w:val="00CE1FF5"/>
    <w:rsid w:val="00D10682"/>
    <w:rsid w:val="00D134C5"/>
    <w:rsid w:val="00D23CDC"/>
    <w:rsid w:val="00D26593"/>
    <w:rsid w:val="00D268EB"/>
    <w:rsid w:val="00D26CFF"/>
    <w:rsid w:val="00D274C6"/>
    <w:rsid w:val="00D37270"/>
    <w:rsid w:val="00D446F1"/>
    <w:rsid w:val="00D456D8"/>
    <w:rsid w:val="00D45A0E"/>
    <w:rsid w:val="00D4645D"/>
    <w:rsid w:val="00D4758C"/>
    <w:rsid w:val="00D50169"/>
    <w:rsid w:val="00D5391C"/>
    <w:rsid w:val="00D55400"/>
    <w:rsid w:val="00D55FAB"/>
    <w:rsid w:val="00D56786"/>
    <w:rsid w:val="00D61EAB"/>
    <w:rsid w:val="00D701D3"/>
    <w:rsid w:val="00D724F9"/>
    <w:rsid w:val="00D7445F"/>
    <w:rsid w:val="00D865A8"/>
    <w:rsid w:val="00D91E8D"/>
    <w:rsid w:val="00D92B1D"/>
    <w:rsid w:val="00DB0323"/>
    <w:rsid w:val="00DB1FA7"/>
    <w:rsid w:val="00DB3BFC"/>
    <w:rsid w:val="00DC0E31"/>
    <w:rsid w:val="00DC4DD7"/>
    <w:rsid w:val="00DC70D0"/>
    <w:rsid w:val="00DC7DD6"/>
    <w:rsid w:val="00DD3971"/>
    <w:rsid w:val="00DE2A3F"/>
    <w:rsid w:val="00DF5F45"/>
    <w:rsid w:val="00E03E65"/>
    <w:rsid w:val="00E13146"/>
    <w:rsid w:val="00E174FC"/>
    <w:rsid w:val="00E20070"/>
    <w:rsid w:val="00E20994"/>
    <w:rsid w:val="00E22124"/>
    <w:rsid w:val="00E261AD"/>
    <w:rsid w:val="00E324C0"/>
    <w:rsid w:val="00E40344"/>
    <w:rsid w:val="00E46D61"/>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E2068"/>
    <w:rsid w:val="00EE4A18"/>
    <w:rsid w:val="00EF1F69"/>
    <w:rsid w:val="00EF61D1"/>
    <w:rsid w:val="00F05333"/>
    <w:rsid w:val="00F1311C"/>
    <w:rsid w:val="00F154D0"/>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7E12"/>
    <w:rsid w:val="00F814DE"/>
    <w:rsid w:val="00F86EE6"/>
    <w:rsid w:val="00F90045"/>
    <w:rsid w:val="00F925FE"/>
    <w:rsid w:val="00F959A1"/>
    <w:rsid w:val="00FA0472"/>
    <w:rsid w:val="00FA28D1"/>
    <w:rsid w:val="00FA6558"/>
    <w:rsid w:val="00FB2665"/>
    <w:rsid w:val="00FC3DE0"/>
    <w:rsid w:val="00FC61FD"/>
    <w:rsid w:val="00FD2C8C"/>
    <w:rsid w:val="00FD489B"/>
    <w:rsid w:val="00FD530D"/>
    <w:rsid w:val="00FD6F1A"/>
    <w:rsid w:val="00FD791D"/>
    <w:rsid w:val="00FE0217"/>
    <w:rsid w:val="00FE6C15"/>
    <w:rsid w:val="00FF02B6"/>
    <w:rsid w:val="00FF1DFC"/>
    <w:rsid w:val="00FF2BAD"/>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38523208">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BD825-327B-4335-9CD3-B7B1EFDD0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630</Words>
  <Characters>3592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4214</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(AT&amp;T)</cp:lastModifiedBy>
  <cp:revision>2</cp:revision>
  <cp:lastPrinted>2018-09-28T20:14:00Z</cp:lastPrinted>
  <dcterms:created xsi:type="dcterms:W3CDTF">2019-02-15T18:28:00Z</dcterms:created>
  <dcterms:modified xsi:type="dcterms:W3CDTF">2019-02-15T18:28:00Z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