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5950" w14:textId="6F0049F5" w:rsidR="0079063A" w:rsidRPr="00CB3E1A" w:rsidRDefault="0079063A" w:rsidP="0079063A">
      <w:pPr>
        <w:pStyle w:val="Header"/>
        <w:widowControl w:val="0"/>
        <w:rPr>
          <w:rFonts w:ascii="Arial" w:hAnsi="Arial" w:cs="Arial"/>
          <w:b/>
          <w:bCs/>
          <w:lang w:eastAsia="zh-CN"/>
        </w:rPr>
      </w:pPr>
      <w:r w:rsidRPr="00E34DDA">
        <w:rPr>
          <w:rFonts w:ascii="Arial" w:hAnsi="Arial" w:cs="Arial"/>
          <w:b/>
          <w:bCs/>
          <w:lang w:val="en-GB"/>
        </w:rPr>
        <w:t xml:space="preserve">3GPP TSG RAN WG1 </w:t>
      </w:r>
      <w:r>
        <w:rPr>
          <w:rFonts w:ascii="Arial" w:hAnsi="Arial" w:cs="Arial"/>
          <w:b/>
          <w:bCs/>
          <w:lang w:val="en-GB"/>
        </w:rPr>
        <w:t xml:space="preserve">Meeting </w:t>
      </w:r>
      <w:r w:rsidRPr="00DE124B">
        <w:rPr>
          <w:rFonts w:ascii="Arial" w:hAnsi="Arial" w:cs="Arial"/>
          <w:b/>
          <w:bCs/>
          <w:lang w:val="en-GB"/>
        </w:rPr>
        <w:t>9</w:t>
      </w:r>
      <w:r>
        <w:rPr>
          <w:rFonts w:ascii="Arial" w:hAnsi="Arial" w:cs="Arial"/>
          <w:b/>
          <w:bCs/>
          <w:lang w:val="en-GB"/>
        </w:rPr>
        <w:t xml:space="preserve">4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8</w:t>
      </w:r>
      <w:r w:rsidR="009B2A64">
        <w:rPr>
          <w:rFonts w:ascii="Arial" w:hAnsi="Arial" w:cs="Arial"/>
          <w:b/>
          <w:bCs/>
        </w:rPr>
        <w:t>09</w:t>
      </w:r>
      <w:r w:rsidR="00037E19">
        <w:rPr>
          <w:rFonts w:ascii="Arial" w:hAnsi="Arial" w:cs="Arial"/>
          <w:b/>
          <w:bCs/>
        </w:rPr>
        <w:t>492</w:t>
      </w:r>
    </w:p>
    <w:p w14:paraId="7FB42228" w14:textId="77777777" w:rsidR="0079063A" w:rsidRPr="00111FEE" w:rsidRDefault="0079063A" w:rsidP="0079063A">
      <w:pPr>
        <w:pStyle w:val="Header"/>
        <w:widowControl w:val="0"/>
        <w:rPr>
          <w:rFonts w:ascii="Arial" w:hAnsi="Arial" w:cs="Arial"/>
          <w:b/>
          <w:bCs/>
          <w:lang w:val="en-GB"/>
        </w:rPr>
      </w:pPr>
      <w:r w:rsidRPr="0012546E">
        <w:rPr>
          <w:rFonts w:ascii="Arial" w:eastAsia="MS Mincho" w:hAnsi="Arial" w:cs="Arial"/>
          <w:b/>
          <w:bCs/>
          <w:lang w:eastAsia="ja-JP"/>
        </w:rPr>
        <w:t>Gothenburg, Sweden, August 20th – 24th, 2018</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7.2.2.4.2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17F7BAD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413DB8">
        <w:rPr>
          <w:rFonts w:ascii="Arial" w:hAnsi="Arial" w:cs="Arial"/>
          <w:b/>
          <w:bCs/>
          <w:szCs w:val="20"/>
          <w:lang w:val="en-GB" w:eastAsia="zh-CN"/>
        </w:rPr>
        <w:t xml:space="preserve">Initial Access and </w:t>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5821BE">
      <w:pPr>
        <w:pStyle w:val="Heading1"/>
      </w:pPr>
      <w:bookmarkStart w:id="0" w:name="_Ref124589705"/>
      <w:bookmarkStart w:id="1" w:name="_Ref129681862"/>
      <w:r w:rsidRPr="005821BE">
        <w:t>Introduction</w:t>
      </w:r>
      <w:bookmarkEnd w:id="0"/>
      <w:bookmarkEnd w:id="1"/>
    </w:p>
    <w:p w14:paraId="3014AA3E" w14:textId="027C978C" w:rsidR="00AF73F5" w:rsidRPr="0000101E" w:rsidRDefault="005821BE" w:rsidP="00AF73F5">
      <w:pPr>
        <w:rPr>
          <w:lang w:val="en-GB" w:eastAsia="zh-CN"/>
        </w:rPr>
      </w:pPr>
      <w:r w:rsidRPr="009F5214">
        <w:rPr>
          <w:lang w:val="en-GB" w:eastAsia="zh-CN"/>
        </w:rPr>
        <w:t>In this document, we discuss SS/PBCH block (SSB) transmission, PDCCH monitoring occasions for SIB1 and paging, and 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14:paraId="23D3E730" w14:textId="1F16D56E" w:rsidR="001463A9" w:rsidRDefault="005821BE" w:rsidP="005821BE">
      <w:pPr>
        <w:pStyle w:val="Heading1"/>
      </w:pPr>
      <w:r>
        <w:t xml:space="preserve">SS/PBCH block </w:t>
      </w:r>
      <w:r w:rsidRPr="00A944F0">
        <w:t>transmission in unlicensed spectrum</w:t>
      </w:r>
    </w:p>
    <w:p w14:paraId="1358EE0A" w14:textId="77777777" w:rsidR="005821BE" w:rsidRPr="00B916EC" w:rsidRDefault="005821BE" w:rsidP="005821BE">
      <w:pPr>
        <w:rPr>
          <w:lang w:eastAsia="ja-JP"/>
        </w:rPr>
      </w:pPr>
      <w:r>
        <w:t>According to Rel-15 TS38.213 regarding NR operation in licensed spectrum, f</w:t>
      </w:r>
      <w:r w:rsidRPr="00B916EC">
        <w:t>or a half frame with SS/PBCH blocks, the first symbol indexes for candidate SS/PBCH blocks are determined according to the subcarrier spacing of SS/PBCH blocks as follows</w:t>
      </w:r>
      <w:r w:rsidRPr="00F827FD">
        <w:t xml:space="preserve">, </w:t>
      </w:r>
      <w:r w:rsidRPr="00F827FD">
        <w:rPr>
          <w:lang w:eastAsia="ja-JP"/>
        </w:rPr>
        <w:t>where index 0 corresponds to the first symbol of the first slot in a half-frame</w:t>
      </w:r>
      <w:r w:rsidRPr="00B916EC">
        <w:t xml:space="preserve">. </w:t>
      </w:r>
    </w:p>
    <w:p w14:paraId="55B0A1B1"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r w:rsidRPr="00B916EC">
        <w:t>{2, 8} + 14*n. For carrier frequencies smaller than or equal to 3 GHz, n=0, 1. For carrier frequencies larger than 3 GHz and smaller than or equal to 6 GHz, n=0, 1, 2, 3</w:t>
      </w:r>
      <w:r w:rsidRPr="00B916EC">
        <w:rPr>
          <w:lang w:eastAsia="ja-JP"/>
        </w:rPr>
        <w:t>.</w:t>
      </w:r>
    </w:p>
    <w:p w14:paraId="7437D5A5"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r w:rsidRPr="00B916EC">
        <w:t>{4, 8, 16, 20} + 28*n</w:t>
      </w:r>
      <w:r w:rsidRPr="00B916EC">
        <w:rPr>
          <w:lang w:eastAsia="ja-JP"/>
        </w:rPr>
        <w:t xml:space="preserve">. </w:t>
      </w:r>
      <w:r w:rsidRPr="00B916EC">
        <w:t>For carrier frequencies smaller than or equal to 3 GHz, n=0. For carrier frequencies larger than 3 GHz and smaller than or equal to 6 GHz, n=0, 1.</w:t>
      </w:r>
    </w:p>
    <w:p w14:paraId="1D0C0CAF"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C - 30 kHz subcarrier spacing: the first symbols of the candidate SS/PBCH blocks have indexes </w:t>
      </w:r>
      <w:r w:rsidRPr="00B916EC">
        <w:t>{2, 8} + 14*n</w:t>
      </w:r>
      <w:r w:rsidRPr="00B916EC">
        <w:rPr>
          <w:lang w:eastAsia="ja-JP"/>
        </w:rPr>
        <w:t xml:space="preserve">. </w:t>
      </w:r>
      <w:r w:rsidRPr="00B916EC">
        <w:t>For carrier frequencies smaller than or equal to 3 GHz, n=0, 1. For carrier frequencies larger than 3 GHz and smaller than or equal to 6 GHz, n=0, 1, 2, 3.</w:t>
      </w:r>
    </w:p>
    <w:p w14:paraId="724F6538" w14:textId="77777777" w:rsidR="005821BE" w:rsidRPr="00B916EC" w:rsidRDefault="005821BE" w:rsidP="005821BE">
      <w:pPr>
        <w:pStyle w:val="B1"/>
        <w:rPr>
          <w:lang w:eastAsia="ja-JP"/>
        </w:rPr>
      </w:pPr>
      <w:r>
        <w:rPr>
          <w:lang w:eastAsia="ja-JP"/>
        </w:rPr>
        <w:t>-</w:t>
      </w:r>
      <w:r>
        <w:rPr>
          <w:lang w:eastAsia="ja-JP"/>
        </w:rPr>
        <w:tab/>
      </w:r>
      <w:r w:rsidRPr="00B916EC">
        <w:rPr>
          <w:lang w:eastAsia="ja-JP"/>
        </w:rPr>
        <w:t>Case D - 120 kHz subcarrier spacing: the first symbols of the candidate SS/PBCH blocks have indexes {</w:t>
      </w:r>
      <w:r w:rsidRPr="00B916EC">
        <w:t>4, 8, 16, 20} + 28*n. For carrier frequencies larger than 6 GHz, n=0, 1, 2, 3, 5, 6, 7, 8, 10, 11, 12, 13, 15, 16, 17, 18</w:t>
      </w:r>
      <w:r w:rsidRPr="00B916EC">
        <w:rPr>
          <w:lang w:eastAsia="ja-JP"/>
        </w:rPr>
        <w:t>.</w:t>
      </w:r>
    </w:p>
    <w:p w14:paraId="6AEB18C4" w14:textId="77777777" w:rsidR="005821BE" w:rsidRPr="00B916EC" w:rsidRDefault="005821BE" w:rsidP="005821BE">
      <w:pPr>
        <w:pStyle w:val="B1"/>
      </w:pPr>
      <w:r>
        <w:rPr>
          <w:lang w:eastAsia="ja-JP"/>
        </w:rPr>
        <w:t>-</w:t>
      </w:r>
      <w:r>
        <w:rPr>
          <w:lang w:eastAsia="ja-JP"/>
        </w:rPr>
        <w:tab/>
      </w:r>
      <w:r w:rsidRPr="00B916EC">
        <w:rPr>
          <w:lang w:eastAsia="ja-JP"/>
        </w:rPr>
        <w:t xml:space="preserve">Case E - 240 kHz subcarrier spacing: the first symbols of the candidate SS/PBCH blocks have indexes </w:t>
      </w:r>
      <w:r w:rsidRPr="00B916EC">
        <w:t>{8, 12, 16, 20, 32, 36, 40, 44} + 56*n</w:t>
      </w:r>
      <w:r w:rsidRPr="00B916EC">
        <w:rPr>
          <w:lang w:eastAsia="ja-JP"/>
        </w:rPr>
        <w:t xml:space="preserve">. </w:t>
      </w:r>
      <w:r w:rsidRPr="00B916EC">
        <w:t>For carrier frequencies larger than 6 GHz, n=0, 1, 2, 3, 5, 6, 7, 8.</w:t>
      </w:r>
    </w:p>
    <w:p w14:paraId="5822081E" w14:textId="77777777" w:rsidR="005821BE" w:rsidRDefault="005821BE" w:rsidP="005821BE">
      <w:pPr>
        <w:rPr>
          <w:rFonts w:eastAsia="Malgun Gothic"/>
          <w:lang w:eastAsia="zh-CN"/>
        </w:rPr>
      </w:pPr>
      <w:r>
        <w:rPr>
          <w:rFonts w:eastAsia="Malgun Gothic"/>
          <w:lang w:eastAsia="zh-CN"/>
        </w:rPr>
        <w:t xml:space="preserve">With Listen-Before-Talk (LBT) and contention based channel access (CCA) in unlicensed spectrum, gNB may have to skip or delay transmission of some SSBs of a SSB burst or the entire SSB burst. If the SSB burst duration is close to 5ms (e.g. 64 SSBs with 120KHz subcarrier spacing), channel access priority class 3 or 4 may have to be used for SSB burst transmission, and this would potentially lead to a longer delay and/or less chance to access the channel. </w:t>
      </w:r>
    </w:p>
    <w:p w14:paraId="2C9E5CE9" w14:textId="0A293CED" w:rsidR="005821BE" w:rsidRPr="00D41DED" w:rsidRDefault="005821BE" w:rsidP="005821BE">
      <w:pPr>
        <w:rPr>
          <w:rFonts w:eastAsia="Malgun Gothic"/>
          <w:b/>
          <w:lang w:eastAsia="zh-CN"/>
        </w:rPr>
      </w:pPr>
      <w:r w:rsidRPr="008C2882">
        <w:rPr>
          <w:rFonts w:eastAsia="Malgun Gothic" w:hint="eastAsia"/>
          <w:b/>
          <w:lang w:eastAsia="zh-CN"/>
        </w:rPr>
        <w:t>Proposal 1:</w:t>
      </w:r>
      <w:r>
        <w:rPr>
          <w:rFonts w:eastAsia="Malgun Gothic"/>
          <w:b/>
          <w:lang w:eastAsia="zh-CN"/>
        </w:rPr>
        <w:t xml:space="preserve"> </w:t>
      </w:r>
      <w:r w:rsidR="00872530" w:rsidRPr="00872530">
        <w:rPr>
          <w:rFonts w:eastAsia="Malgun Gothic"/>
          <w:b/>
          <w:lang w:eastAsia="zh-CN"/>
        </w:rPr>
        <w:t>Introduc</w:t>
      </w:r>
      <w:r w:rsidR="00872530">
        <w:rPr>
          <w:rFonts w:eastAsia="Malgun Gothic"/>
          <w:b/>
          <w:lang w:eastAsia="zh-CN"/>
        </w:rPr>
        <w:t>ing</w:t>
      </w:r>
      <w:r w:rsidR="00872530" w:rsidRPr="00872530">
        <w:rPr>
          <w:rFonts w:eastAsia="Malgun Gothic"/>
          <w:b/>
          <w:lang w:eastAsia="zh-CN"/>
        </w:rPr>
        <w:t xml:space="preserve"> a new or additional SSB burst pattern for NR-U can be considered </w:t>
      </w:r>
      <w:r w:rsidR="0021618E" w:rsidRPr="0021618E">
        <w:rPr>
          <w:rFonts w:eastAsia="Malgun Gothic"/>
          <w:b/>
          <w:lang w:eastAsia="zh-CN"/>
        </w:rPr>
        <w:t>to enable use of priority classes 1 or 2.</w:t>
      </w:r>
    </w:p>
    <w:p w14:paraId="525F33B4" w14:textId="77777777" w:rsidR="005821BE" w:rsidRDefault="005821BE" w:rsidP="005821BE">
      <w:pPr>
        <w:pStyle w:val="Heading1"/>
      </w:pPr>
      <w:r>
        <w:t>PDCCH monitoring occasions for SIB1 and paging</w:t>
      </w:r>
    </w:p>
    <w:p w14:paraId="294F7129" w14:textId="77777777" w:rsidR="005821BE" w:rsidRDefault="005821BE" w:rsidP="005821BE">
      <w:pPr>
        <w:spacing w:after="160" w:line="259" w:lineRule="auto"/>
        <w:rPr>
          <w:b/>
        </w:rPr>
      </w:pPr>
      <w:r>
        <w:t>A</w:t>
      </w:r>
      <w:r w:rsidRPr="00B916EC">
        <w:t xml:space="preserve"> UE determines </w:t>
      </w:r>
      <w:r>
        <w:t>a</w:t>
      </w:r>
      <w:r w:rsidRPr="00B916EC">
        <w:t xml:space="preserve"> control resource set </w:t>
      </w:r>
      <w:r>
        <w:t xml:space="preserve">(CORESET) </w:t>
      </w:r>
      <w:r w:rsidRPr="00B916EC">
        <w:t xml:space="preserve">and </w:t>
      </w:r>
      <w:r>
        <w:t xml:space="preserve">PDCCH </w:t>
      </w:r>
      <w:r w:rsidRPr="00B916EC">
        <w:t xml:space="preserve">monitoring occasions for Type0-PDCCH common search space </w:t>
      </w:r>
      <w:r>
        <w:t>set, where UE can decode PDCCH carrying DL assignment information for PDSCH carrying SIB1, by decoding PBCH</w:t>
      </w:r>
      <w:r w:rsidRPr="00B916EC">
        <w:t>.</w:t>
      </w:r>
      <w:r>
        <w:t xml:space="preserve"> </w:t>
      </w:r>
    </w:p>
    <w:p w14:paraId="67B4F388" w14:textId="77777777" w:rsidR="005821BE" w:rsidRDefault="005821BE" w:rsidP="005821BE">
      <w:r>
        <w:lastRenderedPageBreak/>
        <w:t>According to TS 38.213, f</w:t>
      </w:r>
      <w:r w:rsidRPr="00B916EC">
        <w:t xml:space="preserve">or </w:t>
      </w:r>
      <w:r>
        <w:t>the</w:t>
      </w:r>
      <w:r w:rsidRPr="00B916EC">
        <w:t xml:space="preserve"> SS/PBCH block and control resource set (CORESET) multiplexing pattern</w:t>
      </w:r>
      <w:r>
        <w:t xml:space="preserve"> 1</w:t>
      </w:r>
      <w:r w:rsidRPr="00B916EC">
        <w:t>, a UE monitors PDCCH in the Type0-PDCCH common search space over two consecutive slots</w:t>
      </w:r>
      <w:r>
        <w:t xml:space="preserve"> starting from slot</w:t>
      </w:r>
      <w:r w:rsidRPr="00B916EC">
        <w:t xml:space="preserve"> </w:t>
      </w:r>
      <w:r w:rsidRPr="00B916EC">
        <w:rPr>
          <w:position w:val="-10"/>
        </w:rPr>
        <w:object w:dxaOrig="240" w:dyaOrig="300" w14:anchorId="106F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45pt" o:ole="">
            <v:imagedata r:id="rId8" o:title=""/>
          </v:shape>
          <o:OLEObject Type="Embed" ProgID="Equation.3" ShapeID="_x0000_i1025" DrawAspect="Content" ObjectID="_1595748337" r:id="rId9"/>
        </w:object>
      </w:r>
      <w:r w:rsidRPr="00B916EC">
        <w:t xml:space="preserve">. For SS/PBCH block with index </w:t>
      </w:r>
      <w:r w:rsidRPr="00B916EC">
        <w:rPr>
          <w:position w:val="-6"/>
        </w:rPr>
        <w:object w:dxaOrig="139" w:dyaOrig="240" w14:anchorId="1459319D">
          <v:shape id="_x0000_i1026" type="#_x0000_t75" style="width:6.45pt;height:12pt" o:ole="">
            <v:imagedata r:id="rId10" o:title=""/>
          </v:shape>
          <o:OLEObject Type="Embed" ProgID="Equation.3" ShapeID="_x0000_i1026" DrawAspect="Content" ObjectID="_1595748338" r:id="rId11"/>
        </w:object>
      </w:r>
      <w:r w:rsidRPr="00B916EC">
        <w:t xml:space="preserve">, the UE determines an index of slot </w:t>
      </w:r>
      <w:r w:rsidRPr="00B916EC">
        <w:rPr>
          <w:position w:val="-10"/>
        </w:rPr>
        <w:object w:dxaOrig="240" w:dyaOrig="300" w14:anchorId="3CD10078">
          <v:shape id="_x0000_i1027" type="#_x0000_t75" style="width:12pt;height:15.45pt" o:ole="">
            <v:imagedata r:id="rId8" o:title=""/>
          </v:shape>
          <o:OLEObject Type="Embed" ProgID="Equation.3" ShapeID="_x0000_i1027" DrawAspect="Content" ObjectID="_1595748339" r:id="rId12"/>
        </w:object>
      </w:r>
      <w:r w:rsidRPr="00B916EC">
        <w:t xml:space="preserve"> as </w:t>
      </w:r>
      <w:r w:rsidRPr="00B916EC">
        <w:rPr>
          <w:position w:val="-10"/>
        </w:rPr>
        <w:object w:dxaOrig="2720" w:dyaOrig="340" w14:anchorId="390BCA6B">
          <v:shape id="_x0000_i1028" type="#_x0000_t75" style="width:136.7pt;height:16.7pt" o:ole="">
            <v:imagedata r:id="rId13" o:title=""/>
          </v:shape>
          <o:OLEObject Type="Embed" ProgID="Equation.3" ShapeID="_x0000_i1028" DrawAspect="Content" ObjectID="_1595748340" r:id="rId14"/>
        </w:object>
      </w:r>
      <w:r w:rsidRPr="00B916EC">
        <w:t xml:space="preserve"> located in a frame</w:t>
      </w:r>
      <w:r>
        <w:t xml:space="preserve"> with system frame number</w:t>
      </w:r>
      <w:r w:rsidRPr="00B916EC">
        <w:rPr>
          <w:position w:val="-10"/>
        </w:rPr>
        <w:object w:dxaOrig="540" w:dyaOrig="300" w14:anchorId="14614803">
          <v:shape id="_x0000_i1029" type="#_x0000_t75" style="width:26.55pt;height:15.45pt" o:ole="">
            <v:imagedata r:id="rId15" o:title=""/>
          </v:shape>
          <o:OLEObject Type="Embed" ProgID="Equation.3" ShapeID="_x0000_i1029" DrawAspect="Content" ObjectID="_1595748341" r:id="rId16"/>
        </w:object>
      </w:r>
      <w:r>
        <w:t xml:space="preserve"> </w:t>
      </w:r>
      <w:r w:rsidRPr="00B916EC">
        <w:t xml:space="preserve">satisfying </w:t>
      </w:r>
      <w:r w:rsidRPr="005863C3">
        <w:rPr>
          <w:position w:val="-10"/>
        </w:rPr>
        <w:object w:dxaOrig="1380" w:dyaOrig="300" w14:anchorId="73144619">
          <v:shape id="_x0000_i1030" type="#_x0000_t75" style="width:68.55pt;height:15.45pt" o:ole="">
            <v:imagedata r:id="rId17" o:title=""/>
          </v:shape>
          <o:OLEObject Type="Embed" ProgID="Equation.3" ShapeID="_x0000_i1030" DrawAspect="Content" ObjectID="_1595748342" r:id="rId18"/>
        </w:object>
      </w:r>
      <w:r w:rsidRPr="00B916EC">
        <w:t xml:space="preserve"> if </w:t>
      </w:r>
      <w:r w:rsidRPr="00326346">
        <w:rPr>
          <w:position w:val="-10"/>
        </w:rPr>
        <w:object w:dxaOrig="2980" w:dyaOrig="340" w14:anchorId="6BD210F6">
          <v:shape id="_x0000_i1031" type="#_x0000_t75" style="width:149.55pt;height:17.55pt" o:ole="">
            <v:imagedata r:id="rId19" o:title=""/>
          </v:shape>
          <o:OLEObject Type="Embed" ProgID="Equation.3" ShapeID="_x0000_i1031" DrawAspect="Content" ObjectID="_1595748343" r:id="rId20"/>
        </w:object>
      </w:r>
      <w:r w:rsidRPr="00B916EC">
        <w:t xml:space="preserve"> or in a frame with SFN satisfying </w:t>
      </w:r>
      <w:r w:rsidRPr="005863C3">
        <w:rPr>
          <w:position w:val="-10"/>
        </w:rPr>
        <w:object w:dxaOrig="1320" w:dyaOrig="300" w14:anchorId="74E18C26">
          <v:shape id="_x0000_i1032" type="#_x0000_t75" style="width:65.55pt;height:15.45pt" o:ole="">
            <v:imagedata r:id="rId21" o:title=""/>
          </v:shape>
          <o:OLEObject Type="Embed" ProgID="Equation.3" ShapeID="_x0000_i1032" DrawAspect="Content" ObjectID="_1595748344" r:id="rId22"/>
        </w:object>
      </w:r>
      <w:r w:rsidRPr="00B916EC">
        <w:t xml:space="preserve"> if </w:t>
      </w:r>
      <w:r w:rsidRPr="00617EBE">
        <w:rPr>
          <w:position w:val="-10"/>
        </w:rPr>
        <w:object w:dxaOrig="2940" w:dyaOrig="340" w14:anchorId="0BCA8578">
          <v:shape id="_x0000_i1033" type="#_x0000_t75" style="width:147pt;height:17.55pt" o:ole="">
            <v:imagedata r:id="rId23" o:title=""/>
          </v:shape>
          <o:OLEObject Type="Embed" ProgID="Equation.3" ShapeID="_x0000_i1033" DrawAspect="Content" ObjectID="_1595748345" r:id="rId24"/>
        </w:object>
      </w:r>
      <w:r>
        <w:t xml:space="preserve">. </w:t>
      </w:r>
      <w:r w:rsidRPr="00D75938">
        <w:rPr>
          <w:position w:val="-4"/>
        </w:rPr>
        <w:object w:dxaOrig="279" w:dyaOrig="220" w14:anchorId="736F0337">
          <v:shape id="_x0000_i1034" type="#_x0000_t75" style="width:13.3pt;height:11.55pt" o:ole="">
            <v:imagedata r:id="rId25" o:title=""/>
          </v:shape>
          <o:OLEObject Type="Embed" ProgID="Equation.3" ShapeID="_x0000_i1034" DrawAspect="Content" ObjectID="_1595748346" r:id="rId26"/>
        </w:object>
      </w:r>
      <w:r>
        <w:t xml:space="preserve"> and </w:t>
      </w:r>
      <w:r w:rsidRPr="00D75938">
        <w:rPr>
          <w:position w:val="-6"/>
        </w:rPr>
        <w:object w:dxaOrig="220" w:dyaOrig="240" w14:anchorId="04DB3EC8">
          <v:shape id="_x0000_i1035" type="#_x0000_t75" style="width:11.55pt;height:12pt" o:ole="">
            <v:imagedata r:id="rId27" o:title=""/>
          </v:shape>
          <o:OLEObject Type="Embed" ProgID="Equation.3" ShapeID="_x0000_i1035" DrawAspect="Content" ObjectID="_1595748347" r:id="rId28"/>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of TS 38.213, and </w:t>
      </w:r>
      <w:r w:rsidRPr="004826D6">
        <w:rPr>
          <w:position w:val="-10"/>
        </w:rPr>
        <w:object w:dxaOrig="1080" w:dyaOrig="300" w14:anchorId="6A04446A">
          <v:shape id="_x0000_i1036" type="#_x0000_t75" style="width:54pt;height:15.45pt" o:ole="">
            <v:imagedata r:id="rId29" o:title=""/>
          </v:shape>
          <o:OLEObject Type="Embed" ProgID="Equation.3" ShapeID="_x0000_i1036" DrawAspect="Content" ObjectID="_1595748348" r:id="rId30"/>
        </w:object>
      </w:r>
      <w:r>
        <w:t xml:space="preserve"> based </w:t>
      </w:r>
      <w:r w:rsidRPr="004826D6">
        <w:t xml:space="preserve">on the </w:t>
      </w:r>
      <w:r>
        <w:t>subcarrier spacing for PDCCH receptions in the control resource set [</w:t>
      </w:r>
      <w:r w:rsidRPr="004826D6">
        <w:t>TS 38.211].</w:t>
      </w:r>
      <w:r>
        <w:t xml:space="preserve"> The index for the first symbol of the control resource set in slot </w:t>
      </w:r>
      <w:r w:rsidRPr="00B916EC">
        <w:rPr>
          <w:position w:val="-10"/>
        </w:rPr>
        <w:object w:dxaOrig="260" w:dyaOrig="300" w14:anchorId="40C17478">
          <v:shape id="_x0000_i1037" type="#_x0000_t75" style="width:13.3pt;height:15.45pt" o:ole="">
            <v:imagedata r:id="rId31" o:title=""/>
          </v:shape>
          <o:OLEObject Type="Embed" ProgID="Equation.3" ShapeID="_x0000_i1037" DrawAspect="Content" ObjectID="_1595748349" r:id="rId32"/>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 of TS 38.213</w:t>
      </w:r>
      <w:r w:rsidRPr="00B916EC">
        <w:t>.</w:t>
      </w:r>
      <w:r>
        <w:t xml:space="preserve"> </w:t>
      </w:r>
      <w:r w:rsidRPr="00B916EC">
        <w:t xml:space="preserve">For </w:t>
      </w:r>
      <w:r>
        <w:t xml:space="preserve">the </w:t>
      </w:r>
      <w:r w:rsidRPr="00B916EC">
        <w:t>SS/PBCH block an</w:t>
      </w:r>
      <w:r>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SS/PBCH block. If not separately configured, the CORESET and </w:t>
      </w:r>
      <w:r w:rsidRPr="00F15587">
        <w:t>the association between PDCCH monitoring occasions for Type2-PDCCH common search space set</w:t>
      </w:r>
      <w:r>
        <w:t xml:space="preserve"> (for paging) and the SSB</w:t>
      </w:r>
      <w:r w:rsidRPr="00F15587">
        <w:t xml:space="preserve"> index are same</w:t>
      </w:r>
      <w:r>
        <w:t xml:space="preserve"> as for </w:t>
      </w:r>
      <w:r w:rsidRPr="00B916EC">
        <w:t>Type0-PDCCH common search space</w:t>
      </w:r>
      <w:r>
        <w:t>.</w:t>
      </w:r>
    </w:p>
    <w:p w14:paraId="23EF86BE" w14:textId="77777777" w:rsidR="005821BE" w:rsidRPr="00F15587" w:rsidRDefault="005821BE" w:rsidP="005821BE">
      <w:r>
        <w:t xml:space="preserve">Considering that PDCCH monitoring occasions for SIB1 and paging are associated </w:t>
      </w:r>
      <w:r w:rsidR="00E371C8">
        <w:t xml:space="preserve">with </w:t>
      </w:r>
      <w:r>
        <w:t xml:space="preserve">the SSB index and may be dependent on the SSB time location (e.g. for the </w:t>
      </w:r>
      <w:r w:rsidRPr="00B916EC">
        <w:t>SS/PBCH block an</w:t>
      </w:r>
      <w:r>
        <w:t>d control resource set</w:t>
      </w:r>
      <w:r w:rsidRPr="00B916EC">
        <w:t xml:space="preserve"> multiplexing pattern</w:t>
      </w:r>
      <w:r>
        <w:t>s 2 and 3), impact of the SSB transmission delay or skipping due to LBT on PDCCH monitoring occasions for SIB1/paging should be carefully studied.</w:t>
      </w:r>
    </w:p>
    <w:p w14:paraId="3710F4CD" w14:textId="77777777" w:rsidR="005821BE" w:rsidRDefault="005821BE" w:rsidP="005821BE">
      <w:pPr>
        <w:spacing w:after="200" w:line="276" w:lineRule="auto"/>
        <w:rPr>
          <w:b/>
        </w:rPr>
      </w:pPr>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208C24C8" w14:textId="5C48831A" w:rsidR="00BB152E" w:rsidRDefault="005821BE" w:rsidP="005821BE">
      <w:pPr>
        <w:pStyle w:val="Heading1"/>
      </w:pPr>
      <w:r>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03877BB8" w14:textId="77777777"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14:paraId="4C9CC5A0" w14:textId="77777777" w:rsidTr="00200213">
        <w:tc>
          <w:tcPr>
            <w:tcW w:w="9533" w:type="dxa"/>
          </w:tcPr>
          <w:p w14:paraId="7FA1F9A9" w14:textId="77777777" w:rsidR="00200213" w:rsidRDefault="00200213" w:rsidP="00200213">
            <w:pPr>
              <w:rPr>
                <w:rFonts w:ascii="Calibri" w:hAnsi="Calibri"/>
                <w:color w:val="1F497D"/>
                <w:lang w:val="en-GB"/>
              </w:rPr>
            </w:pPr>
            <w:r>
              <w:rPr>
                <w:rFonts w:ascii="Calibri" w:hAnsi="Calibri"/>
                <w:color w:val="1F497D"/>
                <w:lang w:val="en-GB"/>
              </w:rPr>
              <w:t>RAN1#93:</w:t>
            </w:r>
          </w:p>
          <w:p w14:paraId="03F3D4F7" w14:textId="77777777" w:rsidR="00200213" w:rsidRDefault="00200213" w:rsidP="00200213">
            <w:pPr>
              <w:rPr>
                <w:sz w:val="20"/>
                <w:szCs w:val="20"/>
                <w:lang w:val="en-GB"/>
              </w:rPr>
            </w:pPr>
            <w:r>
              <w:rPr>
                <w:highlight w:val="green"/>
                <w:lang w:val="en-GB"/>
              </w:rPr>
              <w:t>Agreement:</w:t>
            </w:r>
            <w:r>
              <w:rPr>
                <w:lang w:val="en-GB"/>
              </w:rPr>
              <w:t xml:space="preserve"> </w:t>
            </w:r>
          </w:p>
          <w:p w14:paraId="3C3DB1EA" w14:textId="77777777"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14:paraId="25DF41F7" w14:textId="77777777"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14:paraId="00F2600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14:paraId="6D5B727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14:paraId="68442636" w14:textId="77777777" w:rsidR="00200213" w:rsidRDefault="00200213" w:rsidP="00200213">
            <w:pPr>
              <w:rPr>
                <w:rFonts w:ascii="Calibri" w:hAnsi="Calibri"/>
                <w:color w:val="1F497D"/>
                <w:lang w:val="en-GB"/>
              </w:rPr>
            </w:pPr>
            <w:r>
              <w:rPr>
                <w:rFonts w:ascii="Calibri" w:hAnsi="Calibri"/>
                <w:color w:val="1F497D"/>
                <w:lang w:val="en-GB"/>
              </w:rPr>
              <w:t xml:space="preserve"> </w:t>
            </w:r>
          </w:p>
          <w:p w14:paraId="197AD44A" w14:textId="77777777" w:rsidR="00200213" w:rsidRDefault="00200213" w:rsidP="00200213">
            <w:pPr>
              <w:rPr>
                <w:rFonts w:ascii="Calibri" w:hAnsi="Calibri"/>
                <w:color w:val="1F497D"/>
                <w:lang w:val="en-GB"/>
              </w:rPr>
            </w:pPr>
            <w:r>
              <w:rPr>
                <w:rFonts w:ascii="Calibri" w:hAnsi="Calibri"/>
                <w:color w:val="1F497D"/>
                <w:lang w:val="en-GB"/>
              </w:rPr>
              <w:t>RAN1#92bis:</w:t>
            </w:r>
          </w:p>
          <w:p w14:paraId="182ED93A" w14:textId="77777777"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14:paraId="58503E57" w14:textId="77777777" w:rsidR="00200213" w:rsidRDefault="00200213" w:rsidP="00200213">
            <w:pPr>
              <w:rPr>
                <w:sz w:val="24"/>
                <w:szCs w:val="24"/>
              </w:rPr>
            </w:pPr>
            <w:r>
              <w:t xml:space="preserve">in the band (sub-7 GHz) where NR-U is operating, the NR-U operating bandwidth is an integer  </w:t>
            </w:r>
          </w:p>
          <w:p w14:paraId="19747942" w14:textId="77777777" w:rsidR="00200213" w:rsidRDefault="00200213" w:rsidP="00200213">
            <w:r>
              <w:t xml:space="preserve">multiple of 20MHz </w:t>
            </w:r>
          </w:p>
          <w:p w14:paraId="245C90CD" w14:textId="77777777"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14:paraId="0E2BC851" w14:textId="77777777" w:rsidR="00200213" w:rsidRDefault="00200213" w:rsidP="00200213">
            <w:pPr>
              <w:ind w:left="1440" w:hanging="360"/>
            </w:pPr>
            <w:r>
              <w:rPr>
                <w:rFonts w:ascii="Arial" w:hAnsi="Arial" w:cs="Arial"/>
              </w:rPr>
              <w:lastRenderedPageBreak/>
              <w:t>•</w:t>
            </w:r>
            <w:r>
              <w:rPr>
                <w:sz w:val="14"/>
                <w:szCs w:val="14"/>
              </w:rPr>
              <w:t xml:space="preserve">     </w:t>
            </w:r>
            <w:r>
              <w:t>FFS: details on how to perform LBT for as single carrier with bandwidth greater than 20 MHz, i.e., integer multiples of 20 MHz.</w:t>
            </w:r>
          </w:p>
          <w:p w14:paraId="40B0759C" w14:textId="77777777" w:rsidR="00200213" w:rsidRDefault="00200213" w:rsidP="00904938">
            <w:pPr>
              <w:rPr>
                <w:lang w:val="en-GB"/>
              </w:rPr>
            </w:pPr>
          </w:p>
        </w:tc>
      </w:tr>
    </w:tbl>
    <w:p w14:paraId="355670CE" w14:textId="77777777" w:rsidR="00200213" w:rsidRDefault="00200213" w:rsidP="00904938">
      <w:pPr>
        <w:rPr>
          <w:lang w:val="en-GB"/>
        </w:rPr>
      </w:pPr>
    </w:p>
    <w:p w14:paraId="503254F8" w14:textId="77777777"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p>
    <w:p w14:paraId="35F28888" w14:textId="4A06A9D6" w:rsidR="00850DA9" w:rsidRPr="00B00AC9" w:rsidRDefault="00850DA9" w:rsidP="00904938">
      <w:pPr>
        <w:rPr>
          <w:b/>
          <w:lang w:val="en-GB"/>
        </w:rPr>
      </w:pPr>
      <w:r w:rsidRPr="00B00AC9">
        <w:rPr>
          <w:b/>
          <w:lang w:val="en-GB"/>
        </w:rPr>
        <w:t>Pr</w:t>
      </w:r>
      <w:r w:rsidR="0079063A">
        <w:rPr>
          <w:b/>
          <w:lang w:val="en-GB"/>
        </w:rPr>
        <w:t xml:space="preserve">oposal </w:t>
      </w:r>
      <w:r w:rsidR="00B61CD8">
        <w:rPr>
          <w:b/>
          <w:lang w:val="en-GB"/>
        </w:rPr>
        <w:t>3</w:t>
      </w:r>
      <w:r w:rsidR="0079063A">
        <w:rPr>
          <w:b/>
          <w:lang w:val="en-GB"/>
        </w:rPr>
        <w:t>: A UE may perform CCA/</w:t>
      </w:r>
      <w:r w:rsidRPr="00B00AC9">
        <w:rPr>
          <w:b/>
          <w:lang w:val="en-GB"/>
        </w:rPr>
        <w:t>LBT on any configured BWP</w:t>
      </w:r>
      <w:r w:rsidR="00E00A8E">
        <w:rPr>
          <w:b/>
          <w:lang w:val="en-GB"/>
        </w:rPr>
        <w:t xml:space="preserve"> for PRACH transmission, if necessary</w:t>
      </w:r>
      <w:r w:rsidRPr="00B00AC9">
        <w:rPr>
          <w:b/>
          <w:lang w:val="en-GB"/>
        </w:rPr>
        <w:t>.</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482109A7" w14:textId="77777777" w:rsidR="0079063A" w:rsidRDefault="00BB152E" w:rsidP="00F37196">
      <w:pPr>
        <w:rPr>
          <w:b/>
          <w:lang w:val="en-GB"/>
        </w:rPr>
      </w:pPr>
      <w:r w:rsidRPr="00BB152E">
        <w:rPr>
          <w:lang w:val="en-GB"/>
        </w:rPr>
        <w:t>On similar lines it is helpful if the Msg</w:t>
      </w:r>
      <w:r w:rsidR="005821BE">
        <w:rPr>
          <w:lang w:val="en-GB"/>
        </w:rPr>
        <w:t xml:space="preserve"> </w:t>
      </w:r>
      <w:r w:rsidRPr="00BB152E">
        <w:rPr>
          <w:lang w:val="en-GB"/>
        </w:rPr>
        <w:t>2</w:t>
      </w:r>
      <w:r w:rsidR="005821BE">
        <w:rPr>
          <w:lang w:val="en-GB"/>
        </w:rPr>
        <w:t xml:space="preserve"> </w:t>
      </w:r>
      <w:r w:rsidRPr="00BB152E">
        <w:rPr>
          <w:lang w:val="en-GB"/>
        </w:rPr>
        <w:t>/ RAR could be transmitted by the gNB on any DL BWP where the CCA succeeds</w:t>
      </w:r>
      <w:r w:rsidR="000437C2">
        <w:rPr>
          <w:lang w:val="en-GB"/>
        </w:rPr>
        <w:t>, even if it is different from the linked BWP where Msg 1 occurred</w:t>
      </w:r>
      <w:r w:rsidRPr="00BB152E">
        <w:rPr>
          <w:lang w:val="en-GB"/>
        </w:rPr>
        <w:t>.</w:t>
      </w:r>
      <w:r w:rsidR="000437C2">
        <w:rPr>
          <w:lang w:val="en-GB"/>
        </w:rPr>
        <w:t xml:space="preserve"> Even though this is not applicable for initial access, it will be helpful e.g. in handover scenarios or PDCCH order where the UE can be aware of multiple BWPs and where the network knows which and how many active BWPs the UE can monitor.</w:t>
      </w:r>
    </w:p>
    <w:p w14:paraId="367C1CE4" w14:textId="7CAE5E84" w:rsidR="005821BE" w:rsidRPr="005821BE" w:rsidRDefault="00BB152E" w:rsidP="00F37196">
      <w:pPr>
        <w:rPr>
          <w:lang w:val="en-GB"/>
        </w:rPr>
      </w:pPr>
      <w:r>
        <w:rPr>
          <w:b/>
          <w:lang w:val="en-GB"/>
        </w:rPr>
        <w:t xml:space="preserve">Proposal </w:t>
      </w:r>
      <w:r w:rsidR="00B61CD8">
        <w:rPr>
          <w:b/>
          <w:lang w:val="en-GB"/>
        </w:rPr>
        <w:t>4</w:t>
      </w:r>
      <w:r>
        <w:rPr>
          <w:b/>
          <w:lang w:val="en-GB"/>
        </w:rPr>
        <w:t xml:space="preserve">: </w:t>
      </w:r>
      <w:r w:rsidR="0079063A">
        <w:rPr>
          <w:b/>
          <w:lang w:val="en-GB"/>
        </w:rPr>
        <w:t>A</w:t>
      </w:r>
      <w:r>
        <w:rPr>
          <w:b/>
          <w:lang w:val="en-GB"/>
        </w:rPr>
        <w:t xml:space="preserve"> UE </w:t>
      </w:r>
      <w:r w:rsidR="0079063A">
        <w:rPr>
          <w:b/>
          <w:lang w:val="en-GB"/>
        </w:rPr>
        <w:t>should be able to</w:t>
      </w:r>
      <w:r>
        <w:rPr>
          <w:b/>
          <w:lang w:val="en-GB"/>
        </w:rPr>
        <w:t xml:space="preserve"> monitor more than one DL BWP during a corresp</w:t>
      </w:r>
      <w:r w:rsidR="0079063A">
        <w:rPr>
          <w:b/>
          <w:lang w:val="en-GB"/>
        </w:rPr>
        <w:t>onding RAR window for Msg 2.</w:t>
      </w:r>
      <w:r w:rsidR="000437C2">
        <w:rPr>
          <w:b/>
          <w:lang w:val="en-GB"/>
        </w:rPr>
        <w:t xml:space="preserve"> A gNB may transmit Msg 2 on any of the DL BWPs monitored by the UE.</w:t>
      </w:r>
    </w:p>
    <w:p w14:paraId="526D2CC5" w14:textId="486CDDBF" w:rsidR="006F2CD3" w:rsidRDefault="006F2CD3" w:rsidP="006F2CD3">
      <w:pPr>
        <w:pStyle w:val="Heading2"/>
        <w:rPr>
          <w:lang w:val="en-GB"/>
        </w:rPr>
      </w:pPr>
      <w:r>
        <w:rPr>
          <w:lang w:val="en-GB"/>
        </w:rPr>
        <w:t>Msg</w:t>
      </w:r>
      <w:r w:rsidR="005821BE">
        <w:rPr>
          <w:lang w:val="en-GB"/>
        </w:rPr>
        <w:t xml:space="preserve"> </w:t>
      </w:r>
      <w:r>
        <w:rPr>
          <w:lang w:val="en-GB"/>
        </w:rPr>
        <w:t>3</w:t>
      </w:r>
    </w:p>
    <w:p w14:paraId="415B6885" w14:textId="77777777" w:rsidR="006F2CD3" w:rsidRDefault="006F2CD3" w:rsidP="006F2CD3">
      <w:pPr>
        <w:rPr>
          <w:lang w:val="en-GB"/>
        </w:rPr>
      </w:pPr>
      <w:r>
        <w:rPr>
          <w:lang w:val="en-GB"/>
        </w:rPr>
        <w:t>To have diversity in transmitting Msg3, the RAR</w:t>
      </w:r>
      <w:r w:rsidR="000437C2">
        <w:rPr>
          <w:lang w:val="en-GB"/>
        </w:rPr>
        <w:t xml:space="preserve"> Grant in</w:t>
      </w:r>
      <w:r>
        <w:rPr>
          <w:lang w:val="en-GB"/>
        </w:rPr>
        <w:t xml:space="preserve"> Msg2 may include UL resources for Msg3 transmission on more than </w:t>
      </w:r>
      <w:r w:rsidR="000437C2">
        <w:rPr>
          <w:lang w:val="en-GB"/>
        </w:rPr>
        <w:t>one</w:t>
      </w:r>
      <w:r>
        <w:rPr>
          <w:lang w:val="en-GB"/>
        </w:rPr>
        <w:t xml:space="preserve"> BW</w:t>
      </w:r>
      <w:r w:rsidR="000437C2">
        <w:rPr>
          <w:lang w:val="en-GB"/>
        </w:rPr>
        <w:t>P. The UE can then perform LBT/</w:t>
      </w:r>
      <w:r>
        <w:rPr>
          <w:lang w:val="en-GB"/>
        </w:rPr>
        <w:t>CCA on each of these and transmit Msg3 on a BWP where the CCA is successful.</w:t>
      </w:r>
    </w:p>
    <w:p w14:paraId="6AC57FD2" w14:textId="625598FC" w:rsidR="00920182" w:rsidRDefault="00920182" w:rsidP="00920182">
      <w:pPr>
        <w:rPr>
          <w:b/>
          <w:lang w:val="en-GB"/>
        </w:rPr>
      </w:pPr>
      <w:r w:rsidRPr="00920182">
        <w:rPr>
          <w:b/>
          <w:lang w:val="en-GB"/>
        </w:rPr>
        <w:t xml:space="preserve">Proposal </w:t>
      </w:r>
      <w:r w:rsidR="00B61CD8">
        <w:rPr>
          <w:b/>
          <w:lang w:val="en-GB"/>
        </w:rPr>
        <w:t>5</w:t>
      </w:r>
      <w:r w:rsidRPr="00920182">
        <w:rPr>
          <w:b/>
          <w:lang w:val="en-GB"/>
        </w:rPr>
        <w:t xml:space="preserve">: </w:t>
      </w:r>
      <w:r w:rsidR="000437C2">
        <w:rPr>
          <w:b/>
          <w:lang w:val="en-GB"/>
        </w:rPr>
        <w:t xml:space="preserve">The </w:t>
      </w:r>
      <w:r w:rsidRPr="00920182">
        <w:rPr>
          <w:b/>
          <w:lang w:val="en-GB"/>
        </w:rPr>
        <w:t xml:space="preserve">RAR </w:t>
      </w:r>
      <w:r w:rsidR="000437C2">
        <w:rPr>
          <w:b/>
          <w:lang w:val="en-GB"/>
        </w:rPr>
        <w:t xml:space="preserve">Grant </w:t>
      </w:r>
      <w:r w:rsidRPr="00920182">
        <w:rPr>
          <w:b/>
          <w:lang w:val="en-GB"/>
        </w:rPr>
        <w:t>may in</w:t>
      </w:r>
      <w:r w:rsidR="000437C2">
        <w:rPr>
          <w:b/>
          <w:lang w:val="en-GB"/>
        </w:rPr>
        <w:t>dicate</w:t>
      </w:r>
      <w:r w:rsidRPr="00920182">
        <w:rPr>
          <w:b/>
          <w:lang w:val="en-GB"/>
        </w:rPr>
        <w:t xml:space="preserve"> different UL BWP</w:t>
      </w:r>
      <w:r w:rsidR="000437C2">
        <w:rPr>
          <w:b/>
          <w:lang w:val="en-GB"/>
        </w:rPr>
        <w:t>s for Msg 3</w:t>
      </w:r>
      <w:r w:rsidRPr="00920182">
        <w:rPr>
          <w:b/>
          <w:lang w:val="en-GB"/>
        </w:rPr>
        <w:t>.</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3763BE20" w:rsidR="005821BE" w:rsidRPr="007555A1" w:rsidRDefault="005821BE" w:rsidP="005C32F1">
      <w:pPr>
        <w:spacing w:after="200" w:line="276" w:lineRule="auto"/>
        <w:rPr>
          <w:b/>
        </w:rPr>
      </w:pPr>
      <w:r w:rsidRPr="003C4548">
        <w:rPr>
          <w:b/>
        </w:rPr>
        <w:t xml:space="preserve">Proposal </w:t>
      </w:r>
      <w:r w:rsidR="00B61CD8">
        <w:rPr>
          <w:b/>
        </w:rPr>
        <w:t>6</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5821BE">
      <w:pPr>
        <w:pStyle w:val="Heading1"/>
        <w:rPr>
          <w:b/>
          <w:bCs/>
        </w:rPr>
      </w:pPr>
      <w:r>
        <w:t>Proposals</w:t>
      </w:r>
    </w:p>
    <w:p w14:paraId="66870052" w14:textId="08462F79" w:rsidR="00E00A8E" w:rsidRP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62E9F16C" w14:textId="77777777" w:rsidR="0021618E" w:rsidRPr="00D41DED" w:rsidRDefault="0021618E" w:rsidP="0021618E">
      <w:pPr>
        <w:rPr>
          <w:rFonts w:eastAsia="Malgun Gothic"/>
          <w:b/>
          <w:lang w:eastAsia="zh-CN"/>
        </w:rPr>
      </w:pPr>
      <w:r w:rsidRPr="008C2882">
        <w:rPr>
          <w:rFonts w:eastAsia="Malgun Gothic" w:hint="eastAsia"/>
          <w:b/>
          <w:lang w:eastAsia="zh-CN"/>
        </w:rPr>
        <w:lastRenderedPageBreak/>
        <w:t>Proposal 1:</w:t>
      </w:r>
      <w:r>
        <w:rPr>
          <w:rFonts w:eastAsia="Malgun Gothic"/>
          <w:b/>
          <w:lang w:eastAsia="zh-CN"/>
        </w:rPr>
        <w:t xml:space="preserve"> </w:t>
      </w:r>
      <w:r w:rsidRPr="00872530">
        <w:rPr>
          <w:rFonts w:eastAsia="Malgun Gothic"/>
          <w:b/>
          <w:lang w:eastAsia="zh-CN"/>
        </w:rPr>
        <w:t>Introduc</w:t>
      </w:r>
      <w:r>
        <w:rPr>
          <w:rFonts w:eastAsia="Malgun Gothic"/>
          <w:b/>
          <w:lang w:eastAsia="zh-CN"/>
        </w:rPr>
        <w:t>ing</w:t>
      </w:r>
      <w:r w:rsidRPr="00872530">
        <w:rPr>
          <w:rFonts w:eastAsia="Malgun Gothic"/>
          <w:b/>
          <w:lang w:eastAsia="zh-CN"/>
        </w:rPr>
        <w:t xml:space="preserve"> a new or additional SSB burst pattern for NR-U can be considered </w:t>
      </w:r>
      <w:r w:rsidRPr="0021618E">
        <w:rPr>
          <w:rFonts w:eastAsia="Malgun Gothic"/>
          <w:b/>
          <w:lang w:eastAsia="zh-CN"/>
        </w:rPr>
        <w:t>to enable use of priority classes 1 or 2.</w:t>
      </w:r>
    </w:p>
    <w:p w14:paraId="1E28CB91" w14:textId="77777777" w:rsidR="006001D7" w:rsidRDefault="006001D7" w:rsidP="006001D7">
      <w:pPr>
        <w:spacing w:after="200" w:line="276" w:lineRule="auto"/>
        <w:rPr>
          <w:b/>
        </w:rPr>
      </w:pPr>
      <w:bookmarkStart w:id="2" w:name="_GoBack"/>
      <w:bookmarkEnd w:id="2"/>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68715B82" w14:textId="77777777" w:rsidR="006001D7" w:rsidRPr="00B00AC9" w:rsidRDefault="006001D7" w:rsidP="006001D7">
      <w:pPr>
        <w:rPr>
          <w:b/>
          <w:lang w:val="en-GB"/>
        </w:rPr>
      </w:pPr>
      <w:r w:rsidRPr="00B00AC9">
        <w:rPr>
          <w:b/>
          <w:lang w:val="en-GB"/>
        </w:rPr>
        <w:t>Pr</w:t>
      </w:r>
      <w:r>
        <w:rPr>
          <w:b/>
          <w:lang w:val="en-GB"/>
        </w:rPr>
        <w:t>oposal 3: A UE may perform CCA/</w:t>
      </w:r>
      <w:r w:rsidRPr="00B00AC9">
        <w:rPr>
          <w:b/>
          <w:lang w:val="en-GB"/>
        </w:rPr>
        <w:t>LBT on any configured BWP</w:t>
      </w:r>
      <w:r>
        <w:rPr>
          <w:b/>
          <w:lang w:val="en-GB"/>
        </w:rPr>
        <w:t xml:space="preserve"> for PRACH transmission, if necessary</w:t>
      </w:r>
      <w:r w:rsidRPr="00B00AC9">
        <w:rPr>
          <w:b/>
          <w:lang w:val="en-GB"/>
        </w:rPr>
        <w:t>.</w:t>
      </w:r>
    </w:p>
    <w:p w14:paraId="5A92BB37" w14:textId="77777777" w:rsidR="006001D7" w:rsidRPr="005821BE" w:rsidRDefault="006001D7" w:rsidP="006001D7">
      <w:pPr>
        <w:rPr>
          <w:lang w:val="en-GB"/>
        </w:rPr>
      </w:pPr>
      <w:r>
        <w:rPr>
          <w:b/>
          <w:lang w:val="en-GB"/>
        </w:rPr>
        <w:t>Proposal 4: A UE should be able to monitor more than one DL BWP during a corresponding RAR window for Msg 2. A gNB may transmit Msg 2 on any of the DL BWPs monitored by the UE.</w:t>
      </w:r>
    </w:p>
    <w:p w14:paraId="0A9A4B6B" w14:textId="77777777" w:rsidR="006001D7" w:rsidRDefault="006001D7" w:rsidP="006001D7">
      <w:pPr>
        <w:rPr>
          <w:b/>
          <w:lang w:val="en-GB"/>
        </w:rPr>
      </w:pPr>
      <w:r w:rsidRPr="00920182">
        <w:rPr>
          <w:b/>
          <w:lang w:val="en-GB"/>
        </w:rPr>
        <w:t xml:space="preserve">Proposal </w:t>
      </w:r>
      <w:r>
        <w:rPr>
          <w:b/>
          <w:lang w:val="en-GB"/>
        </w:rPr>
        <w:t>5</w:t>
      </w:r>
      <w:r w:rsidRPr="00920182">
        <w:rPr>
          <w:b/>
          <w:lang w:val="en-GB"/>
        </w:rPr>
        <w:t xml:space="preserve">: </w:t>
      </w:r>
      <w:r>
        <w:rPr>
          <w:b/>
          <w:lang w:val="en-GB"/>
        </w:rPr>
        <w:t xml:space="preserve">The </w:t>
      </w:r>
      <w:r w:rsidRPr="00920182">
        <w:rPr>
          <w:b/>
          <w:lang w:val="en-GB"/>
        </w:rPr>
        <w:t xml:space="preserve">RAR </w:t>
      </w:r>
      <w:r>
        <w:rPr>
          <w:b/>
          <w:lang w:val="en-GB"/>
        </w:rPr>
        <w:t xml:space="preserve">Grant </w:t>
      </w:r>
      <w:r w:rsidRPr="00920182">
        <w:rPr>
          <w:b/>
          <w:lang w:val="en-GB"/>
        </w:rPr>
        <w:t>may in</w:t>
      </w:r>
      <w:r>
        <w:rPr>
          <w:b/>
          <w:lang w:val="en-GB"/>
        </w:rPr>
        <w:t>dicate</w:t>
      </w:r>
      <w:r w:rsidRPr="00920182">
        <w:rPr>
          <w:b/>
          <w:lang w:val="en-GB"/>
        </w:rPr>
        <w:t xml:space="preserve"> different UL BWP</w:t>
      </w:r>
      <w:r>
        <w:rPr>
          <w:b/>
          <w:lang w:val="en-GB"/>
        </w:rPr>
        <w:t>s for Msg 3</w:t>
      </w:r>
      <w:r w:rsidRPr="00920182">
        <w:rPr>
          <w:b/>
          <w:lang w:val="en-GB"/>
        </w:rPr>
        <w:t>.</w:t>
      </w:r>
    </w:p>
    <w:p w14:paraId="6D3AD15E" w14:textId="77777777" w:rsidR="006001D7" w:rsidRPr="007555A1" w:rsidRDefault="006001D7" w:rsidP="005C32F1">
      <w:pPr>
        <w:spacing w:after="200" w:line="276" w:lineRule="auto"/>
        <w:rPr>
          <w:b/>
        </w:rPr>
      </w:pPr>
      <w:r w:rsidRPr="003C4548">
        <w:rPr>
          <w:b/>
        </w:rPr>
        <w:t xml:space="preserve">Proposal </w:t>
      </w:r>
      <w:r>
        <w:rPr>
          <w:b/>
        </w:rPr>
        <w:t>6</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09E80" w14:textId="77777777" w:rsidR="00D92172" w:rsidRDefault="00D92172">
      <w:r>
        <w:separator/>
      </w:r>
    </w:p>
  </w:endnote>
  <w:endnote w:type="continuationSeparator" w:id="0">
    <w:p w14:paraId="644F8FDE" w14:textId="77777777" w:rsidR="00D92172" w:rsidRDefault="00D9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AB353" w14:textId="77777777" w:rsidR="00D92172" w:rsidRDefault="00D92172">
      <w:r>
        <w:separator/>
      </w:r>
    </w:p>
  </w:footnote>
  <w:footnote w:type="continuationSeparator" w:id="0">
    <w:p w14:paraId="1E1307AD" w14:textId="77777777" w:rsidR="00D92172" w:rsidRDefault="00D92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7FFED29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7"/>
  </w:num>
  <w:num w:numId="3">
    <w:abstractNumId w:val="21"/>
  </w:num>
  <w:num w:numId="4">
    <w:abstractNumId w:val="15"/>
  </w:num>
  <w:num w:numId="5">
    <w:abstractNumId w:val="12"/>
  </w:num>
  <w:num w:numId="6">
    <w:abstractNumId w:val="28"/>
  </w:num>
  <w:num w:numId="7">
    <w:abstractNumId w:val="13"/>
  </w:num>
  <w:num w:numId="8">
    <w:abstractNumId w:val="11"/>
  </w:num>
  <w:num w:numId="9">
    <w:abstractNumId w:val="25"/>
  </w:num>
  <w:num w:numId="10">
    <w:abstractNumId w:val="10"/>
  </w:num>
  <w:num w:numId="11">
    <w:abstractNumId w:val="2"/>
  </w:num>
  <w:num w:numId="12">
    <w:abstractNumId w:val="24"/>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7"/>
  </w:num>
  <w:num w:numId="20">
    <w:abstractNumId w:val="19"/>
  </w:num>
  <w:num w:numId="21">
    <w:abstractNumId w:val="8"/>
  </w:num>
  <w:num w:numId="22">
    <w:abstractNumId w:val="18"/>
  </w:num>
  <w:num w:numId="23">
    <w:abstractNumId w:val="0"/>
  </w:num>
  <w:num w:numId="24">
    <w:abstractNumId w:val="7"/>
  </w:num>
  <w:num w:numId="25">
    <w:abstractNumId w:val="23"/>
  </w:num>
  <w:num w:numId="26">
    <w:abstractNumId w:val="20"/>
  </w:num>
  <w:num w:numId="27">
    <w:abstractNumId w:val="5"/>
  </w:num>
  <w:num w:numId="28">
    <w:abstractNumId w:val="4"/>
  </w:num>
  <w:num w:numId="29">
    <w:abstractNumId w:val="3"/>
  </w:num>
  <w:num w:numId="30">
    <w:abstractNumId w:val="26"/>
  </w:num>
  <w:num w:numId="31">
    <w:abstractNumId w:val="16"/>
  </w:num>
  <w:num w:numId="3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5821BE"/>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5821BE"/>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9EAFF2-EC33-4EFC-BD70-FFA72B9E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2018-08-14T08:39:00Z</dcterms:created>
  <dcterms:modified xsi:type="dcterms:W3CDTF">2018-08-14T08:39:00Z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