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0133E56C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</w:t>
      </w:r>
      <w:r w:rsidR="002266D5">
        <w:rPr>
          <w:rFonts w:ascii="Arial" w:hAnsi="Arial" w:cs="Arial"/>
          <w:b/>
          <w:bCs/>
          <w:sz w:val="28"/>
        </w:rPr>
        <w:t>9</w:t>
      </w:r>
      <w:r w:rsidR="00ED2032">
        <w:rPr>
          <w:rFonts w:ascii="Arial" w:eastAsia="ＭＳ 明朝" w:hAnsi="Arial" w:cs="Arial" w:hint="eastAsia"/>
          <w:b/>
          <w:bCs/>
          <w:sz w:val="28"/>
          <w:lang w:eastAsia="ja-JP"/>
        </w:rPr>
        <w:t>4</w:t>
      </w:r>
      <w:r w:rsidR="002266D5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B23283" w:rsidRPr="00B23283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1808337</w:t>
      </w:r>
    </w:p>
    <w:p w14:paraId="7C19ABDC" w14:textId="709CFFB3" w:rsidR="002D6DCB" w:rsidRPr="002D6DCB" w:rsidRDefault="00ED2032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Gothenburg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Sweden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August</w:t>
      </w:r>
      <w:r w:rsidR="00A64B1F">
        <w:rPr>
          <w:rFonts w:cs="Arial"/>
          <w:b/>
          <w:bCs/>
          <w:sz w:val="28"/>
          <w:lang w:eastAsia="ja-JP"/>
        </w:rPr>
        <w:t xml:space="preserve"> </w:t>
      </w:r>
      <w:r w:rsidR="00D86793">
        <w:rPr>
          <w:rFonts w:cs="Arial" w:hint="eastAsia"/>
          <w:b/>
          <w:bCs/>
          <w:sz w:val="28"/>
          <w:lang w:eastAsia="ja-JP"/>
        </w:rPr>
        <w:t>2</w:t>
      </w:r>
      <w:r>
        <w:rPr>
          <w:rFonts w:cs="Arial" w:hint="eastAsia"/>
          <w:b/>
          <w:bCs/>
          <w:sz w:val="28"/>
          <w:lang w:eastAsia="ja-JP"/>
        </w:rPr>
        <w:t>0</w:t>
      </w:r>
      <w:r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 w:rsidR="00D86793">
        <w:rPr>
          <w:rFonts w:cs="Arial" w:hint="eastAsia"/>
          <w:b/>
          <w:bCs/>
          <w:sz w:val="28"/>
          <w:lang w:eastAsia="ja-JP"/>
        </w:rPr>
        <w:t>2</w:t>
      </w:r>
      <w:r>
        <w:rPr>
          <w:rFonts w:cs="Arial" w:hint="eastAsia"/>
          <w:b/>
          <w:bCs/>
          <w:sz w:val="28"/>
          <w:lang w:eastAsia="ja-JP"/>
        </w:rPr>
        <w:t>4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ED2032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6DF0F70B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5D35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4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 w:rsidR="005D350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59D35189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4C2F07">
        <w:rPr>
          <w:b/>
          <w:color w:val="000000" w:themeColor="text1"/>
          <w:kern w:val="2"/>
          <w:sz w:val="24"/>
          <w:lang w:eastAsia="zh-CN"/>
        </w:rPr>
        <w:t xml:space="preserve">onsiderations </w:t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FF0D88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HARQ enhancement</w:t>
      </w:r>
      <w:r w:rsidR="00091016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 unlicensed operation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5191979" w14:textId="484AC1EB" w:rsidR="00374CA0" w:rsidRDefault="008608A2" w:rsidP="00D66F82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</w:t>
      </w:r>
      <w:r w:rsidR="00016F08">
        <w:rPr>
          <w:rFonts w:eastAsia="ＭＳ 明朝" w:cs="Times" w:hint="eastAsia"/>
          <w:lang w:eastAsia="ja-JP"/>
        </w:rPr>
        <w:t xml:space="preserve">3 </w:t>
      </w:r>
      <w:r>
        <w:rPr>
          <w:rFonts w:eastAsia="ＭＳ 明朝" w:cs="Times" w:hint="eastAsia"/>
          <w:lang w:eastAsia="ja-JP"/>
        </w:rPr>
        <w:t>meeting, the following agreement</w:t>
      </w:r>
      <w:r w:rsidR="00C20397"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</w:t>
      </w:r>
      <w:r w:rsidR="00016F08">
        <w:rPr>
          <w:rFonts w:eastAsia="ＭＳ 明朝" w:cs="Times" w:hint="eastAsia"/>
          <w:lang w:eastAsia="ja-JP"/>
        </w:rPr>
        <w:t>ere</w:t>
      </w:r>
      <w:r>
        <w:rPr>
          <w:rFonts w:eastAsia="ＭＳ 明朝" w:cs="Times" w:hint="eastAsia"/>
          <w:lang w:eastAsia="ja-JP"/>
        </w:rPr>
        <w:t xml:space="preserve"> made [</w:t>
      </w:r>
      <w:r w:rsidR="00FF0D88">
        <w:rPr>
          <w:rFonts w:eastAsia="ＭＳ 明朝" w:cs="Times" w:hint="eastAsia"/>
          <w:lang w:eastAsia="ja-JP"/>
        </w:rPr>
        <w:t>1</w:t>
      </w:r>
      <w:r>
        <w:rPr>
          <w:rFonts w:eastAsia="ＭＳ 明朝" w:cs="Times" w:hint="eastAsia"/>
          <w:lang w:eastAsia="ja-JP"/>
        </w:rPr>
        <w:t>].</w:t>
      </w:r>
    </w:p>
    <w:p w14:paraId="144428E3" w14:textId="77777777" w:rsidR="00FF0D88" w:rsidRPr="00FF0D88" w:rsidRDefault="00FF0D88" w:rsidP="00FF0D88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15E153B9" w14:textId="77777777" w:rsidR="00FF0D88" w:rsidRPr="00FF0D88" w:rsidRDefault="00FF0D88" w:rsidP="00FF0D88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Transmission of HARQ A/N for the corresponding data in the same shared COT is identified as beneficial</w:t>
      </w:r>
    </w:p>
    <w:p w14:paraId="0055B016" w14:textId="77777777" w:rsidR="00FF0D88" w:rsidRPr="00FF0D88" w:rsidRDefault="00FF0D88" w:rsidP="00FF0D8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Strive to support transmitting all HARQ A/N for the corresponding data in the same shared COT, if possible, considering the current NR UE processing time required</w:t>
      </w:r>
    </w:p>
    <w:p w14:paraId="7250E13B" w14:textId="77777777" w:rsidR="00FF0D88" w:rsidRPr="00FF0D88" w:rsidRDefault="00FF0D88" w:rsidP="00FF0D88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Mechanisms to support this need to be identified</w:t>
      </w:r>
    </w:p>
    <w:p w14:paraId="23DD78D7" w14:textId="77777777" w:rsidR="00FF0D88" w:rsidRPr="00FF0D88" w:rsidRDefault="00FF0D88" w:rsidP="00FF0D88">
      <w:pPr>
        <w:numPr>
          <w:ilvl w:val="1"/>
          <w:numId w:val="29"/>
        </w:numPr>
        <w:autoSpaceDE/>
        <w:autoSpaceDN/>
        <w:adjustRightInd/>
        <w:snapToGrid/>
        <w:spacing w:after="0"/>
        <w:contextualSpacing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FF0D88">
        <w:rPr>
          <w:rFonts w:ascii="Times" w:eastAsia="Batang" w:hAnsi="Times"/>
          <w:sz w:val="20"/>
          <w:szCs w:val="20"/>
          <w:lang w:val="en-GB" w:eastAsia="x-none"/>
        </w:rPr>
        <w:t>It is understood in some cases, the HARQ A/N has to be transmitted in a separate COT from the one the corresponding data was transmitted</w:t>
      </w:r>
    </w:p>
    <w:p w14:paraId="0271A142" w14:textId="77777777" w:rsidR="00FF0D88" w:rsidRPr="00FF0D88" w:rsidRDefault="00FF0D88" w:rsidP="00FF0D88">
      <w:pPr>
        <w:numPr>
          <w:ilvl w:val="2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Mechanisms to support this need to be identified</w:t>
      </w:r>
    </w:p>
    <w:p w14:paraId="5C440996" w14:textId="77777777" w:rsidR="00FF0D88" w:rsidRPr="00FF0D88" w:rsidRDefault="00FF0D88" w:rsidP="00FF0D88">
      <w:pPr>
        <w:autoSpaceDE/>
        <w:autoSpaceDN/>
        <w:adjustRightInd/>
        <w:snapToGrid/>
        <w:spacing w:after="0" w:line="259" w:lineRule="auto"/>
        <w:ind w:left="720" w:hanging="720"/>
        <w:jc w:val="left"/>
        <w:rPr>
          <w:rFonts w:ascii="Times" w:eastAsia="Batang" w:hAnsi="Times"/>
          <w:sz w:val="20"/>
          <w:szCs w:val="24"/>
          <w:highlight w:val="cyan"/>
          <w:lang w:val="en-GB"/>
        </w:rPr>
      </w:pPr>
      <w:r w:rsidRPr="00FF0D88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3930AA91" w14:textId="77777777" w:rsidR="00FF0D88" w:rsidRPr="00FF0D88" w:rsidRDefault="00FF0D88" w:rsidP="00FF0D88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Techniques to handle reduced HARQ A/N transmission opportunities for a given HARQ process due to LBT failure are identified as beneficial</w:t>
      </w:r>
    </w:p>
    <w:p w14:paraId="1B0C5CD0" w14:textId="77777777" w:rsidR="00FF0D88" w:rsidRPr="00FF0D88" w:rsidRDefault="00FF0D88" w:rsidP="00FF0D88">
      <w:pPr>
        <w:numPr>
          <w:ilvl w:val="1"/>
          <w:numId w:val="2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FF0D88">
        <w:rPr>
          <w:rFonts w:ascii="Times" w:eastAsia="Batang" w:hAnsi="Times"/>
          <w:sz w:val="20"/>
          <w:szCs w:val="24"/>
          <w:lang w:val="en-GB" w:eastAsia="x-none"/>
        </w:rPr>
        <w:t>Potential techniques include mechanisms to provide multiple and/or supplemental time and/or frequency domain transmission opportunities</w:t>
      </w:r>
    </w:p>
    <w:p w14:paraId="44514CC3" w14:textId="77777777" w:rsidR="00FF0D88" w:rsidRPr="00FF0D88" w:rsidRDefault="00FF0D88" w:rsidP="00FF0D88">
      <w:pPr>
        <w:autoSpaceDE/>
        <w:autoSpaceDN/>
        <w:adjustRightInd/>
        <w:snapToGrid/>
        <w:spacing w:after="0" w:line="259" w:lineRule="auto"/>
        <w:ind w:left="720" w:hanging="720"/>
        <w:jc w:val="left"/>
        <w:rPr>
          <w:rFonts w:ascii="Times" w:eastAsia="Batang" w:hAnsi="Times"/>
          <w:sz w:val="20"/>
          <w:szCs w:val="24"/>
          <w:lang w:val="en-GB"/>
        </w:rPr>
      </w:pPr>
      <w:r w:rsidRPr="00FF0D88">
        <w:rPr>
          <w:rFonts w:ascii="Times" w:eastAsia="Batang" w:hAnsi="Times"/>
          <w:sz w:val="20"/>
          <w:szCs w:val="24"/>
          <w:highlight w:val="green"/>
          <w:lang w:val="en-GB"/>
        </w:rPr>
        <w:t>Agreement:</w:t>
      </w:r>
    </w:p>
    <w:p w14:paraId="7DFAAD54" w14:textId="77777777" w:rsidR="00FF0D88" w:rsidRPr="00FF0D88" w:rsidRDefault="00FF0D88" w:rsidP="00FF0D88">
      <w:pPr>
        <w:numPr>
          <w:ilvl w:val="0"/>
          <w:numId w:val="29"/>
        </w:numPr>
        <w:autoSpaceDE/>
        <w:autoSpaceDN/>
        <w:adjustRightInd/>
        <w:snapToGrid/>
        <w:spacing w:after="0" w:line="259" w:lineRule="auto"/>
        <w:contextualSpacing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FF0D88">
        <w:rPr>
          <w:rFonts w:ascii="Times" w:eastAsia="Batang" w:hAnsi="Times"/>
          <w:sz w:val="20"/>
          <w:szCs w:val="20"/>
          <w:lang w:val="en-GB" w:eastAsia="x-none"/>
        </w:rPr>
        <w:t>NR-U uses NR HARQ feedback mechanisms as baseline, and enhancements can be identified</w:t>
      </w:r>
    </w:p>
    <w:p w14:paraId="14D85D37" w14:textId="77777777" w:rsidR="00FF0D88" w:rsidRPr="00FF0D88" w:rsidRDefault="00FF0D88" w:rsidP="00FF0D88">
      <w:pPr>
        <w:numPr>
          <w:ilvl w:val="0"/>
          <w:numId w:val="29"/>
        </w:numPr>
        <w:autoSpaceDE/>
        <w:autoSpaceDN/>
        <w:adjustRightInd/>
        <w:snapToGrid/>
        <w:spacing w:after="0" w:line="259" w:lineRule="auto"/>
        <w:contextualSpacing/>
        <w:jc w:val="left"/>
        <w:rPr>
          <w:rFonts w:ascii="Times" w:eastAsia="Batang" w:hAnsi="Times"/>
          <w:sz w:val="20"/>
          <w:szCs w:val="20"/>
          <w:lang w:val="en-GB" w:eastAsia="x-none"/>
        </w:rPr>
      </w:pPr>
      <w:r w:rsidRPr="00FF0D88">
        <w:rPr>
          <w:rFonts w:ascii="Times" w:eastAsia="Batang" w:hAnsi="Times"/>
          <w:sz w:val="20"/>
          <w:szCs w:val="20"/>
          <w:lang w:val="en-GB" w:eastAsia="x-none"/>
        </w:rPr>
        <w:t>When UL HARQ feedback is transmitted on unlicensed band, NR-U considers mechanisms to support flexible triggering and multiplexing of HARQ feedback for one or more DL HARQ processes</w:t>
      </w:r>
    </w:p>
    <w:p w14:paraId="3A2F8BDB" w14:textId="77777777" w:rsidR="00016F08" w:rsidRPr="00FF0D88" w:rsidRDefault="00016F08" w:rsidP="00E34357">
      <w:pPr>
        <w:autoSpaceDE/>
        <w:autoSpaceDN/>
        <w:adjustRightInd/>
        <w:snapToGrid/>
        <w:spacing w:after="0"/>
        <w:rPr>
          <w:rFonts w:eastAsia="ＭＳ 明朝"/>
          <w:lang w:val="en-GB" w:eastAsia="ja-JP"/>
        </w:rPr>
      </w:pPr>
    </w:p>
    <w:p w14:paraId="7D9FF987" w14:textId="1218DDD1" w:rsidR="00087EFB" w:rsidRPr="00430002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</w:t>
      </w:r>
      <w:r w:rsidR="00357007">
        <w:rPr>
          <w:rFonts w:eastAsia="ＭＳ 明朝" w:hint="eastAsia"/>
          <w:color w:val="000000" w:themeColor="text1"/>
          <w:lang w:eastAsia="ja-JP"/>
        </w:rPr>
        <w:t>HARQ enhancements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unlicensed NR</w:t>
      </w:r>
      <w:r w:rsidR="00016F08">
        <w:rPr>
          <w:rFonts w:eastAsia="ＭＳ 明朝" w:hint="eastAsia"/>
          <w:color w:val="000000" w:themeColor="text1"/>
          <w:lang w:eastAsia="ja-JP"/>
        </w:rPr>
        <w:t>.</w:t>
      </w:r>
    </w:p>
    <w:p w14:paraId="61D3EC86" w14:textId="77777777" w:rsidR="00F12021" w:rsidRPr="00016F08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75894167" w14:textId="2C0FFCD5" w:rsidR="00264DB2" w:rsidRDefault="00357007" w:rsidP="008E3F5E">
      <w:pPr>
        <w:pStyle w:val="1"/>
        <w:rPr>
          <w:lang w:eastAsia="zh-CN"/>
        </w:rPr>
      </w:pPr>
      <w:r>
        <w:rPr>
          <w:rFonts w:eastAsia="ＭＳ 明朝" w:hint="eastAsia"/>
          <w:lang w:eastAsia="ja-JP"/>
        </w:rPr>
        <w:t>Discussion</w:t>
      </w:r>
    </w:p>
    <w:p w14:paraId="699A8A90" w14:textId="3E28033F" w:rsidR="00B47BDF" w:rsidRDefault="00462F0B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per the regulation of ETSI BRAN [2], </w:t>
      </w:r>
      <w:r w:rsidR="0011222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if </w:t>
      </w:r>
      <w:r w:rsidR="00C203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151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gap between </w:t>
      </w:r>
      <w:r w:rsidR="00C203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151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transmission from</w:t>
      </w:r>
      <w:r w:rsidR="00C203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</w:t>
      </w:r>
      <w:r w:rsidR="00C151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C00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initiating </w:t>
      </w:r>
      <w:r w:rsidR="00C151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device a</w:t>
      </w:r>
      <w:r w:rsidR="00FB5D2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nd that from </w:t>
      </w:r>
      <w:r w:rsidR="00C203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2C00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responding </w:t>
      </w:r>
      <w:r w:rsidR="00FB5D2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device is less than </w:t>
      </w:r>
      <w:r w:rsidR="0011222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equal to </w:t>
      </w:r>
      <w:r w:rsidR="00C151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16 </w:t>
      </w:r>
      <w:proofErr w:type="spellStart"/>
      <w:r w:rsidR="00C1515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usec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11222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transmission without LBT is allowed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42334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1222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11222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HARQ-ACK feedback </w:t>
      </w:r>
      <w:r w:rsidR="00C2039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fail</w:t>
      </w:r>
      <w:r w:rsidR="00C203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11222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C203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1222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transmitter has to retransmit the same data (PDSCH/PUSCH). </w:t>
      </w:r>
      <w:r w:rsidR="0011222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11222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avoid </w:t>
      </w:r>
      <w:r w:rsidR="0011222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unnecessary</w:t>
      </w:r>
      <w:r w:rsidR="0011222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retransmission</w:t>
      </w:r>
      <w:r w:rsidR="00C203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11222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HARQ-ACK feedback should be ensured as much as possible. Therefore, l</w:t>
      </w:r>
      <w:r w:rsidR="00B47BD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ike Wi-Fi ACK transmission, t</w:t>
      </w:r>
      <w:r w:rsidR="00D66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ransmission without LBT for HARQ-ACK</w:t>
      </w:r>
      <w:r w:rsidR="00D667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would be</w:t>
      </w:r>
      <w:r w:rsidR="00D66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667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beneficial</w:t>
      </w:r>
      <w:r w:rsidR="00D66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76181639" w14:textId="31D1CF9F" w:rsidR="00B47BDF" w:rsidRPr="00462F0B" w:rsidRDefault="00B47BDF" w:rsidP="00B47BD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462F0B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462F0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bservation: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Transmission without LBT for HARQ-ACK feedbac</w:t>
      </w:r>
      <w:r w:rsidRPr="0017554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k </w:t>
      </w:r>
      <w:r w:rsidR="00C20397" w:rsidRPr="0017554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would be </w:t>
      </w:r>
      <w:r w:rsidR="00C20397" w:rsidRPr="0017554E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="00F63A5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when </w:t>
      </w:r>
      <w:r w:rsidR="00F2102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</w:t>
      </w:r>
      <w:r w:rsidR="00F63A5A" w:rsidRPr="00F63A5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HARQ</w:t>
      </w:r>
      <w:r w:rsidR="00F63A5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-ACK</w:t>
      </w:r>
      <w:r w:rsidR="00F63A5A" w:rsidRPr="00F63A5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for the corresponding data in the same shared COT</w:t>
      </w:r>
      <w:r w:rsidR="00F63A5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is transmitted</w:t>
      </w:r>
      <w:r w:rsidRPr="0017554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0413CD2B" w14:textId="4CE59D09" w:rsidR="00462F0B" w:rsidRPr="0042334C" w:rsidRDefault="0042334C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owever, PDSCH processing time for current </w:t>
      </w:r>
      <w:r w:rsidR="00C203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levels of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processing capacity </w:t>
      </w:r>
      <w:r w:rsidR="00D7676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is </w:t>
      </w:r>
      <w:r w:rsidR="00D7676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obviously</w:t>
      </w:r>
      <w:r w:rsidR="00D7676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longer than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16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usec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example, assuming </w:t>
      </w:r>
      <w:r w:rsidR="00D6671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PDSCH transmission with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60 kHz SCS and PDSCH processing capability 1, it 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was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calculated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based on Section 5.3 in TS 38.214 [3] that PDSCH decoding time is around 0.3 msec. 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concludes that HARQ-ACK corresponding to PDSCH </w:t>
      </w:r>
      <w:r w:rsidR="00DE72C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transmitted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the last slot on the COT cannot be transmitted in the same COT. In that case, HARQ-ACK must be transmitted in a separate COT</w:t>
      </w:r>
      <w:r w:rsidR="00C2039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F68B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</w:t>
      </w:r>
      <w:r w:rsidR="000F68B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herefore</w:t>
      </w:r>
      <w:r w:rsidR="000F68B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since performing LBT before transmission in a separate COT is </w:t>
      </w:r>
      <w:r w:rsidR="000F68B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mandatory</w:t>
      </w:r>
      <w:r w:rsidR="000F68B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="000F68B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 should also consider </w:t>
      </w:r>
      <w:r w:rsidR="006F3DD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 mechanism to support 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transmission with LBT for HARQ-ACK feedback</w:t>
      </w:r>
      <w:r w:rsidR="0017554E" w:rsidRPr="0017554E">
        <w:t xml:space="preserve"> </w:t>
      </w:r>
      <w:r w:rsidR="0017554E" w:rsidRPr="0017554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a separated COT from the one the corresponding data was transmitted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0EF9E7C9" w14:textId="4E668915" w:rsidR="00462F0B" w:rsidRPr="00462F0B" w:rsidRDefault="0017554E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Proposal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1</w:t>
      </w:r>
      <w:r w:rsidRPr="00462F0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360E1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Mechanism to support 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ransmission with LBT for HARQ-ACK feedback in a separated COT </w:t>
      </w:r>
      <w:r w:rsidRPr="0017554E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from the one the corresponding data was transmitted</w:t>
      </w:r>
      <w:r w:rsidRPr="0017554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be considered.</w:t>
      </w:r>
    </w:p>
    <w:p w14:paraId="7FD47A18" w14:textId="09253144" w:rsidR="00462F0B" w:rsidRPr="002E0D95" w:rsidRDefault="002E0D95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>F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 HARQ-ACK feedback with LBT, 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 should consider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recovery 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mechanism</w:t>
      </w:r>
      <w:r w:rsidR="00B25E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the case that HARQ-ACK feedback cannot be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transmitted on the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indicated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timing </w:t>
      </w:r>
      <w:r w:rsidR="00DE72C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due to LBT failure.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for DL HARQ-ACK feedback, we consider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opportunistic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PUCCH transmission in multiple PUCCH resource in </w:t>
      </w:r>
      <w:r w:rsidR="00B25E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time domain. </w:t>
      </w:r>
      <w:proofErr w:type="spell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may indicate multiple resource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on different timing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PUCCH transmission </w:t>
      </w:r>
      <w:r w:rsidR="00B25E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corresponding</w:t>
      </w:r>
      <w:r w:rsidR="00B25E7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one PDSCH. 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Even if </w:t>
      </w:r>
      <w:r w:rsidR="00B25E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channel is busy on certain timing, </w:t>
      </w:r>
      <w:r w:rsidR="00B25E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transmit PUCCH by using one of </w:t>
      </w:r>
      <w:r w:rsidR="00B25E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resources </w:t>
      </w:r>
      <w:r w:rsidR="00C20CB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on other timing</w:t>
      </w:r>
      <w:r w:rsidR="00B25E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20CB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25E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which the</w:t>
      </w:r>
      <w:r w:rsidR="00B25E7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indicate</w:t>
      </w:r>
      <w:r w:rsidR="00C20CB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 T</w:t>
      </w:r>
      <w:r w:rsidR="00E6762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hrough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this mechanism, PUCCH transmission </w:t>
      </w:r>
      <w:r w:rsidR="00B25E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opportunities</w:t>
      </w:r>
      <w:r w:rsidR="00B25E7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6762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could be increased.</w:t>
      </w:r>
    </w:p>
    <w:p w14:paraId="38726F01" w14:textId="084FBDE6" w:rsidR="008E0888" w:rsidRDefault="004D4312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="0017554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2</w:t>
      </w:r>
      <w:r w:rsidR="00E54954"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 w:rsidR="00011AC7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62F0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O</w:t>
      </w:r>
      <w:r w:rsidR="00011AC7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pportunistic</w:t>
      </w:r>
      <w:r w:rsidR="00011AC7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PUCCH transmission </w:t>
      </w:r>
      <w:r w:rsidR="005D3506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in multiple PUCCH resource</w:t>
      </w:r>
      <w:r w:rsidR="00B25E7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 w:rsidR="005D3506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011AC7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be considered.</w:t>
      </w:r>
      <w:bookmarkStart w:id="0" w:name="_GoBack"/>
      <w:bookmarkEnd w:id="0"/>
    </w:p>
    <w:p w14:paraId="3F58EBD2" w14:textId="77777777" w:rsidR="0028549A" w:rsidRPr="00462F0B" w:rsidRDefault="0028549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88D56EE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6FCFB1D9" w14:textId="6DA6C49E" w:rsidR="0017554E" w:rsidRPr="0017554E" w:rsidRDefault="0017554E" w:rsidP="0017554E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17554E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17554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bservation: Transmission without LBT for HARQ-ACK feedback would be </w:t>
      </w:r>
      <w:r w:rsidRPr="0017554E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="00F2102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when the </w:t>
      </w:r>
      <w:r w:rsidR="00F21024" w:rsidRPr="00F63A5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HARQ</w:t>
      </w:r>
      <w:r w:rsidR="00F2102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-ACK</w:t>
      </w:r>
      <w:r w:rsidR="00F21024" w:rsidRPr="00F63A5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for the corresponding data in the same shared COT</w:t>
      </w:r>
      <w:r w:rsidR="00F2102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is transmitted</w:t>
      </w:r>
      <w:r w:rsidRPr="0017554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71E975E9" w14:textId="4EA5C1B2" w:rsidR="00D75E66" w:rsidRPr="00462F0B" w:rsidRDefault="00D75E66" w:rsidP="00D75E66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Proposal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1</w:t>
      </w:r>
      <w:r w:rsidRPr="00462F0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="00F959A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Mechanism to support 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ransmission with LBT for HARQ-ACK feedback in a separated COT </w:t>
      </w:r>
      <w:r w:rsidRPr="0017554E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from the one the corresponding data was transmitted</w:t>
      </w:r>
      <w:r w:rsidRPr="0017554E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should be considered.</w:t>
      </w:r>
    </w:p>
    <w:p w14:paraId="38A6EC5E" w14:textId="77777777" w:rsidR="00D75E66" w:rsidRDefault="00D75E66" w:rsidP="00D75E66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 2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O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pportunistic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PUCCH transmission in multiple PUCCH resource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considered.</w:t>
      </w:r>
    </w:p>
    <w:p w14:paraId="0CB60389" w14:textId="77777777" w:rsidR="00462F0B" w:rsidRPr="00462F0B" w:rsidRDefault="00462F0B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F4B9030" w14:textId="28B03E5F" w:rsidR="008608A2" w:rsidRPr="000C6B20" w:rsidRDefault="008608A2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3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May</w:t>
      </w:r>
      <w:r w:rsidR="002939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="00835EC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013509C7" w14:textId="1F3657E6" w:rsidR="000C6B20" w:rsidRPr="0042334C" w:rsidRDefault="000C6B20" w:rsidP="000C6B2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ETSI EN 301 893, v2.1.1, May 2017.</w:t>
      </w:r>
    </w:p>
    <w:p w14:paraId="2ACE4028" w14:textId="5B87B077" w:rsidR="0042334C" w:rsidRPr="000C6B20" w:rsidRDefault="0042334C" w:rsidP="000C6B20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TS 38.214, v15.2.0, Jun 2018.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A1D871A" w15:done="0"/>
  <w15:commentEx w15:paraId="1049D5E3" w15:done="0"/>
  <w15:commentEx w15:paraId="08A1D93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5B37A" w14:textId="77777777" w:rsidR="00614C4D" w:rsidRDefault="00614C4D">
      <w:r>
        <w:separator/>
      </w:r>
    </w:p>
  </w:endnote>
  <w:endnote w:type="continuationSeparator" w:id="0">
    <w:p w14:paraId="1CBB38DA" w14:textId="77777777" w:rsidR="00614C4D" w:rsidRDefault="0061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496C1" w14:textId="77777777" w:rsidR="00614C4D" w:rsidRDefault="00614C4D">
      <w:r>
        <w:separator/>
      </w:r>
    </w:p>
  </w:footnote>
  <w:footnote w:type="continuationSeparator" w:id="0">
    <w:p w14:paraId="1D567814" w14:textId="77777777" w:rsidR="00614C4D" w:rsidRDefault="0061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7"/>
  </w:num>
  <w:num w:numId="4">
    <w:abstractNumId w:val="22"/>
  </w:num>
  <w:num w:numId="5">
    <w:abstractNumId w:val="26"/>
  </w:num>
  <w:num w:numId="6">
    <w:abstractNumId w:val="1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3"/>
  </w:num>
  <w:num w:numId="11">
    <w:abstractNumId w:val="7"/>
  </w:num>
  <w:num w:numId="12">
    <w:abstractNumId w:val="9"/>
  </w:num>
  <w:num w:numId="13">
    <w:abstractNumId w:val="0"/>
  </w:num>
  <w:num w:numId="14">
    <w:abstractNumId w:val="21"/>
  </w:num>
  <w:num w:numId="15">
    <w:abstractNumId w:val="20"/>
  </w:num>
  <w:num w:numId="16">
    <w:abstractNumId w:val="1"/>
  </w:num>
  <w:num w:numId="17">
    <w:abstractNumId w:val="14"/>
  </w:num>
  <w:num w:numId="18">
    <w:abstractNumId w:val="10"/>
  </w:num>
  <w:num w:numId="19">
    <w:abstractNumId w:val="23"/>
  </w:num>
  <w:num w:numId="20">
    <w:abstractNumId w:val="24"/>
  </w:num>
  <w:num w:numId="21">
    <w:abstractNumId w:val="25"/>
  </w:num>
  <w:num w:numId="22">
    <w:abstractNumId w:val="8"/>
  </w:num>
  <w:num w:numId="23">
    <w:abstractNumId w:val="19"/>
  </w:num>
  <w:num w:numId="24">
    <w:abstractNumId w:val="6"/>
  </w:num>
  <w:num w:numId="25">
    <w:abstractNumId w:val="11"/>
  </w:num>
  <w:num w:numId="26">
    <w:abstractNumId w:val="16"/>
  </w:num>
  <w:num w:numId="27">
    <w:abstractNumId w:val="17"/>
  </w:num>
  <w:num w:numId="28">
    <w:abstractNumId w:val="4"/>
  </w:num>
  <w:num w:numId="29">
    <w:abstractNumId w:val="2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AC7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2BA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016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6B20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8BD"/>
    <w:rsid w:val="000F6EAD"/>
    <w:rsid w:val="000F7F58"/>
    <w:rsid w:val="00100128"/>
    <w:rsid w:val="00100E3F"/>
    <w:rsid w:val="00100FF3"/>
    <w:rsid w:val="0010101C"/>
    <w:rsid w:val="001012B8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223"/>
    <w:rsid w:val="00112928"/>
    <w:rsid w:val="001129B5"/>
    <w:rsid w:val="001136C0"/>
    <w:rsid w:val="001141E3"/>
    <w:rsid w:val="001144DF"/>
    <w:rsid w:val="00114A64"/>
    <w:rsid w:val="0011557B"/>
    <w:rsid w:val="0011564F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94D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54E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AEC"/>
    <w:rsid w:val="002151D4"/>
    <w:rsid w:val="002156CD"/>
    <w:rsid w:val="002158EA"/>
    <w:rsid w:val="00215AFD"/>
    <w:rsid w:val="00215F7E"/>
    <w:rsid w:val="00216422"/>
    <w:rsid w:val="002170AA"/>
    <w:rsid w:val="00217D5B"/>
    <w:rsid w:val="00217DF2"/>
    <w:rsid w:val="00220894"/>
    <w:rsid w:val="00220A50"/>
    <w:rsid w:val="00221005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C5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AD2"/>
    <w:rsid w:val="002B538E"/>
    <w:rsid w:val="002B5DCA"/>
    <w:rsid w:val="002B639D"/>
    <w:rsid w:val="002B6BDC"/>
    <w:rsid w:val="002B6E45"/>
    <w:rsid w:val="002B7342"/>
    <w:rsid w:val="002B75B0"/>
    <w:rsid w:val="002B7705"/>
    <w:rsid w:val="002B796A"/>
    <w:rsid w:val="002B7EAF"/>
    <w:rsid w:val="002C00CE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0D95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07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18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20C6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6D8F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34C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2F0B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4751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C8C"/>
    <w:rsid w:val="005B2DF2"/>
    <w:rsid w:val="005B3D30"/>
    <w:rsid w:val="005B3D4A"/>
    <w:rsid w:val="005B4D87"/>
    <w:rsid w:val="005B50B6"/>
    <w:rsid w:val="005B5A46"/>
    <w:rsid w:val="005B694C"/>
    <w:rsid w:val="005B729B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506"/>
    <w:rsid w:val="005D3B60"/>
    <w:rsid w:val="005D3D76"/>
    <w:rsid w:val="005D3F19"/>
    <w:rsid w:val="005D4578"/>
    <w:rsid w:val="005D4C26"/>
    <w:rsid w:val="005D4EFA"/>
    <w:rsid w:val="005D55BA"/>
    <w:rsid w:val="005D5ADB"/>
    <w:rsid w:val="005D61D9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7E5"/>
    <w:rsid w:val="006138A1"/>
    <w:rsid w:val="00613AF8"/>
    <w:rsid w:val="00613B69"/>
    <w:rsid w:val="00613D8E"/>
    <w:rsid w:val="00613F8F"/>
    <w:rsid w:val="00613FFB"/>
    <w:rsid w:val="006142E0"/>
    <w:rsid w:val="00614C4D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034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990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C7261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3DDB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3FFC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72A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15C6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19A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0FA7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C8"/>
    <w:rsid w:val="009836E4"/>
    <w:rsid w:val="009840FB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A6B"/>
    <w:rsid w:val="009A781F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4078D"/>
    <w:rsid w:val="00A40F05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803D5"/>
    <w:rsid w:val="00A8056E"/>
    <w:rsid w:val="00A80893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0BA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283"/>
    <w:rsid w:val="00B23AF4"/>
    <w:rsid w:val="00B23C15"/>
    <w:rsid w:val="00B2485E"/>
    <w:rsid w:val="00B24928"/>
    <w:rsid w:val="00B253D9"/>
    <w:rsid w:val="00B25762"/>
    <w:rsid w:val="00B25A92"/>
    <w:rsid w:val="00B25B40"/>
    <w:rsid w:val="00B25E75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47BDF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A1D"/>
    <w:rsid w:val="00C13BDA"/>
    <w:rsid w:val="00C13FFD"/>
    <w:rsid w:val="00C14426"/>
    <w:rsid w:val="00C14632"/>
    <w:rsid w:val="00C1515C"/>
    <w:rsid w:val="00C15616"/>
    <w:rsid w:val="00C15840"/>
    <w:rsid w:val="00C159F5"/>
    <w:rsid w:val="00C162DC"/>
    <w:rsid w:val="00C16699"/>
    <w:rsid w:val="00C16C30"/>
    <w:rsid w:val="00C17299"/>
    <w:rsid w:val="00C17437"/>
    <w:rsid w:val="00C17DA6"/>
    <w:rsid w:val="00C20239"/>
    <w:rsid w:val="00C20345"/>
    <w:rsid w:val="00C20397"/>
    <w:rsid w:val="00C20A00"/>
    <w:rsid w:val="00C20CB3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702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171"/>
    <w:rsid w:val="00CC52F4"/>
    <w:rsid w:val="00CC52FE"/>
    <w:rsid w:val="00CC5C5B"/>
    <w:rsid w:val="00CC5D59"/>
    <w:rsid w:val="00CC62B0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71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5E66"/>
    <w:rsid w:val="00D761AA"/>
    <w:rsid w:val="00D7676F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2CB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E8A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63B"/>
    <w:rsid w:val="00E3165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62B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E52"/>
    <w:rsid w:val="00ED3024"/>
    <w:rsid w:val="00ED3C45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024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3A5A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1C7"/>
    <w:rsid w:val="00F93559"/>
    <w:rsid w:val="00F93D72"/>
    <w:rsid w:val="00F93E65"/>
    <w:rsid w:val="00F94070"/>
    <w:rsid w:val="00F950B5"/>
    <w:rsid w:val="00F9513F"/>
    <w:rsid w:val="00F959A9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D2F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0D88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73DACEFB-D48F-4AFE-A5F3-1A0BEE61EF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491337-B7F6-4489-909F-2DB935DAD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15</cp:revision>
  <cp:lastPrinted>2017-08-08T10:03:00Z</cp:lastPrinted>
  <dcterms:created xsi:type="dcterms:W3CDTF">2018-08-10T10:37:00Z</dcterms:created>
  <dcterms:modified xsi:type="dcterms:W3CDTF">2018-08-10T15:19:00Z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