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D9D74" w14:textId="3657E3E7" w:rsidR="0080185C" w:rsidRPr="00546D97" w:rsidRDefault="005F411F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</w:t>
      </w:r>
      <w:r w:rsidR="0080185C" w:rsidRPr="00546D97">
        <w:rPr>
          <w:rFonts w:ascii="Arial" w:hAnsi="Arial" w:cs="Arial"/>
          <w:b/>
          <w:sz w:val="24"/>
          <w:szCs w:val="24"/>
          <w:lang w:val="en-US"/>
        </w:rPr>
        <w:t>GPP TSG-RAN</w:t>
      </w:r>
      <w:r w:rsidR="004432D7" w:rsidRPr="00546D97">
        <w:rPr>
          <w:rFonts w:ascii="Arial" w:hAnsi="Arial" w:cs="Arial"/>
          <w:b/>
          <w:sz w:val="24"/>
          <w:szCs w:val="24"/>
          <w:lang w:val="en-US"/>
        </w:rPr>
        <w:t xml:space="preserve"> WG</w:t>
      </w:r>
      <w:r w:rsidR="0080185C" w:rsidRPr="00546D97">
        <w:rPr>
          <w:rFonts w:ascii="Arial" w:hAnsi="Arial" w:cs="Arial"/>
          <w:b/>
          <w:sz w:val="24"/>
          <w:szCs w:val="24"/>
          <w:lang w:val="en-US"/>
        </w:rPr>
        <w:t xml:space="preserve">1 </w:t>
      </w:r>
      <w:r w:rsidR="00E00BAA" w:rsidRPr="00546D97">
        <w:rPr>
          <w:rFonts w:ascii="Arial" w:hAnsi="Arial" w:cs="Arial"/>
          <w:b/>
          <w:sz w:val="24"/>
          <w:szCs w:val="24"/>
          <w:lang w:val="en-US"/>
        </w:rPr>
        <w:t>#</w:t>
      </w:r>
      <w:r w:rsidR="0080185C" w:rsidRPr="00546D97">
        <w:rPr>
          <w:rFonts w:ascii="Arial" w:hAnsi="Arial" w:cs="Arial"/>
          <w:b/>
          <w:sz w:val="24"/>
          <w:szCs w:val="24"/>
          <w:lang w:val="en-US"/>
        </w:rPr>
        <w:t>9</w:t>
      </w:r>
      <w:r w:rsidR="00AC27C5" w:rsidRPr="00546D97">
        <w:rPr>
          <w:rFonts w:ascii="Arial" w:hAnsi="Arial" w:cs="Arial"/>
          <w:b/>
          <w:sz w:val="24"/>
          <w:szCs w:val="24"/>
          <w:lang w:val="en-US"/>
        </w:rPr>
        <w:t>3</w:t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E00BAA" w:rsidRPr="00546D97">
        <w:rPr>
          <w:rFonts w:ascii="Arial" w:hAnsi="Arial" w:cs="Arial"/>
          <w:b/>
          <w:sz w:val="24"/>
          <w:lang w:val="en-US"/>
        </w:rPr>
        <w:tab/>
      </w:r>
      <w:r w:rsidR="0080185C" w:rsidRPr="00546D97">
        <w:rPr>
          <w:rFonts w:ascii="Arial" w:hAnsi="Arial" w:cs="Arial"/>
          <w:b/>
          <w:sz w:val="24"/>
          <w:lang w:val="en-US"/>
        </w:rPr>
        <w:tab/>
      </w:r>
    </w:p>
    <w:p w14:paraId="563E43B4" w14:textId="67571DEA" w:rsidR="0080185C" w:rsidRPr="00183B20" w:rsidRDefault="00AC27C5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Busan, South Korea, May 21</w:t>
      </w:r>
      <w:r w:rsidR="00CE35D7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E35D7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25</w:t>
      </w:r>
      <w:r w:rsidR="00CE35D7" w:rsidRPr="00CE35D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E35D7" w:rsidRPr="00183B20">
        <w:rPr>
          <w:rFonts w:ascii="Arial" w:hAnsi="Arial" w:cs="Arial"/>
          <w:b/>
          <w:sz w:val="24"/>
          <w:lang w:val="en-US"/>
        </w:rPr>
        <w:t>,</w:t>
      </w:r>
      <w:r w:rsidR="00CE35D7">
        <w:rPr>
          <w:rFonts w:ascii="Arial" w:hAnsi="Arial" w:cs="Arial"/>
          <w:b/>
          <w:sz w:val="24"/>
          <w:lang w:val="en-US"/>
        </w:rPr>
        <w:t xml:space="preserve"> </w:t>
      </w:r>
      <w:r w:rsidR="00A677E9">
        <w:rPr>
          <w:rFonts w:ascii="Arial" w:hAnsi="Arial" w:cs="Arial"/>
          <w:b/>
          <w:sz w:val="24"/>
          <w:lang w:val="en-US"/>
        </w:rPr>
        <w:t xml:space="preserve">2018    </w:t>
      </w:r>
      <w:r w:rsidR="0080185C">
        <w:rPr>
          <w:rFonts w:ascii="Arial" w:hAnsi="Arial" w:cs="Arial"/>
          <w:b/>
          <w:sz w:val="24"/>
          <w:lang w:val="en-US"/>
        </w:rPr>
        <w:tab/>
      </w:r>
      <w:r w:rsidR="0080185C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="0080185C" w:rsidRPr="00183B20">
        <w:rPr>
          <w:rFonts w:ascii="Arial" w:hAnsi="Arial" w:cs="Arial"/>
          <w:b/>
          <w:sz w:val="24"/>
          <w:lang w:val="en-US"/>
        </w:rPr>
        <w:t>R1-</w:t>
      </w:r>
      <w:r w:rsidR="002665BC">
        <w:rPr>
          <w:rFonts w:ascii="Arial" w:hAnsi="Arial" w:cs="Arial"/>
          <w:b/>
          <w:sz w:val="24"/>
          <w:lang w:val="en-US"/>
        </w:rPr>
        <w:t>1806124</w:t>
      </w:r>
    </w:p>
    <w:p w14:paraId="2DB8450E" w14:textId="77777777" w:rsidR="0080185C" w:rsidRPr="00183B20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113DFCCF" w14:textId="331842F0" w:rsidR="0080185C" w:rsidRPr="00E95DAE" w:rsidRDefault="0080185C" w:rsidP="0080185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</w:rPr>
        <w:t>Fraunhofer IIS</w:t>
      </w:r>
      <w:r w:rsidR="007264FC">
        <w:rPr>
          <w:rFonts w:ascii="Arial" w:hAnsi="Arial" w:cs="Arial"/>
          <w:b/>
          <w:sz w:val="24"/>
        </w:rPr>
        <w:t>, Fraunhofer HHI</w:t>
      </w:r>
    </w:p>
    <w:p w14:paraId="1218590F" w14:textId="77777777" w:rsidR="0080185C" w:rsidRPr="00A61344" w:rsidRDefault="0080185C" w:rsidP="0080185C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>
        <w:rPr>
          <w:rFonts w:ascii="Arial" w:eastAsia="Malgun Gothic" w:hAnsi="Arial" w:cs="Arial"/>
          <w:b/>
          <w:sz w:val="24"/>
          <w:lang w:val="en-US" w:eastAsia="ko-KR"/>
        </w:rPr>
        <w:t>Enhancements on Type</w:t>
      </w:r>
      <w:r w:rsidR="0025169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sz w:val="24"/>
          <w:lang w:val="en-US" w:eastAsia="ko-KR"/>
        </w:rPr>
        <w:t>-</w:t>
      </w:r>
      <w:r w:rsidR="00251698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sz w:val="24"/>
          <w:lang w:val="en-US" w:eastAsia="ko-KR"/>
        </w:rPr>
        <w:t>II CSI Reporting Scheme</w:t>
      </w:r>
    </w:p>
    <w:p w14:paraId="4B1D4F58" w14:textId="06205CE4" w:rsidR="0080185C" w:rsidRPr="00E95DAE" w:rsidRDefault="0080185C" w:rsidP="00251698">
      <w:pPr>
        <w:tabs>
          <w:tab w:val="left" w:pos="3900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Agenda item:      </w:t>
      </w:r>
      <w:r w:rsidR="002665BC">
        <w:rPr>
          <w:rFonts w:ascii="Arial" w:hAnsi="Arial" w:cs="Arial"/>
          <w:b/>
          <w:sz w:val="24"/>
          <w:lang w:val="en-US"/>
        </w:rPr>
        <w:t xml:space="preserve"> 7.1.2.2.6</w:t>
      </w:r>
    </w:p>
    <w:p w14:paraId="3E79B3F7" w14:textId="77777777" w:rsidR="0080185C" w:rsidRDefault="0080185C" w:rsidP="0080185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="00A677E9">
        <w:rPr>
          <w:rFonts w:ascii="Arial" w:hAnsi="Arial" w:cs="Arial"/>
          <w:b/>
          <w:sz w:val="24"/>
          <w:lang w:val="en-US"/>
        </w:rPr>
        <w:t>Decision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</w:p>
    <w:p w14:paraId="5DF9F221" w14:textId="77777777" w:rsidR="0080185C" w:rsidRPr="00E95DAE" w:rsidRDefault="0080185C" w:rsidP="0080185C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8CACF4D" w14:textId="77777777" w:rsidR="0080185C" w:rsidRDefault="0080185C" w:rsidP="0080185C">
      <w:pPr>
        <w:pStyle w:val="Heading1"/>
        <w:numPr>
          <w:ilvl w:val="0"/>
          <w:numId w:val="1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777FABB7" w14:textId="77777777" w:rsidR="00B3487A" w:rsidRPr="00B3487A" w:rsidRDefault="00B3487A" w:rsidP="00B3487A">
      <w:pPr>
        <w:rPr>
          <w:rFonts w:eastAsia="MS Mincho"/>
          <w:lang w:eastAsia="ja-JP"/>
        </w:rPr>
      </w:pPr>
      <w:r w:rsidRPr="00B3487A">
        <w:rPr>
          <w:rFonts w:eastAsia="MS Mincho"/>
          <w:lang w:eastAsia="ja-JP"/>
        </w:rPr>
        <w:t>At the previous meetings [1-</w:t>
      </w:r>
      <w:r w:rsidR="00012784">
        <w:rPr>
          <w:rFonts w:eastAsia="MS Mincho"/>
          <w:lang w:eastAsia="ja-JP"/>
        </w:rPr>
        <w:t>2</w:t>
      </w:r>
      <w:r w:rsidRPr="00B3487A">
        <w:rPr>
          <w:rFonts w:eastAsia="MS Mincho"/>
          <w:lang w:eastAsia="ja-JP"/>
        </w:rPr>
        <w:t xml:space="preserve">], </w:t>
      </w:r>
      <w:r>
        <w:rPr>
          <w:rFonts w:eastAsia="MS Mincho"/>
          <w:lang w:eastAsia="ja-JP"/>
        </w:rPr>
        <w:t xml:space="preserve">the following </w:t>
      </w:r>
      <w:r w:rsidRPr="00027D49">
        <w:rPr>
          <w:rFonts w:eastAsia="MS Mincho"/>
          <w:noProof/>
          <w:lang w:eastAsia="ja-JP"/>
        </w:rPr>
        <w:t>was agreed</w:t>
      </w:r>
      <w:r>
        <w:rPr>
          <w:rFonts w:eastAsia="MS Mincho"/>
          <w:lang w:eastAsia="ja-JP"/>
        </w:rPr>
        <w:t>:</w:t>
      </w:r>
    </w:p>
    <w:p w14:paraId="77EB7726" w14:textId="77777777" w:rsidR="00B3487A" w:rsidRPr="00AC0171" w:rsidRDefault="00B3487A" w:rsidP="00B3487A">
      <w:pPr>
        <w:spacing w:after="0"/>
      </w:pPr>
      <w:r w:rsidRPr="00AC0171">
        <w:t>Agreements:</w:t>
      </w:r>
    </w:p>
    <w:p w14:paraId="1F46EDC2" w14:textId="77777777" w:rsidR="00B3487A" w:rsidRPr="00AC0171" w:rsidRDefault="00B3487A" w:rsidP="00B3487A">
      <w:pPr>
        <w:pStyle w:val="RAN1bullet1"/>
        <w:numPr>
          <w:ilvl w:val="0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 xml:space="preserve">FFS to support a common design of W2 for Cat. 1, Cat. 2 and Cat. 3 </w:t>
      </w:r>
    </w:p>
    <w:p w14:paraId="7F1BF62D" w14:textId="77777777" w:rsidR="00B3487A" w:rsidRPr="00AC0171" w:rsidRDefault="00B3487A" w:rsidP="00B3487A">
      <w:pPr>
        <w:pStyle w:val="RAN1bullet1"/>
        <w:numPr>
          <w:ilvl w:val="1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FFS for Cat. 3, W2 only feedback is allowed</w:t>
      </w:r>
    </w:p>
    <w:p w14:paraId="6EC02038" w14:textId="77777777" w:rsidR="00B3487A" w:rsidRPr="00AC0171" w:rsidRDefault="00B3487A" w:rsidP="00B3487A">
      <w:pPr>
        <w:pStyle w:val="RAN1bullet1"/>
        <w:numPr>
          <w:ilvl w:val="2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FFS amplitude feedback for W2 (e.g., wideband, subband, etc.)</w:t>
      </w:r>
    </w:p>
    <w:p w14:paraId="5BA0F88E" w14:textId="77777777" w:rsidR="00B3487A" w:rsidRPr="00AC0171" w:rsidRDefault="00B3487A" w:rsidP="00B3487A">
      <w:pPr>
        <w:pStyle w:val="RAN1bullet1"/>
        <w:numPr>
          <w:ilvl w:val="1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Note: this does not mean NR supports all three categories</w:t>
      </w:r>
    </w:p>
    <w:p w14:paraId="496C554C" w14:textId="77777777" w:rsidR="00B3487A" w:rsidRPr="00AC0171" w:rsidRDefault="00B3487A" w:rsidP="00B3487A">
      <w:pPr>
        <w:pStyle w:val="RAN1bullet1"/>
        <w:numPr>
          <w:ilvl w:val="0"/>
          <w:numId w:val="5"/>
        </w:numPr>
        <w:spacing w:after="120"/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>FFS whether or not to merge Category 1 and Category 3 using a unified codebook formulation</w:t>
      </w:r>
    </w:p>
    <w:p w14:paraId="5C112C29" w14:textId="77777777" w:rsidR="00B3487A" w:rsidRPr="00AC0171" w:rsidRDefault="00B3487A" w:rsidP="00B3487A">
      <w:pPr>
        <w:spacing w:after="0"/>
        <w:ind w:left="1440" w:hanging="1440"/>
      </w:pPr>
      <w:r w:rsidRPr="00AC0171">
        <w:t>Agreements:</w:t>
      </w:r>
    </w:p>
    <w:p w14:paraId="19D7FBC9" w14:textId="77777777" w:rsidR="00B3487A" w:rsidRPr="00AC0171" w:rsidRDefault="00B3487A" w:rsidP="00B3487A">
      <w:pPr>
        <w:pStyle w:val="RAN1bullet1"/>
        <w:numPr>
          <w:ilvl w:val="0"/>
          <w:numId w:val="5"/>
        </w:numPr>
        <w:rPr>
          <w:rFonts w:ascii="Times New Roman" w:eastAsia="SimSun" w:hAnsi="Times New Roman"/>
          <w:szCs w:val="20"/>
        </w:rPr>
      </w:pPr>
      <w:r w:rsidRPr="00AC0171">
        <w:rPr>
          <w:rFonts w:ascii="Times New Roman" w:eastAsia="SimSun" w:hAnsi="Times New Roman"/>
          <w:szCs w:val="20"/>
        </w:rPr>
        <w:t xml:space="preserve">Slides 4 to 24 in </w:t>
      </w:r>
      <w:hyperlink r:id="rId6" w:history="1">
        <w:r w:rsidRPr="00AC0171">
          <w:rPr>
            <w:rFonts w:eastAsia="SimSun"/>
            <w:szCs w:val="20"/>
          </w:rPr>
          <w:t>R1-1709232</w:t>
        </w:r>
      </w:hyperlink>
      <w:r w:rsidRPr="00AC0171">
        <w:rPr>
          <w:rFonts w:ascii="Times New Roman" w:eastAsia="SimSun" w:hAnsi="Times New Roman"/>
          <w:szCs w:val="20"/>
        </w:rPr>
        <w:t xml:space="preserve"> are agreed</w:t>
      </w:r>
    </w:p>
    <w:p w14:paraId="0DE30E29" w14:textId="77777777" w:rsidR="00B3487A" w:rsidRPr="00AC0171" w:rsidRDefault="00B3487A" w:rsidP="00B3487A">
      <w:pPr>
        <w:numPr>
          <w:ilvl w:val="1"/>
          <w:numId w:val="6"/>
        </w:numPr>
        <w:overflowPunct/>
        <w:autoSpaceDE/>
        <w:adjustRightInd/>
        <w:spacing w:after="0"/>
        <w:textAlignment w:val="auto"/>
      </w:pPr>
      <w:r w:rsidRPr="00AC0171">
        <w:t>For slide 20, FFS whether or not support frequency-dependent parameterization and if so, the details</w:t>
      </w:r>
    </w:p>
    <w:p w14:paraId="5AA300F4" w14:textId="41C13768" w:rsidR="00B3487A" w:rsidRDefault="00B3487A" w:rsidP="00B3487A">
      <w:pPr>
        <w:numPr>
          <w:ilvl w:val="1"/>
          <w:numId w:val="6"/>
        </w:numPr>
        <w:overflowPunct/>
        <w:autoSpaceDE/>
        <w:adjustRightInd/>
        <w:spacing w:after="0"/>
        <w:textAlignment w:val="auto"/>
      </w:pPr>
      <w:r w:rsidRPr="00AC0171">
        <w:t>FFS whether or not to further enhance analog beamforming related operations especially for &gt;1 layers</w:t>
      </w:r>
    </w:p>
    <w:p w14:paraId="2C7765D4" w14:textId="77777777" w:rsidR="003629C4" w:rsidRPr="00AC0171" w:rsidRDefault="003629C4" w:rsidP="003629C4">
      <w:pPr>
        <w:overflowPunct/>
        <w:autoSpaceDE/>
        <w:adjustRightInd/>
        <w:spacing w:after="0"/>
        <w:ind w:left="1440"/>
        <w:textAlignment w:val="auto"/>
      </w:pPr>
    </w:p>
    <w:p w14:paraId="7F552DB5" w14:textId="77777777" w:rsidR="003629C4" w:rsidRDefault="003629C4" w:rsidP="00155534">
      <w:pPr>
        <w:spacing w:line="276" w:lineRule="auto"/>
      </w:pPr>
      <w:bookmarkStart w:id="0" w:name="_GoBack"/>
      <w:bookmarkEnd w:id="0"/>
    </w:p>
    <w:p w14:paraId="3A68641D" w14:textId="7DAD3EB7" w:rsidR="009322C1" w:rsidRPr="00B3487A" w:rsidRDefault="006964EC" w:rsidP="00155534">
      <w:pPr>
        <w:spacing w:line="276" w:lineRule="auto"/>
      </w:pPr>
      <w:r>
        <w:t xml:space="preserve">This contribution is an extension </w:t>
      </w:r>
      <w:r w:rsidR="00CF42E1">
        <w:t>of our previous contribution</w:t>
      </w:r>
      <w:r>
        <w:t xml:space="preserve"> R1-1804118. </w:t>
      </w:r>
    </w:p>
    <w:p w14:paraId="51D56D59" w14:textId="77777777" w:rsidR="007D388B" w:rsidRDefault="009322C1" w:rsidP="00155534">
      <w:pPr>
        <w:spacing w:after="200" w:line="276" w:lineRule="auto"/>
        <w:contextualSpacing/>
        <w:jc w:val="both"/>
      </w:pPr>
      <w:r>
        <w:t xml:space="preserve">In Type-II CSI reporting, </w:t>
      </w:r>
      <w:r w:rsidR="006F52E3">
        <w:t xml:space="preserve">it </w:t>
      </w:r>
      <w:r w:rsidR="006F52E3" w:rsidRPr="00625D7C">
        <w:rPr>
          <w:noProof/>
        </w:rPr>
        <w:t xml:space="preserve">is </w:t>
      </w:r>
      <w:r w:rsidR="00BF5BA5" w:rsidRPr="00625D7C">
        <w:rPr>
          <w:noProof/>
        </w:rPr>
        <w:t>assumed</w:t>
      </w:r>
      <w:r w:rsidR="006F52E3">
        <w:t xml:space="preserve"> that dual-stage precoding </w:t>
      </w:r>
      <w:r w:rsidR="006F52E3" w:rsidRPr="00625D7C">
        <w:rPr>
          <w:noProof/>
        </w:rPr>
        <w:t>is performed</w:t>
      </w:r>
      <w:r w:rsidR="006F52E3">
        <w:t xml:space="preserve"> per sub-band, i.e., a single precoder is calculated for a group of</w:t>
      </w:r>
      <w:r w:rsidR="001456CB">
        <w:t xml:space="preserve"> adjacent PRBs, referred to as</w:t>
      </w:r>
      <w:r w:rsidR="00BF5BA5">
        <w:t xml:space="preserve"> </w:t>
      </w:r>
      <w:r w:rsidR="00625D7C">
        <w:t>‘</w:t>
      </w:r>
      <w:r w:rsidR="006F52E3">
        <w:t>subband</w:t>
      </w:r>
      <w:r w:rsidR="00BF5BA5" w:rsidRPr="00BF5BA5">
        <w:rPr>
          <w:noProof/>
        </w:rPr>
        <w:t>.</w:t>
      </w:r>
      <w:r w:rsidR="00625D7C">
        <w:rPr>
          <w:noProof/>
        </w:rPr>
        <w:t>’</w:t>
      </w:r>
      <w:r w:rsidR="006F52E3">
        <w:t xml:space="preserve"> The dual-stage precoder comprises two components: the first-stage precoder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6F52E3">
        <w:t xml:space="preserve"> that is identical for all subbands contains the selected entries/beams from a DFT-based codebook, and the second stage precoder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6F52E3">
        <w:t xml:space="preserve"> contains the subband-dependent beam-combining coefficients. </w:t>
      </w:r>
      <w:r w:rsidR="007D388B">
        <w:t xml:space="preserve">The feedback overhead of the Type-II scheme increases approximately linearly with the number of subbands and becomes </w:t>
      </w:r>
      <w:r w:rsidR="007D388B">
        <w:rPr>
          <w:lang w:eastAsia="zh-CN"/>
        </w:rPr>
        <w:t>considerably large for large numbers of subbands</w:t>
      </w:r>
      <w:r w:rsidR="007D388B">
        <w:t>.</w:t>
      </w:r>
    </w:p>
    <w:p w14:paraId="03D0CDBF" w14:textId="21C4DB1A" w:rsidR="003121CF" w:rsidRPr="00882CA8" w:rsidRDefault="00715639" w:rsidP="00155534">
      <w:pPr>
        <w:spacing w:after="200" w:line="276" w:lineRule="auto"/>
        <w:contextualSpacing/>
        <w:jc w:val="both"/>
        <w:rPr>
          <w:color w:val="FF0000"/>
        </w:rPr>
      </w:pPr>
      <w:r>
        <w:t xml:space="preserve">The Type II CSI feedback in Rel. 15 New Radio supports </w:t>
      </w:r>
      <w:r w:rsidR="00C0583B">
        <w:t xml:space="preserve">only </w:t>
      </w:r>
      <w:r w:rsidR="009322C1">
        <w:t>up to</w:t>
      </w:r>
      <w:r w:rsidR="00C0583B">
        <w:t xml:space="preserve"> </w:t>
      </w:r>
      <w:r w:rsidR="00AF020C">
        <w:t>2-</w:t>
      </w:r>
      <w:r w:rsidR="00C0583B">
        <w:t xml:space="preserve">layer transmission and </w:t>
      </w:r>
      <m:oMath>
        <m:r>
          <w:rPr>
            <w:rFonts w:ascii="Cambria Math" w:hAnsi="Cambria Math"/>
          </w:rPr>
          <m:t>4</m:t>
        </m:r>
      </m:oMath>
      <w:r w:rsidR="007D388B">
        <w:t xml:space="preserve"> </w:t>
      </w:r>
      <w:r w:rsidR="00C0583B">
        <w:t xml:space="preserve">orthogonal </w:t>
      </w:r>
      <w:r w:rsidR="007B0D21">
        <w:t xml:space="preserve">beam </w:t>
      </w:r>
      <w:r w:rsidR="00D10405">
        <w:t>combination</w:t>
      </w:r>
      <w:r w:rsidR="00C0583B">
        <w:t xml:space="preserve"> for each layer. </w:t>
      </w:r>
    </w:p>
    <w:p w14:paraId="7C71C6C4" w14:textId="77777777" w:rsidR="00B4324A" w:rsidRDefault="00B4324A" w:rsidP="00155534">
      <w:pPr>
        <w:spacing w:after="200" w:line="276" w:lineRule="auto"/>
        <w:contextualSpacing/>
        <w:jc w:val="both"/>
      </w:pPr>
    </w:p>
    <w:p w14:paraId="33E337C1" w14:textId="5595E819" w:rsidR="00D10405" w:rsidRDefault="00C21033" w:rsidP="00D10405">
      <w:pPr>
        <w:spacing w:after="200" w:line="276" w:lineRule="auto"/>
        <w:contextualSpacing/>
        <w:jc w:val="both"/>
        <w:rPr>
          <w:lang w:eastAsia="zh-CN"/>
        </w:rPr>
      </w:pPr>
      <w:r>
        <w:t>However, t</w:t>
      </w:r>
      <w:r w:rsidR="00B4324A">
        <w:t xml:space="preserve">he performance of Type </w:t>
      </w:r>
      <w:r w:rsidR="007B0D21">
        <w:t>II codebook is far from</w:t>
      </w:r>
      <w:r w:rsidR="00F22F89">
        <w:t xml:space="preserve"> being</w:t>
      </w:r>
      <w:r w:rsidR="007B0D21">
        <w:t xml:space="preserve"> </w:t>
      </w:r>
      <w:r w:rsidR="00F22F89">
        <w:t xml:space="preserve">achieved by optimal precoding schemes. Therefore, </w:t>
      </w:r>
      <w:r w:rsidR="00B4324A">
        <w:t xml:space="preserve">several enhancements have been proposed </w:t>
      </w:r>
      <w:r w:rsidR="00524FED">
        <w:t xml:space="preserve">to extend the Type II CSI codebook to </w:t>
      </w:r>
      <w:r w:rsidR="005439F9">
        <w:t>achieve high</w:t>
      </w:r>
      <w:r w:rsidR="009717FF">
        <w:t>er</w:t>
      </w:r>
      <w:r w:rsidR="005439F9">
        <w:t xml:space="preserve"> performance gains. </w:t>
      </w:r>
      <w:r w:rsidR="007417ED">
        <w:t>For example,</w:t>
      </w:r>
      <w:r w:rsidR="007D388B">
        <w:t xml:space="preserve"> </w:t>
      </w:r>
      <w:r w:rsidR="007417ED">
        <w:t>e</w:t>
      </w:r>
      <w:r w:rsidR="009717FF">
        <w:t xml:space="preserve">xtension to </w:t>
      </w:r>
      <m:oMath>
        <m:r>
          <w:rPr>
            <w:rFonts w:ascii="Cambria Math" w:hAnsi="Cambria Math"/>
          </w:rPr>
          <m:t>8</m:t>
        </m:r>
      </m:oMath>
      <w:r w:rsidR="007417ED">
        <w:t xml:space="preserve"> </w:t>
      </w:r>
      <w:r w:rsidR="009717FF">
        <w:t>beam</w:t>
      </w:r>
      <w:r w:rsidR="00882CA8">
        <w:t>s</w:t>
      </w:r>
      <w:r w:rsidR="007417ED">
        <w:t xml:space="preserve"> combination</w:t>
      </w:r>
      <w:r w:rsidR="009717FF">
        <w:t xml:space="preserve"> in order to</w:t>
      </w:r>
      <w:r w:rsidR="005439F9">
        <w:t xml:space="preserve"> spatially separate </w:t>
      </w:r>
      <w:r w:rsidR="00882CA8">
        <w:t xml:space="preserve">multiple </w:t>
      </w:r>
      <w:r w:rsidR="009717FF">
        <w:t xml:space="preserve">users with high resolution and support </w:t>
      </w:r>
      <w:r w:rsidR="007417ED">
        <w:t xml:space="preserve">of </w:t>
      </w:r>
      <m:oMath>
        <m:r>
          <w:rPr>
            <w:rFonts w:ascii="Cambria Math" w:hAnsi="Cambria Math"/>
          </w:rPr>
          <m:t>&gt;2</m:t>
        </m:r>
      </m:oMath>
      <w:r w:rsidR="007417ED">
        <w:t xml:space="preserve"> </w:t>
      </w:r>
      <w:r w:rsidR="00F22F89">
        <w:t>layer</w:t>
      </w:r>
      <w:r w:rsidR="007417ED">
        <w:t xml:space="preserve"> </w:t>
      </w:r>
      <w:r w:rsidR="00D5115F">
        <w:t>[</w:t>
      </w:r>
      <w:r w:rsidR="00C73B28">
        <w:t>3-4</w:t>
      </w:r>
      <w:r w:rsidR="00D5115F">
        <w:t xml:space="preserve">] </w:t>
      </w:r>
      <w:r w:rsidR="007417ED">
        <w:t>transmissions</w:t>
      </w:r>
      <w:r w:rsidR="009717FF">
        <w:t xml:space="preserve"> are few proposals to mention. </w:t>
      </w:r>
      <w:r w:rsidR="00882CA8">
        <w:t xml:space="preserve">Inclusion of these enhancements results in a high feedback overhead. </w:t>
      </w:r>
      <w:r w:rsidR="00D10405">
        <w:rPr>
          <w:lang w:eastAsia="zh-CN"/>
        </w:rPr>
        <w:t>The contributions [</w:t>
      </w:r>
      <w:r w:rsidR="00C73B28">
        <w:rPr>
          <w:lang w:eastAsia="zh-CN"/>
        </w:rPr>
        <w:t>4-6</w:t>
      </w:r>
      <w:r w:rsidR="00D10405">
        <w:rPr>
          <w:lang w:eastAsia="zh-CN"/>
        </w:rPr>
        <w:t>]</w:t>
      </w:r>
      <w:r w:rsidR="00D10405" w:rsidRPr="000612AC">
        <w:rPr>
          <w:lang w:eastAsia="zh-CN"/>
        </w:rPr>
        <w:t xml:space="preserve"> have studied feedback reduction schemes by applying a frequency-domain transformation of the second stage precoder.</w:t>
      </w:r>
      <w:r w:rsidR="00D10405">
        <w:rPr>
          <w:lang w:eastAsia="zh-CN"/>
        </w:rPr>
        <w:t xml:space="preserve"> </w:t>
      </w:r>
    </w:p>
    <w:p w14:paraId="2EDEA5FB" w14:textId="77777777" w:rsidR="001276E7" w:rsidRDefault="001276E7" w:rsidP="006F52E3">
      <w:pPr>
        <w:spacing w:after="200" w:line="276" w:lineRule="auto"/>
        <w:contextualSpacing/>
        <w:jc w:val="both"/>
      </w:pPr>
    </w:p>
    <w:p w14:paraId="2E9250DF" w14:textId="7D65EB97" w:rsidR="006F52E3" w:rsidRDefault="00716A2E" w:rsidP="006F52E3">
      <w:pPr>
        <w:spacing w:after="200" w:line="276" w:lineRule="auto"/>
        <w:contextualSpacing/>
        <w:jc w:val="both"/>
      </w:pPr>
      <w:r>
        <w:rPr>
          <w:noProof/>
        </w:rPr>
        <w:t xml:space="preserve">The </w:t>
      </w:r>
      <w:r w:rsidR="00027C1D">
        <w:rPr>
          <w:noProof/>
        </w:rPr>
        <w:t>problem of</w:t>
      </w:r>
      <w:r>
        <w:rPr>
          <w:noProof/>
        </w:rPr>
        <w:t xml:space="preserve"> i</w:t>
      </w:r>
      <w:r w:rsidR="006F52E3" w:rsidRPr="00170763">
        <w:rPr>
          <w:noProof/>
        </w:rPr>
        <w:t>ncreased</w:t>
      </w:r>
      <w:r w:rsidR="006F52E3">
        <w:t xml:space="preserve"> feedback overhead </w:t>
      </w:r>
      <w:r w:rsidR="00633FAB">
        <w:t>ha</w:t>
      </w:r>
      <w:r w:rsidR="00027C1D">
        <w:t>s</w:t>
      </w:r>
      <w:r w:rsidR="006F52E3">
        <w:t xml:space="preserve"> </w:t>
      </w:r>
      <w:r w:rsidR="006F52E3" w:rsidRPr="00625D7C">
        <w:rPr>
          <w:noProof/>
        </w:rPr>
        <w:t>been addressed</w:t>
      </w:r>
      <w:r w:rsidR="00D5115F">
        <w:t xml:space="preserve"> in [</w:t>
      </w:r>
      <w:r w:rsidR="007E07E1">
        <w:t>7</w:t>
      </w:r>
      <w:r w:rsidR="006F52E3">
        <w:t>] by considering the design of the precoder in the delay-domain</w:t>
      </w:r>
      <w:r w:rsidR="006F52E3">
        <w:rPr>
          <w:lang w:val="en-US"/>
        </w:rPr>
        <w:t xml:space="preserve">. </w:t>
      </w:r>
      <w:r w:rsidR="00EF3AC2">
        <w:rPr>
          <w:lang w:val="en-US"/>
        </w:rPr>
        <w:t xml:space="preserve">It has </w:t>
      </w:r>
      <w:r w:rsidR="00EF3AC2" w:rsidRPr="00E73AB1">
        <w:rPr>
          <w:noProof/>
          <w:lang w:val="en-US"/>
        </w:rPr>
        <w:t>been shown</w:t>
      </w:r>
      <w:r w:rsidR="00EF3AC2">
        <w:rPr>
          <w:lang w:val="en-US"/>
        </w:rPr>
        <w:t xml:space="preserve"> that</w:t>
      </w:r>
      <w:r w:rsidR="00EB5456">
        <w:rPr>
          <w:lang w:val="en-US"/>
        </w:rPr>
        <w:t xml:space="preserve">, </w:t>
      </w:r>
      <w:r w:rsidR="00EF3AC2">
        <w:rPr>
          <w:lang w:val="en-US"/>
        </w:rPr>
        <w:t xml:space="preserve">in addition to the </w:t>
      </w:r>
      <w:r w:rsidR="00EF3AC2" w:rsidRPr="00E73AB1">
        <w:rPr>
          <w:noProof/>
          <w:lang w:val="en-US"/>
        </w:rPr>
        <w:t>feedback overhead</w:t>
      </w:r>
      <w:r w:rsidR="00EF3AC2">
        <w:rPr>
          <w:lang w:val="en-US"/>
        </w:rPr>
        <w:t xml:space="preserve"> reduction, </w:t>
      </w:r>
      <w:r w:rsidR="00EF3AC2" w:rsidRPr="00EB5456">
        <w:rPr>
          <w:noProof/>
          <w:lang w:val="en-US"/>
        </w:rPr>
        <w:t>precoding directly</w:t>
      </w:r>
      <w:r w:rsidR="00EF3AC2">
        <w:rPr>
          <w:lang w:val="en-US"/>
        </w:rPr>
        <w:t xml:space="preserve"> in the delay-</w:t>
      </w:r>
      <w:r w:rsidR="00EF3AC2" w:rsidRPr="00EF3AC2">
        <w:rPr>
          <w:noProof/>
          <w:lang w:val="en-US"/>
        </w:rPr>
        <w:t xml:space="preserve">domain </w:t>
      </w:r>
      <w:r w:rsidR="00746EF8">
        <w:rPr>
          <w:noProof/>
          <w:lang w:val="en-US"/>
        </w:rPr>
        <w:t xml:space="preserve">which is realized by the so-called space-delay precoder </w:t>
      </w:r>
      <w:r w:rsidR="00EF3AC2" w:rsidRPr="00EF3AC2">
        <w:rPr>
          <w:noProof/>
          <w:lang w:val="en-US"/>
        </w:rPr>
        <w:t>resu</w:t>
      </w:r>
      <w:r w:rsidR="00EF3AC2">
        <w:rPr>
          <w:noProof/>
          <w:lang w:val="en-US"/>
        </w:rPr>
        <w:t xml:space="preserve">lts in </w:t>
      </w:r>
      <w:r w:rsidR="00EF3AC2" w:rsidRPr="00EF3AC2">
        <w:rPr>
          <w:noProof/>
          <w:lang w:val="en-US"/>
        </w:rPr>
        <w:t>enhanced</w:t>
      </w:r>
      <w:r w:rsidR="00EF3AC2">
        <w:rPr>
          <w:noProof/>
          <w:lang w:val="en-US"/>
        </w:rPr>
        <w:t xml:space="preserve"> system performance </w:t>
      </w:r>
      <w:r w:rsidR="006F52E3">
        <w:t xml:space="preserve">compared to </w:t>
      </w:r>
      <w:r w:rsidR="00633FAB">
        <w:t xml:space="preserve">the </w:t>
      </w:r>
      <w:r w:rsidR="006F52E3">
        <w:t>sub-band-based precoding.</w:t>
      </w:r>
      <w:r w:rsidR="00CC4939">
        <w:t xml:space="preserve"> </w:t>
      </w:r>
    </w:p>
    <w:p w14:paraId="3E3547D0" w14:textId="77777777" w:rsidR="00746EF8" w:rsidRPr="00997D26" w:rsidRDefault="00746EF8" w:rsidP="006F52E3">
      <w:pPr>
        <w:spacing w:after="200" w:line="276" w:lineRule="auto"/>
        <w:contextualSpacing/>
        <w:jc w:val="both"/>
      </w:pPr>
    </w:p>
    <w:p w14:paraId="1D10D75F" w14:textId="2479855D" w:rsidR="006F52E3" w:rsidRDefault="006F52E3" w:rsidP="006F52E3">
      <w:pPr>
        <w:spacing w:after="200" w:line="276" w:lineRule="auto"/>
        <w:contextualSpacing/>
        <w:jc w:val="both"/>
        <w:rPr>
          <w:lang w:val="en-US"/>
        </w:rPr>
      </w:pPr>
      <w:r>
        <w:rPr>
          <w:lang w:val="en-US"/>
        </w:rPr>
        <w:t>In this contribution, we present a general framework for feedback compression for Type-II CSI reporting which captures the contributions</w:t>
      </w:r>
      <w:r w:rsidR="00D5115F">
        <w:rPr>
          <w:lang w:val="en-US"/>
        </w:rPr>
        <w:t xml:space="preserve"> presented in</w:t>
      </w:r>
      <w:r w:rsidR="00CF42E1">
        <w:rPr>
          <w:lang w:val="en-US"/>
        </w:rPr>
        <w:t xml:space="preserve"> [4], [</w:t>
      </w:r>
      <w:r w:rsidR="00C73B28">
        <w:rPr>
          <w:lang w:val="en-US"/>
        </w:rPr>
        <w:t>5</w:t>
      </w:r>
      <w:r w:rsidR="00746EF8">
        <w:rPr>
          <w:lang w:val="en-US"/>
        </w:rPr>
        <w:t>]</w:t>
      </w:r>
      <w:r w:rsidR="00CF42E1">
        <w:rPr>
          <w:lang w:val="en-US"/>
        </w:rPr>
        <w:t xml:space="preserve"> and</w:t>
      </w:r>
      <w:r w:rsidR="00C73B28">
        <w:rPr>
          <w:lang w:val="en-US"/>
        </w:rPr>
        <w:t xml:space="preserve"> [7]</w:t>
      </w:r>
      <w:r w:rsidR="00746EF8">
        <w:rPr>
          <w:lang w:val="en-US"/>
        </w:rPr>
        <w:t>. Also, simulation results are shown for one of the presented frameworks.</w:t>
      </w:r>
    </w:p>
    <w:p w14:paraId="2A232510" w14:textId="77777777" w:rsidR="0080185C" w:rsidRPr="00011B86" w:rsidRDefault="0080185C" w:rsidP="006F52E3">
      <w:pPr>
        <w:spacing w:after="200" w:line="276" w:lineRule="auto"/>
        <w:contextualSpacing/>
        <w:jc w:val="both"/>
      </w:pPr>
    </w:p>
    <w:p w14:paraId="2151B094" w14:textId="77777777" w:rsidR="0080185C" w:rsidRDefault="00683E81" w:rsidP="006F52E3">
      <w:pPr>
        <w:pStyle w:val="Heading1"/>
        <w:numPr>
          <w:ilvl w:val="0"/>
          <w:numId w:val="1"/>
        </w:numPr>
        <w:spacing w:before="120" w:after="60" w:line="276" w:lineRule="auto"/>
        <w:jc w:val="both"/>
        <w:rPr>
          <w:rFonts w:cs="Arial"/>
        </w:rPr>
      </w:pPr>
      <w:r>
        <w:rPr>
          <w:lang w:val="en-US"/>
        </w:rPr>
        <w:lastRenderedPageBreak/>
        <w:t>C</w:t>
      </w:r>
      <w:r w:rsidR="000238A4">
        <w:rPr>
          <w:lang w:val="en-US"/>
        </w:rPr>
        <w:t>ompression</w:t>
      </w:r>
      <w:r w:rsidR="0080185C">
        <w:rPr>
          <w:rFonts w:cs="Arial"/>
          <w:lang w:val="en-US"/>
        </w:rPr>
        <w:t xml:space="preserve"> of</w:t>
      </w:r>
      <w:r w:rsidR="005A0B94">
        <w:rPr>
          <w:rFonts w:cs="Arial"/>
          <w:lang w:val="en-US"/>
        </w:rPr>
        <w:t xml:space="preserve"> </w:t>
      </w:r>
      <w:r w:rsidR="0027121B">
        <w:rPr>
          <w:rFonts w:cs="Arial"/>
          <w:lang w:val="en-US"/>
        </w:rPr>
        <w:t>second</w:t>
      </w:r>
      <w:r w:rsidR="005A0B94">
        <w:rPr>
          <w:rFonts w:cs="Arial"/>
          <w:lang w:val="en-US"/>
        </w:rPr>
        <w:t xml:space="preserve"> stage precoder</w:t>
      </w:r>
      <w:r w:rsidR="0080185C">
        <w:rPr>
          <w:rFonts w:cs="Arial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</w:p>
    <w:p w14:paraId="55EFE878" w14:textId="77777777" w:rsidR="00093723" w:rsidRPr="00093723" w:rsidRDefault="0093502B" w:rsidP="006F52E3">
      <w:pPr>
        <w:spacing w:line="276" w:lineRule="auto"/>
        <w:jc w:val="both"/>
      </w:pPr>
      <w:r>
        <w:t xml:space="preserve">In this section, we present a general framework </w:t>
      </w:r>
      <w:r w:rsidR="00BE05B6">
        <w:t xml:space="preserve">for feedback compression using beam independent and beam dependent transformations. </w:t>
      </w:r>
    </w:p>
    <w:p w14:paraId="6FB6211A" w14:textId="77777777" w:rsidR="0080185C" w:rsidRPr="0002059F" w:rsidRDefault="0080185C" w:rsidP="006F52E3">
      <w:pPr>
        <w:spacing w:line="276" w:lineRule="auto"/>
        <w:jc w:val="both"/>
      </w:pPr>
      <w:r w:rsidRPr="0002059F">
        <w:t>As</w:t>
      </w:r>
      <w:r>
        <w:t>suming rank-1 transmission and a dual-polarized antenna array with configuration (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t>,</w:t>
      </w:r>
      <m:oMath>
        <m:r>
          <w:rPr>
            <w:rFonts w:ascii="Cambria Math" w:hAnsi="Cambria Math"/>
            <w:color w:val="000000" w:themeColor="text1"/>
          </w:rPr>
          <m:t xml:space="preserve"> P=2</m:t>
        </m:r>
      </m:oMath>
      <w:r>
        <w:t>), the</w:t>
      </w:r>
      <w:r w:rsidRPr="0002059F">
        <w:t xml:space="preserve"> </w:t>
      </w:r>
      <w:r>
        <w:t xml:space="preserve">conventional </w:t>
      </w:r>
      <w:r w:rsidRPr="0002059F">
        <w:t xml:space="preserve">double-stage precoder </w:t>
      </w:r>
      <w:r>
        <w:t xml:space="preserve">per subband </w:t>
      </w:r>
      <w:r w:rsidRPr="0002059F">
        <w:t>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80185C" w:rsidRPr="0002059F" w14:paraId="1A49A24B" w14:textId="77777777" w:rsidTr="00861620">
        <w:tc>
          <w:tcPr>
            <w:tcW w:w="250" w:type="dxa"/>
          </w:tcPr>
          <w:p w14:paraId="3920D6A9" w14:textId="77777777"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3BD7E0BF" w14:textId="77777777" w:rsidR="0080185C" w:rsidRPr="0002059F" w:rsidRDefault="0080185C" w:rsidP="006F52E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s</m:t>
                    </m:r>
                  </m:e>
                </m:d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s</m:t>
                    </m:r>
                  </m:e>
                </m:d>
              </m:oMath>
            </m:oMathPara>
          </w:p>
        </w:tc>
        <w:tc>
          <w:tcPr>
            <w:tcW w:w="583" w:type="dxa"/>
          </w:tcPr>
          <w:p w14:paraId="63D5C093" w14:textId="77777777"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(1)</w:t>
            </w:r>
          </w:p>
        </w:tc>
      </w:tr>
    </w:tbl>
    <w:p w14:paraId="15E3D763" w14:textId="77777777" w:rsidR="0080185C" w:rsidRPr="0002059F" w:rsidRDefault="0080185C" w:rsidP="006F52E3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02059F">
        <w:t xml:space="preserve">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N×2U</m:t>
            </m:r>
          </m:sup>
        </m:sSup>
      </m:oMath>
      <w:r w:rsidRPr="0002059F">
        <w:rPr>
          <w:color w:val="000000" w:themeColor="text1"/>
        </w:rPr>
        <w:t xml:space="preserve"> is a wideband matrix</w:t>
      </w:r>
      <w:r>
        <w:rPr>
          <w:color w:val="000000" w:themeColor="text1"/>
        </w:rPr>
        <w:t xml:space="preserve"> </w:t>
      </w:r>
      <w:r w:rsidRPr="0002059F">
        <w:rPr>
          <w:color w:val="000000" w:themeColor="text1"/>
        </w:rPr>
        <w:t xml:space="preserve">identical for all subbands </w:t>
      </w:r>
      <w:r>
        <w:rPr>
          <w:color w:val="000000" w:themeColor="text1"/>
        </w:rPr>
        <w:t xml:space="preserve">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spatial beams </w:t>
      </w:r>
      <w:r w:rsidRPr="0002059F">
        <w:rPr>
          <w:color w:val="000000" w:themeColor="text1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s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∈C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2U×1</m:t>
            </m:r>
          </m:sup>
        </m:sSup>
      </m:oMath>
      <w:r w:rsidRPr="0002059F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a subband vector that contains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complex frequency-domain combining-coefficients associated with </w:t>
      </w:r>
      <m:oMath>
        <m:r>
          <w:rPr>
            <w:rFonts w:ascii="Cambria Math" w:hAnsi="Cambria Math"/>
            <w:color w:val="000000" w:themeColor="text1"/>
          </w:rPr>
          <m:t>2U</m:t>
        </m:r>
      </m:oMath>
      <w:r>
        <w:rPr>
          <w:color w:val="000000" w:themeColor="text1"/>
        </w:rPr>
        <w:t xml:space="preserve"> spatial beams. </w:t>
      </w:r>
    </w:p>
    <w:p w14:paraId="60CAB705" w14:textId="77777777" w:rsidR="0080185C" w:rsidRPr="0002059F" w:rsidRDefault="0080185C" w:rsidP="006F52E3">
      <w:pPr>
        <w:spacing w:line="276" w:lineRule="auto"/>
        <w:jc w:val="both"/>
      </w:pPr>
      <w:r w:rsidRPr="0002059F">
        <w:t xml:space="preserve">Collecting the precoders </w:t>
      </w:r>
      <w:r>
        <w:t>for</w:t>
      </w:r>
      <w:r w:rsidRPr="0002059F">
        <w:t xml:space="preserve"> all subbands</w:t>
      </w:r>
      <w:r>
        <w:t xml:space="preserve"> </w:t>
      </w:r>
      <m:oMath>
        <m:r>
          <w:rPr>
            <w:rFonts w:ascii="Cambria Math" w:hAnsi="Cambria Math"/>
            <w:color w:val="000000" w:themeColor="text1"/>
            <w:szCs w:val="22"/>
          </w:rPr>
          <m:t>S</m:t>
        </m:r>
      </m:oMath>
      <w:r>
        <w:t xml:space="preserve"> in a matrix </w:t>
      </w:r>
      <m:oMath>
        <m:r>
          <m:rPr>
            <m:sty m:val="bi"/>
          </m:rPr>
          <w:rPr>
            <w:rFonts w:ascii="Cambria Math" w:hAnsi="Cambria Math"/>
          </w:rPr>
          <m:t>F</m:t>
        </m:r>
      </m:oMath>
      <w:r>
        <w:t>, we obtain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3"/>
        <w:gridCol w:w="576"/>
      </w:tblGrid>
      <w:tr w:rsidR="0080185C" w:rsidRPr="0002059F" w14:paraId="6297FE6A" w14:textId="77777777" w:rsidTr="00861620">
        <w:tc>
          <w:tcPr>
            <w:tcW w:w="250" w:type="dxa"/>
          </w:tcPr>
          <w:p w14:paraId="5BDC34A6" w14:textId="77777777"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29DCAB7C" w14:textId="77777777" w:rsidR="0080185C" w:rsidRPr="000965C1" w:rsidRDefault="0080185C" w:rsidP="006F52E3">
            <w:pPr>
              <w:shd w:val="clear" w:color="auto" w:fill="FFFFFF"/>
              <w:spacing w:line="276" w:lineRule="auto"/>
              <w:jc w:val="center"/>
              <w:rPr>
                <w:color w:val="000000" w:themeColor="text1"/>
                <w:szCs w:val="22"/>
                <w:lang w:val="en-US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>F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color w:val="000000" w:themeColor="text1"/>
                      <w:szCs w:val="22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 xml:space="preserve">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1</m:t>
                      </m:r>
                    </m:e>
                  </m:d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2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</w:rPr>
                        <m:t>S</m:t>
                      </m:r>
                      <m:r>
                        <w:rPr>
                          <w:rFonts w:ascii="Cambria Math" w:hAnsi="Cambria Math"/>
                          <w:color w:val="000000" w:themeColor="text1"/>
                          <w:szCs w:val="22"/>
                          <w:lang w:val="en-US"/>
                        </w:rPr>
                        <m:t>-1</m:t>
                      </m:r>
                    </m:e>
                  </m:d>
                </m:e>
              </m:d>
            </m:oMath>
            <w:r>
              <w:rPr>
                <w:color w:val="000000" w:themeColor="text1"/>
                <w:szCs w:val="22"/>
                <w:lang w:val="en-US"/>
              </w:rPr>
              <w:t>,</w:t>
            </w:r>
          </w:p>
          <w:p w14:paraId="11AB6C19" w14:textId="77777777" w:rsidR="0080185C" w:rsidRPr="0002059F" w:rsidRDefault="0080185C" w:rsidP="006F52E3">
            <w:pPr>
              <w:shd w:val="clear" w:color="auto" w:fill="FFFFFF"/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Cs w:val="22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Cs w:val="22"/>
                    <w:lang w:val="en-US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14:paraId="785EA976" w14:textId="77777777" w:rsidR="0080185C" w:rsidRPr="0002059F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187571">
              <w:rPr>
                <w:color w:val="000000" w:themeColor="text1"/>
                <w:szCs w:val="22"/>
                <w:lang w:val="en-US"/>
              </w:rPr>
              <w:t>(2)</w:t>
            </w:r>
          </w:p>
        </w:tc>
      </w:tr>
    </w:tbl>
    <w:p w14:paraId="7C080DBC" w14:textId="77777777" w:rsidR="0080185C" w:rsidRPr="00384A7A" w:rsidRDefault="0080185C" w:rsidP="006F52E3">
      <w:pPr>
        <w:spacing w:line="276" w:lineRule="auto"/>
        <w:jc w:val="both"/>
        <w:rPr>
          <w:color w:val="000000" w:themeColor="text1"/>
          <w:lang w:eastAsia="de-DE"/>
        </w:rPr>
      </w:pPr>
      <w:r w:rsidRPr="001474DD">
        <w:rPr>
          <w:color w:val="000000" w:themeColor="text1"/>
          <w:lang w:val="en-US"/>
        </w:rPr>
        <w:t xml:space="preserve">where </w:t>
      </w:r>
      <w:r>
        <w:rPr>
          <w:color w:val="000000" w:themeColor="text1"/>
          <w:lang w:val="en-US"/>
        </w:rPr>
        <w:t>m</w:t>
      </w:r>
      <w:r w:rsidRPr="001474DD">
        <w:rPr>
          <w:color w:val="000000" w:themeColor="text1"/>
          <w:lang w:val="en-US"/>
        </w:rPr>
        <w:t xml:space="preserve">atrix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</m:oMath>
      <w:r w:rsidRPr="001474DD">
        <w:rPr>
          <w:color w:val="000000" w:themeColor="text1"/>
          <w:szCs w:val="22"/>
          <w:lang w:val="en-US"/>
        </w:rPr>
        <w:t xml:space="preserve"> can also be written </w:t>
      </w:r>
      <w:r>
        <w:rPr>
          <w:color w:val="000000" w:themeColor="text1"/>
          <w:szCs w:val="22"/>
          <w:lang w:val="en-US"/>
        </w:rPr>
        <w:t xml:space="preserve">as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Cs w:val="22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szCs w:val="22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2,1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 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 xml:space="preserve">  …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2,2U</m:t>
                    </m:r>
                  </m:sub>
                </m:sSub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  <w:lang w:val="en-US"/>
              </w:rPr>
              <m:t>T</m:t>
            </m:r>
          </m:sup>
        </m:sSup>
      </m:oMath>
      <w:r w:rsidRPr="001474DD">
        <w:rPr>
          <w:color w:val="000000" w:themeColor="text1"/>
          <w:szCs w:val="22"/>
          <w:lang w:val="en-US"/>
        </w:rPr>
        <w:t>, wh</w:t>
      </w:r>
      <w:r>
        <w:rPr>
          <w:color w:val="000000" w:themeColor="text1"/>
          <w:szCs w:val="22"/>
          <w:lang w:val="en-US"/>
        </w:rPr>
        <w:t xml:space="preserve">ose </w:t>
      </w:r>
      <m:oMath>
        <m:r>
          <w:rPr>
            <w:rFonts w:ascii="Cambria Math" w:hAnsi="Cambria Math"/>
            <w:color w:val="000000" w:themeColor="text1"/>
            <w:szCs w:val="22"/>
            <w:lang w:val="en-US"/>
          </w:rPr>
          <m:t>u</m:t>
        </m:r>
      </m:oMath>
      <w:r>
        <w:rPr>
          <w:color w:val="000000" w:themeColor="text1"/>
          <w:szCs w:val="22"/>
          <w:lang w:val="en-US"/>
        </w:rPr>
        <w:t xml:space="preserve">-th row </w:t>
      </w:r>
      <w:r>
        <w:rPr>
          <w:color w:val="000000" w:themeColor="text1"/>
          <w:lang w:val="en-US"/>
        </w:rPr>
        <w:t xml:space="preserve">contains the complex combining-coefficients associated with the </w:t>
      </w:r>
      <m:oMath>
        <m:r>
          <w:rPr>
            <w:rFonts w:ascii="Cambria Math" w:hAnsi="Cambria Math"/>
            <w:color w:val="000000" w:themeColor="text1"/>
            <w:lang w:val="en-US"/>
          </w:rPr>
          <m:t>u</m:t>
        </m:r>
      </m:oMath>
      <w:r>
        <w:rPr>
          <w:color w:val="000000" w:themeColor="text1"/>
          <w:lang w:val="en-US"/>
        </w:rPr>
        <w:t xml:space="preserve">-th beam over all subbands, </w:t>
      </w:r>
    </w:p>
    <w:p w14:paraId="5C03CE58" w14:textId="77777777" w:rsidR="0080185C" w:rsidRDefault="005F411F" w:rsidP="006F52E3">
      <w:pPr>
        <w:spacing w:line="276" w:lineRule="auto"/>
        <w:jc w:val="center"/>
        <w:rPr>
          <w:color w:val="000000" w:themeColor="text1"/>
          <w:szCs w:val="23"/>
          <w:lang w:eastAsia="de-D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</m:sub>
        </m:sSub>
        <m:r>
          <w:rPr>
            <w:rFonts w:ascii="Cambria Math" w:hAnsi="Cambria Math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Segoe UI"/>
                    <w:color w:val="000000" w:themeColor="text1"/>
                    <w:lang w:eastAsia="de-DE"/>
                  </w:rPr>
                  <m:t xml:space="preserve">  … 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2,u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S-1</m:t>
                    </m:r>
                  </m:e>
                </m:d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e>
            </m:d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 xml:space="preserve">∈ 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szCs w:val="23"/>
                <w:lang w:eastAsia="de-DE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C</m:t>
            </m:r>
          </m:e>
          <m:sup>
            <m:r>
              <w:rPr>
                <w:rFonts w:ascii="Cambria Math" w:eastAsia="Times New Roman" w:hAnsi="Cambria Math" w:cs="Segoe UI"/>
                <w:color w:val="000000" w:themeColor="text1"/>
                <w:szCs w:val="23"/>
                <w:lang w:eastAsia="de-DE"/>
              </w:rPr>
              <m:t>S×1</m:t>
            </m:r>
          </m:sup>
        </m:sSup>
      </m:oMath>
      <w:r w:rsidR="0080185C">
        <w:rPr>
          <w:color w:val="000000" w:themeColor="text1"/>
          <w:szCs w:val="23"/>
          <w:lang w:eastAsia="de-DE"/>
        </w:rPr>
        <w:t>.</w:t>
      </w:r>
    </w:p>
    <w:p w14:paraId="190FF949" w14:textId="77777777" w:rsidR="0080185C" w:rsidRPr="009E3F5F" w:rsidRDefault="0080185C" w:rsidP="006F52E3">
      <w:pPr>
        <w:spacing w:line="276" w:lineRule="auto"/>
        <w:rPr>
          <w:b/>
          <w:i/>
          <w:color w:val="000000" w:themeColor="text1"/>
          <w:szCs w:val="23"/>
          <w:u w:val="single"/>
          <w:lang w:eastAsia="de-DE"/>
        </w:rPr>
      </w:pPr>
      <w:r w:rsidRPr="005F6B32">
        <w:rPr>
          <w:b/>
          <w:i/>
          <w:color w:val="000000" w:themeColor="text1"/>
          <w:szCs w:val="23"/>
          <w:u w:val="single"/>
          <w:lang w:eastAsia="de-DE"/>
        </w:rPr>
        <w:t>Beam-dependent transformation</w:t>
      </w:r>
    </w:p>
    <w:p w14:paraId="14DB2DE7" w14:textId="77777777" w:rsidR="0080185C" w:rsidRDefault="0080185C" w:rsidP="006F52E3">
      <w:pPr>
        <w:spacing w:line="276" w:lineRule="auto"/>
        <w:jc w:val="both"/>
        <w:rPr>
          <w:color w:val="000000" w:themeColor="text1"/>
          <w:lang w:eastAsia="de-DE"/>
        </w:rPr>
      </w:pPr>
      <w:r>
        <w:rPr>
          <w:color w:val="000000" w:themeColor="text1"/>
          <w:lang w:val="en-US"/>
        </w:rPr>
        <w:t xml:space="preserve">For the compression of the coefficients in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lang w:val="en-US"/>
              </w:rPr>
              <m:t>2,u</m:t>
            </m:r>
          </m:sub>
        </m:sSub>
      </m:oMath>
      <w:r>
        <w:rPr>
          <w:color w:val="000000" w:themeColor="text1"/>
          <w:szCs w:val="22"/>
          <w:lang w:val="en-US"/>
        </w:rPr>
        <w:t xml:space="preserve">, we introduce a </w:t>
      </w:r>
      <w:r w:rsidRPr="009E3F5F">
        <w:rPr>
          <w:b/>
          <w:color w:val="000000" w:themeColor="text1"/>
          <w:szCs w:val="22"/>
          <w:lang w:val="en-US"/>
        </w:rPr>
        <w:t>beam-dependent</w:t>
      </w:r>
      <w:r>
        <w:rPr>
          <w:color w:val="000000" w:themeColor="text1"/>
          <w:szCs w:val="22"/>
          <w:lang w:val="en-US"/>
        </w:rPr>
        <w:t xml:space="preserve"> transformation matrix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color w:val="000000" w:themeColor="text1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lang w:eastAsia="de-DE"/>
              </w:rPr>
              <m:t>u</m:t>
            </m:r>
          </m:sub>
        </m:sSub>
      </m:oMath>
      <w:r>
        <w:rPr>
          <w:color w:val="000000" w:themeColor="text1"/>
          <w:szCs w:val="22"/>
          <w:lang w:val="en-US"/>
        </w:rPr>
        <w:t>, such that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2"/>
        <w:gridCol w:w="577"/>
      </w:tblGrid>
      <w:tr w:rsidR="0080185C" w:rsidRPr="00384A7A" w14:paraId="0EED07D6" w14:textId="77777777" w:rsidTr="00861620">
        <w:tc>
          <w:tcPr>
            <w:tcW w:w="250" w:type="dxa"/>
          </w:tcPr>
          <w:p w14:paraId="377CBC3A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474DD795" w14:textId="77777777" w:rsidR="0080185C" w:rsidRPr="00E06FFF" w:rsidRDefault="005F411F" w:rsidP="006F52E3">
            <w:pPr>
              <w:shd w:val="clear" w:color="auto" w:fill="FFFFFF"/>
              <w:spacing w:line="276" w:lineRule="auto"/>
              <w:jc w:val="center"/>
              <w:rPr>
                <w:b/>
                <w:color w:val="000000" w:themeColor="text1"/>
                <w:lang w:eastAsia="de-D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en-US"/>
                      </w:rPr>
                      <m:t>2,u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u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14:paraId="10545928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(3)</w:t>
            </w:r>
          </w:p>
        </w:tc>
      </w:tr>
    </w:tbl>
    <w:p w14:paraId="365247FA" w14:textId="77777777"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 w:rsidRPr="00384A7A">
        <w:rPr>
          <w:rFonts w:eastAsia="Times New Roman"/>
          <w:color w:val="000000" w:themeColor="text1"/>
          <w:lang w:eastAsia="de-DE"/>
        </w:rPr>
        <w:t xml:space="preserve">where </w:t>
      </w:r>
      <w:r>
        <w:rPr>
          <w:rFonts w:eastAsia="Times New Roman"/>
          <w:color w:val="000000" w:themeColor="text1"/>
          <w:lang w:eastAsia="de-DE"/>
        </w:rPr>
        <w:t xml:space="preserve">matrix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color w:val="000000" w:themeColor="text1"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lang w:eastAsia="de-DE"/>
              </w:rPr>
              <m:t>u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 xml:space="preserve">=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 xml:space="preserve">  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u,2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 xml:space="preserve">   …  </m:t>
            </m:r>
            <m:sSub>
              <m:sSubPr>
                <m:ctrlPr>
                  <w:rPr>
                    <w:rFonts w:ascii="Cambria Math" w:eastAsia="Times New Roman" w:hAnsi="Cambria Math"/>
                    <w:b/>
                    <w:i/>
                    <w:color w:val="000000" w:themeColor="text1"/>
                    <w:lang w:eastAsia="de-DE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w</m:t>
                </m:r>
              </m:e>
              <m: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u,L</m:t>
                </m:r>
              </m:sub>
            </m:sSub>
          </m:e>
        </m:d>
      </m:oMath>
      <w:r w:rsidRPr="00384A7A">
        <w:rPr>
          <w:rFonts w:eastAsia="Times New Roman"/>
          <w:color w:val="000000" w:themeColor="text1"/>
        </w:rPr>
        <w:t xml:space="preserve"> is of size </w:t>
      </w:r>
      <m:oMath>
        <m:r>
          <w:rPr>
            <w:rFonts w:ascii="Cambria Math" w:eastAsia="Times New Roman" w:hAnsi="Cambria Math"/>
            <w:color w:val="000000" w:themeColor="text1"/>
          </w:rPr>
          <m:t>S×L</m:t>
        </m:r>
      </m:oMath>
      <w:r>
        <w:rPr>
          <w:rFonts w:eastAsia="Times New Roman"/>
          <w:color w:val="000000" w:themeColor="text1"/>
        </w:rPr>
        <w:t>,</w:t>
      </w:r>
      <w:r w:rsidRPr="00384A7A">
        <w:rPr>
          <w:rFonts w:eastAsia="Times New Roman"/>
          <w:color w:val="000000" w:themeColor="text1"/>
        </w:rPr>
        <w:t xml:space="preserve"> and </w:t>
      </w:r>
      <w:r>
        <w:rPr>
          <w:rFonts w:eastAsia="Times New Roman"/>
          <w:color w:val="000000" w:themeColor="text1"/>
        </w:rPr>
        <w:t xml:space="preserve">vector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 xml:space="preserve">…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l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 xml:space="preserve">  …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k</m:t>
                    </m: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u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L</m:t>
                    </m:r>
                  </m:e>
                </m:d>
                <m:ctrlPr>
                  <w:rPr>
                    <w:rFonts w:ascii="Cambria Math" w:hAnsi="Cambria Math"/>
                    <w:b/>
                    <w:i/>
                    <w:color w:val="000000" w:themeColor="text1"/>
                  </w:rPr>
                </m:ctrlPr>
              </m:e>
            </m:d>
          </m:e>
          <m:sup>
            <m:r>
              <w:rPr>
                <w:rFonts w:ascii="Cambria Math" w:hAnsi="Cambria Math"/>
                <w:color w:val="000000" w:themeColor="text1"/>
              </w:rPr>
              <m:t>T</m:t>
            </m:r>
          </m:sup>
        </m:sSup>
        <m:r>
          <w:rPr>
            <w:rFonts w:ascii="Cambria Math" w:hAnsi="Cambria Math"/>
            <w:color w:val="000000" w:themeColor="text1"/>
          </w:rPr>
          <m:t>∈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color w:val="000000" w:themeColor="text1"/>
              </w:rPr>
              <m:t>C</m:t>
            </m:r>
          </m:e>
          <m:sup>
            <m:r>
              <w:rPr>
                <w:rFonts w:ascii="Cambria Math" w:hAnsi="Cambria Math"/>
                <w:color w:val="000000" w:themeColor="text1"/>
              </w:rPr>
              <m:t xml:space="preserve">L× 1 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contains </w:t>
      </w:r>
      <m:oMath>
        <m:r>
          <w:rPr>
            <w:rFonts w:ascii="Cambria Math" w:hAnsi="Cambria Math"/>
            <w:color w:val="000000" w:themeColor="text1"/>
          </w:rPr>
          <m:t>L</m:t>
        </m:r>
      </m:oMath>
      <w:r w:rsidRPr="00384A7A">
        <w:rPr>
          <w:rFonts w:eastAsia="Times New Roman"/>
          <w:color w:val="000000" w:themeColor="text1"/>
        </w:rPr>
        <w:t xml:space="preserve"> transform-domain </w:t>
      </w:r>
      <w:r w:rsidRPr="00384A7A">
        <w:rPr>
          <w:rFonts w:eastAsia="Times New Roman"/>
          <w:color w:val="000000" w:themeColor="text1"/>
          <w:lang w:eastAsia="de-DE"/>
        </w:rPr>
        <w:t xml:space="preserve">complex </w:t>
      </w:r>
      <w:r>
        <w:rPr>
          <w:rFonts w:eastAsia="Times New Roman"/>
          <w:color w:val="000000" w:themeColor="text1"/>
          <w:lang w:eastAsia="de-DE"/>
        </w:rPr>
        <w:t>combining-</w:t>
      </w:r>
      <w:r w:rsidRPr="00384A7A">
        <w:rPr>
          <w:rFonts w:eastAsia="Times New Roman"/>
          <w:color w:val="000000" w:themeColor="text1"/>
          <w:lang w:eastAsia="de-DE"/>
        </w:rPr>
        <w:t xml:space="preserve">coefficients associated with the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u</m:t>
        </m:r>
      </m:oMath>
      <w:r w:rsidRPr="00384A7A">
        <w:rPr>
          <w:rFonts w:eastAsia="Times New Roman"/>
          <w:color w:val="000000" w:themeColor="text1"/>
          <w:lang w:eastAsia="de-DE"/>
        </w:rPr>
        <w:t>-th beam.</w:t>
      </w:r>
      <w:r>
        <w:rPr>
          <w:rFonts w:eastAsia="Times New Roman"/>
          <w:color w:val="000000" w:themeColor="text1"/>
          <w:lang w:eastAsia="de-DE"/>
        </w:rPr>
        <w:t xml:space="preserve"> </w:t>
      </w:r>
      <w:r w:rsidRPr="00384A7A">
        <w:rPr>
          <w:rFonts w:eastAsia="Times New Roman"/>
          <w:color w:val="000000" w:themeColor="text1"/>
          <w:lang w:eastAsia="de-DE"/>
        </w:rPr>
        <w:t>Using (3), the precoder</w:t>
      </w:r>
      <w:r>
        <w:rPr>
          <w:rFonts w:eastAsia="Times New Roman"/>
          <w:color w:val="000000" w:themeColor="text1"/>
          <w:lang w:eastAsia="de-DE"/>
        </w:rPr>
        <w:t xml:space="preserve"> in</w:t>
      </w:r>
      <w:r w:rsidRPr="00384A7A">
        <w:rPr>
          <w:rFonts w:eastAsia="Times New Roman"/>
          <w:color w:val="000000" w:themeColor="text1"/>
          <w:lang w:eastAsia="de-DE"/>
        </w:rPr>
        <w:t xml:space="preserve"> (2) can be </w:t>
      </w:r>
      <w:r>
        <w:rPr>
          <w:rFonts w:eastAsia="Times New Roman"/>
          <w:color w:val="000000" w:themeColor="text1"/>
          <w:lang w:eastAsia="de-DE"/>
        </w:rPr>
        <w:t>expressed</w:t>
      </w:r>
      <w:r w:rsidRPr="00384A7A">
        <w:rPr>
          <w:rFonts w:eastAsia="Times New Roman"/>
          <w:color w:val="000000" w:themeColor="text1"/>
          <w:lang w:eastAsia="de-DE"/>
        </w:rPr>
        <w:t xml:space="preserve"> as </w:t>
      </w:r>
    </w:p>
    <w:p w14:paraId="0DA0143F" w14:textId="77777777" w:rsidR="0080185C" w:rsidRPr="00384A7A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384A7A" w14:paraId="3C989924" w14:textId="77777777" w:rsidTr="00861620">
        <w:tc>
          <w:tcPr>
            <w:tcW w:w="250" w:type="dxa"/>
          </w:tcPr>
          <w:p w14:paraId="513560DE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07D21665" w14:textId="77777777" w:rsidR="0080185C" w:rsidRPr="00384A7A" w:rsidRDefault="0080185C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color w:val="000000" w:themeColor="text1"/>
                <w:lang w:eastAsia="de-DE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 xml:space="preserve">F=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szCs w:val="22"/>
                </w:rPr>
                <m:t>⋅</m:t>
              </m:r>
              <m:r>
                <m:rPr>
                  <m:sty m:val="bi"/>
                </m:rPr>
                <w:rPr>
                  <w:rFonts w:ascii="Cambria Math" w:eastAsia="Times New Roman" w:hAnsi="Cambria Math"/>
                  <w:color w:val="000000" w:themeColor="text1"/>
                  <w:szCs w:val="22"/>
                </w:rPr>
                <m:t>K⋅W</m:t>
              </m:r>
            </m:oMath>
            <w:r>
              <w:rPr>
                <w:rFonts w:eastAsia="Times New Roman"/>
                <w:b/>
                <w:color w:val="000000" w:themeColor="text1"/>
                <w:szCs w:val="22"/>
              </w:rPr>
              <w:t>,</w:t>
            </w:r>
          </w:p>
        </w:tc>
        <w:tc>
          <w:tcPr>
            <w:tcW w:w="583" w:type="dxa"/>
          </w:tcPr>
          <w:p w14:paraId="21B1C9D4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(4)</w:t>
            </w:r>
          </w:p>
        </w:tc>
      </w:tr>
    </w:tbl>
    <w:p w14:paraId="4537CCB9" w14:textId="77777777" w:rsidR="0080185C" w:rsidRDefault="0080185C" w:rsidP="006F52E3">
      <w:pPr>
        <w:shd w:val="clear" w:color="auto" w:fill="FFFFFF"/>
        <w:spacing w:after="0" w:line="276" w:lineRule="auto"/>
        <w:rPr>
          <w:rFonts w:eastAsia="Times New Roman"/>
          <w:color w:val="000000" w:themeColor="text1"/>
          <w:lang w:eastAsia="de-DE"/>
        </w:rPr>
      </w:pPr>
      <w:r w:rsidRPr="00384A7A">
        <w:rPr>
          <w:rFonts w:eastAsia="Times New Roman"/>
          <w:color w:val="000000" w:themeColor="text1"/>
          <w:lang w:eastAsia="de-DE"/>
        </w:rPr>
        <w:t xml:space="preserve">where </w:t>
      </w:r>
    </w:p>
    <w:p w14:paraId="08B5BC76" w14:textId="77777777" w:rsidR="0080185C" w:rsidRPr="00384A7A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m:oMath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  <w:lang w:eastAsia="de-DE"/>
          </w:rPr>
          <m:t>K=</m:t>
        </m:r>
        <m:sSup>
          <m:sSupP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Segoe UI"/>
                    <w:i/>
                    <w:color w:val="000000" w:themeColor="text1"/>
                    <w:lang w:eastAsia="de-DE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eastAsia="Times New Roman" w:hAnsi="Cambria Math" w:cs="Segoe UI"/>
                        <w:i/>
                        <w:color w:val="000000" w:themeColor="text1"/>
                        <w:lang w:eastAsia="de-DE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Times New Roman" w:hAnsi="Cambria Math" w:cs="Segoe UI"/>
                              <w:b/>
                              <w:i/>
                              <w:color w:val="000000" w:themeColor="text1"/>
                              <w:lang w:eastAsia="de-DE"/>
                            </w:rPr>
                          </m:ctrlPr>
                        </m:mPr>
                        <m:m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Arial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Segoe UI"/>
                                          <w:color w:val="000000" w:themeColor="text1"/>
                                          <w:lang w:eastAsia="de-DE"/>
                                        </w:rPr>
                                        <m:t>0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Segoe UI"/>
                                          <w:color w:val="000000" w:themeColor="text1"/>
                                          <w:lang w:eastAsia="de-DE"/>
                                        </w:rPr>
                                        <m:t>L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Theme="minorEastAsia" w:hAnsi="Cambria Math" w:cs="Arial"/>
                                                <w:i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Theme="minorEastAsia" w:hAnsi="Cambria Math" w:cs="Arial"/>
                                                <w:color w:val="000000" w:themeColor="text1"/>
                                              </w:rPr>
                                              <m:t>k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Theme="minorEastAsia" w:hAnsi="Cambria Math" w:cs="Arial"/>
                                                <w:color w:val="000000" w:themeColor="text1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</m:m>
                                </m:e>
                              </m:mr>
                            </m:m>
                          </m:e>
                        </m:mr>
                      </m:m>
                    </m:e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="Times New Roman" w:hAnsi="Cambria Math" w:cs="Segoe UI"/>
                              <w:b/>
                              <w:i/>
                              <w:color w:val="000000" w:themeColor="text1"/>
                              <w:lang w:eastAsia="de-DE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Segoe UI"/>
                                <w:color w:val="000000" w:themeColor="text1"/>
                                <w:lang w:eastAsia="de-DE"/>
                              </w:rPr>
                              <m:t>…</m:t>
                            </m:r>
                          </m:e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Times New Roman" w:hAnsi="Cambria Math" w:cs="Segoe UI"/>
                                    <w:b/>
                                    <w:i/>
                                    <w:color w:val="000000" w:themeColor="text1"/>
                                    <w:lang w:eastAsia="de-DE"/>
                                  </w:rPr>
                                </m:ctrlPr>
                              </m:mPr>
                              <m:mr>
                                <m:e>
                                  <m:m>
                                    <m:mPr>
                                      <m:mcs>
                                        <m:mc>
                                          <m:mcPr>
                                            <m:count m:val="1"/>
                                            <m:mcJc m:val="center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Times New Roman" w:hAnsi="Cambria Math" w:cs="Segoe UI"/>
                                          <w:b/>
                                          <w:i/>
                                          <w:color w:val="000000" w:themeColor="text1"/>
                                          <w:lang w:eastAsia="de-D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Times New Roman" w:hAnsi="Cambria Math" w:cs="Segoe UI"/>
                                                <w:b/>
                                                <w:i/>
                                                <w:color w:val="000000" w:themeColor="text1"/>
                                                <w:lang w:eastAsia="de-D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0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Times New Roman" w:hAnsi="Cambria Math" w:cs="Segoe UI"/>
                                                <w:color w:val="000000" w:themeColor="text1"/>
                                                <w:lang w:eastAsia="de-DE"/>
                                              </w:rPr>
                                              <m:t>L</m:t>
                                            </m:r>
                                          </m:sub>
                                        </m:sSub>
                                      </m:e>
                                    </m:mr>
                                    <m:m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Times New Roman" w:hAnsi="Cambria Math" w:cs="Segoe UI"/>
                                            <w:color w:val="000000" w:themeColor="text1"/>
                                            <w:lang w:eastAsia="de-DE"/>
                                          </w:rPr>
                                          <m:t>⋮</m:t>
                                        </m:r>
                                      </m:e>
                                    </m:mr>
                                  </m:m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Cambria Math" w:cs="Arial"/>
                                          <w:i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 w:cs="Arial"/>
                                          <w:color w:val="000000" w:themeColor="text1"/>
                                        </w:rPr>
                                        <m:t>2U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mr>
                      </m:m>
                    </m:e>
                  </m:mr>
                </m:m>
              </m:e>
            </m:d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T</m:t>
            </m:r>
          </m:sup>
        </m:sSup>
        <m:r>
          <w:rPr>
            <w:rFonts w:ascii="Cambria Math" w:eastAsia="Times New Roman" w:hAnsi="Cambria Math" w:cs="Segoe UI"/>
            <w:color w:val="000000" w:themeColor="text1"/>
            <w:lang w:eastAsia="de-DE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</w:rPr>
              <m:t>C</m:t>
            </m: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2U×2LU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 xml:space="preserve">is a block-diagonal matrix </w:t>
      </w:r>
      <w:r w:rsidRPr="00384A7A">
        <w:rPr>
          <w:rFonts w:eastAsia="Times New Roman"/>
          <w:color w:val="000000" w:themeColor="text1"/>
        </w:rPr>
        <w:t>contain</w:t>
      </w:r>
      <w:r>
        <w:rPr>
          <w:rFonts w:eastAsia="Times New Roman"/>
          <w:color w:val="000000" w:themeColor="text1"/>
        </w:rPr>
        <w:t>ing</w:t>
      </w:r>
      <w:r w:rsidRPr="00384A7A">
        <w:rPr>
          <w:rFonts w:eastAsia="Times New Roman"/>
          <w:color w:val="000000" w:themeColor="text1"/>
        </w:rPr>
        <w:t xml:space="preserve"> the transform-domain </w:t>
      </w:r>
      <w:r>
        <w:rPr>
          <w:rFonts w:eastAsia="Times New Roman"/>
          <w:color w:val="000000" w:themeColor="text1"/>
        </w:rPr>
        <w:t xml:space="preserve">complex </w:t>
      </w:r>
      <w:r w:rsidRPr="00384A7A">
        <w:rPr>
          <w:rFonts w:eastAsia="Times New Roman"/>
          <w:color w:val="000000" w:themeColor="text1"/>
        </w:rPr>
        <w:t>combining</w:t>
      </w:r>
      <w:r>
        <w:rPr>
          <w:rFonts w:eastAsia="Times New Roman"/>
          <w:color w:val="000000" w:themeColor="text1"/>
        </w:rPr>
        <w:t>-</w:t>
      </w:r>
      <w:r w:rsidRPr="00384A7A">
        <w:rPr>
          <w:rFonts w:eastAsia="Times New Roman"/>
          <w:color w:val="000000" w:themeColor="text1"/>
        </w:rPr>
        <w:t xml:space="preserve">coefficients </w:t>
      </w:r>
      <w:r>
        <w:rPr>
          <w:rFonts w:eastAsia="Times New Roman"/>
          <w:color w:val="000000" w:themeColor="text1"/>
        </w:rPr>
        <w:t>associated with the</w:t>
      </w:r>
      <w:r w:rsidRPr="00384A7A">
        <w:rPr>
          <w:rFonts w:eastAsia="Times New Roman"/>
          <w:color w:val="000000" w:themeColor="text1"/>
        </w:rPr>
        <w:t xml:space="preserve"> </w:t>
      </w:r>
      <m:oMath>
        <m:r>
          <w:rPr>
            <w:rFonts w:ascii="Cambria Math" w:eastAsia="Times New Roman" w:hAnsi="Cambria Math"/>
            <w:color w:val="000000" w:themeColor="text1"/>
          </w:rPr>
          <m:t>2U</m:t>
        </m:r>
      </m:oMath>
      <w:r w:rsidRPr="00384A7A">
        <w:rPr>
          <w:rFonts w:eastAsia="Times New Roman"/>
          <w:color w:val="000000" w:themeColor="text1"/>
        </w:rPr>
        <w:t xml:space="preserve"> spatial beams</w:t>
      </w:r>
      <w:r>
        <w:rPr>
          <w:rFonts w:eastAsia="Times New Roman"/>
          <w:color w:val="000000" w:themeColor="text1"/>
        </w:rPr>
        <w:t>,</w:t>
      </w:r>
      <w:r w:rsidRPr="00384A7A">
        <w:rPr>
          <w:rFonts w:eastAsia="Times New Roman"/>
          <w:color w:val="000000" w:themeColor="text1"/>
        </w:rPr>
        <w:t xml:space="preserve"> and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</w:rPr>
          <m:t>W</m:t>
        </m:r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</w:rPr>
          <m:t>=</m:t>
        </m:r>
        <m:sSup>
          <m:sSupPr>
            <m:ctrlPr>
              <w:rPr>
                <w:rFonts w:ascii="Cambria Math" w:eastAsia="Times New Roman" w:hAnsi="Cambria Math" w:cs="Segoe UI"/>
                <w:b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Segoe UI"/>
                    <w:b/>
                    <w:i/>
                    <w:color w:val="000000" w:themeColor="text1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Segoe UI"/>
                    <w:color w:val="000000" w:themeColor="text1"/>
                  </w:rPr>
                  <m:t>…</m:t>
                </m:r>
                <m:sSub>
                  <m:sSubP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W</m:t>
                    </m:r>
                    <m:ctrlPr>
                      <w:rPr>
                        <w:rFonts w:ascii="Cambria Math" w:eastAsia="Times New Roman" w:hAnsi="Cambria Math" w:cs="Segoe UI"/>
                        <w:b/>
                        <w:i/>
                        <w:color w:val="000000" w:themeColor="text1"/>
                      </w:rPr>
                    </m:ctrlPr>
                  </m:e>
                  <m:sub>
                    <m:r>
                      <w:rPr>
                        <w:rFonts w:ascii="Cambria Math" w:eastAsia="Times New Roman" w:hAnsi="Cambria Math" w:cs="Segoe UI"/>
                        <w:color w:val="000000" w:themeColor="text1"/>
                        <w:lang w:eastAsia="de-DE"/>
                      </w:rPr>
                      <m:t>2U</m:t>
                    </m:r>
                  </m:sub>
                </m:sSub>
              </m:e>
            </m:d>
          </m:e>
          <m:sup>
            <m:r>
              <w:rPr>
                <w:rFonts w:ascii="Cambria Math" w:eastAsia="Times New Roman" w:hAnsi="Cambria Math" w:cs="Segoe UI"/>
                <w:color w:val="000000" w:themeColor="text1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 w:cs="Segoe UI"/>
            <w:color w:val="000000" w:themeColor="text1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</w:rPr>
              <m:t>C</m:t>
            </m:r>
            <m:ctrlPr>
              <w:rPr>
                <w:rFonts w:ascii="Cambria Math" w:eastAsia="Times New Roman" w:hAnsi="Cambria Math" w:cs="Segoe UI"/>
                <w:i/>
                <w:color w:val="000000" w:themeColor="text1"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color w:val="000000" w:themeColor="text1"/>
                <w:lang w:eastAsia="de-DE"/>
              </w:rPr>
              <m:t>2LU×S</m:t>
            </m:r>
          </m:sup>
        </m:sSup>
      </m:oMath>
      <w:r w:rsidRPr="00384A7A">
        <w:rPr>
          <w:rFonts w:eastAsia="Times New Roman"/>
          <w:color w:val="000000" w:themeColor="text1"/>
        </w:rPr>
        <w:t xml:space="preserve"> is the </w:t>
      </w:r>
      <w:r>
        <w:rPr>
          <w:rFonts w:eastAsia="Times New Roman"/>
          <w:color w:val="000000" w:themeColor="text1"/>
        </w:rPr>
        <w:t xml:space="preserve">overall </w:t>
      </w:r>
      <w:r w:rsidRPr="00481559">
        <w:rPr>
          <w:color w:val="000000" w:themeColor="text1"/>
          <w:szCs w:val="22"/>
          <w:lang w:val="en-US"/>
        </w:rPr>
        <w:t>beam-dependent</w:t>
      </w:r>
      <w:r>
        <w:rPr>
          <w:color w:val="000000" w:themeColor="text1"/>
          <w:szCs w:val="22"/>
          <w:lang w:val="en-US"/>
        </w:rPr>
        <w:t xml:space="preserve"> </w:t>
      </w:r>
      <w:r w:rsidRPr="00384A7A">
        <w:rPr>
          <w:rFonts w:eastAsia="Times New Roman"/>
          <w:color w:val="000000" w:themeColor="text1"/>
        </w:rPr>
        <w:t xml:space="preserve">transformation matrix. </w:t>
      </w:r>
    </w:p>
    <w:p w14:paraId="3F0BB9E2" w14:textId="77777777" w:rsidR="0080185C" w:rsidRDefault="0080185C" w:rsidP="006F52E3">
      <w:pPr>
        <w:shd w:val="clear" w:color="auto" w:fill="FFFFFF"/>
        <w:spacing w:after="0" w:line="276" w:lineRule="auto"/>
        <w:rPr>
          <w:rFonts w:eastAsia="Times New Roman"/>
          <w:color w:val="000000" w:themeColor="text1"/>
          <w:lang w:eastAsia="de-DE"/>
        </w:rPr>
      </w:pPr>
    </w:p>
    <w:p w14:paraId="3FE6E3BA" w14:textId="77777777" w:rsidR="0080185C" w:rsidRPr="0022606B" w:rsidRDefault="0080185C" w:rsidP="006F52E3">
      <w:pPr>
        <w:shd w:val="clear" w:color="auto" w:fill="FFFFFF"/>
        <w:spacing w:after="0" w:line="276" w:lineRule="auto"/>
        <w:rPr>
          <w:rFonts w:eastAsia="Times New Roman"/>
          <w:b/>
          <w:i/>
          <w:u w:val="single"/>
          <w:lang w:eastAsia="de-DE"/>
        </w:rPr>
      </w:pPr>
      <w:r w:rsidRPr="0022606B">
        <w:rPr>
          <w:rFonts w:eastAsia="Times New Roman"/>
          <w:b/>
          <w:i/>
          <w:u w:val="single"/>
          <w:lang w:eastAsia="de-DE"/>
        </w:rPr>
        <w:t xml:space="preserve">Beam-independent transformation </w:t>
      </w:r>
    </w:p>
    <w:p w14:paraId="17BB1B22" w14:textId="77777777" w:rsidR="00155534" w:rsidRPr="0022606B" w:rsidRDefault="0080185C" w:rsidP="00155534">
      <w:pPr>
        <w:shd w:val="clear" w:color="auto" w:fill="FFFFFF"/>
        <w:spacing w:after="0" w:line="36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When an identical transformation matrix </w:t>
      </w:r>
      <w:r w:rsidRPr="00E73AB1">
        <w:rPr>
          <w:rFonts w:eastAsia="Times New Roman"/>
          <w:noProof/>
          <w:lang w:eastAsia="de-DE"/>
        </w:rPr>
        <w:t>is considered</w:t>
      </w:r>
      <w:r>
        <w:rPr>
          <w:rFonts w:eastAsia="Times New Roman"/>
          <w:lang w:eastAsia="de-DE"/>
        </w:rPr>
        <w:t xml:space="preserve"> for all beams, the following holds</w:t>
      </w:r>
    </w:p>
    <w:p w14:paraId="000CA28D" w14:textId="77777777" w:rsidR="0080185C" w:rsidRPr="0022606B" w:rsidRDefault="005F411F" w:rsidP="00155534">
      <w:pPr>
        <w:shd w:val="clear" w:color="auto" w:fill="FFFFFF"/>
        <w:spacing w:after="0" w:line="360" w:lineRule="auto"/>
        <w:jc w:val="center"/>
        <w:rPr>
          <w:rFonts w:eastAsia="Times New Roman"/>
          <w:lang w:eastAsia="de-DE"/>
        </w:rPr>
      </w:pP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  <m:r>
          <w:rPr>
            <w:rFonts w:ascii="Cambria Math" w:eastAsia="Times New Roman" w:hAnsi="Cambria Math"/>
            <w:lang w:eastAsia="de-D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lang w:eastAsia="de-DE"/>
              </w:rPr>
              <m:t>W</m:t>
            </m:r>
          </m:e>
          <m:sub>
            <m:r>
              <w:rPr>
                <w:rFonts w:ascii="Cambria Math" w:eastAsia="Times New Roman" w:hAnsi="Cambria Math"/>
                <w:lang w:eastAsia="de-DE"/>
              </w:rPr>
              <m:t>u</m:t>
            </m:r>
          </m:sub>
        </m:sSub>
        <m:r>
          <w:rPr>
            <w:rFonts w:ascii="Cambria Math" w:eastAsia="Times New Roman" w:hAnsi="Cambria Math"/>
            <w:lang w:eastAsia="de-DE"/>
          </w:rPr>
          <m:t>, ∀u=1, …, 2U</m:t>
        </m:r>
      </m:oMath>
      <w:r w:rsidR="0080185C">
        <w:rPr>
          <w:rFonts w:eastAsia="Times New Roman"/>
          <w:lang w:eastAsia="de-DE"/>
        </w:rPr>
        <w:t>,</w:t>
      </w:r>
    </w:p>
    <w:p w14:paraId="7FC49B5D" w14:textId="77777777" w:rsidR="0080185C" w:rsidRPr="0022606B" w:rsidRDefault="0080185C" w:rsidP="00155534">
      <w:pPr>
        <w:shd w:val="clear" w:color="auto" w:fill="FFFFFF"/>
        <w:spacing w:after="0" w:line="360" w:lineRule="auto"/>
        <w:rPr>
          <w:rFonts w:eastAsia="Times New Roman"/>
          <w:lang w:eastAsia="de-DE"/>
        </w:rPr>
      </w:pPr>
      <w:r>
        <w:rPr>
          <w:rFonts w:eastAsia="Times New Roman"/>
          <w:lang w:eastAsia="de-DE"/>
        </w:rPr>
        <w:t xml:space="preserve">where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</m:oMath>
      <w:r>
        <w:rPr>
          <w:rFonts w:eastAsia="Times New Roman"/>
          <w:b/>
          <w:szCs w:val="22"/>
        </w:rPr>
        <w:t xml:space="preserve"> </w:t>
      </w:r>
      <w:r w:rsidRPr="00481559">
        <w:rPr>
          <w:rFonts w:eastAsia="Times New Roman"/>
          <w:szCs w:val="22"/>
        </w:rPr>
        <w:t>is</w:t>
      </w:r>
      <w:r>
        <w:rPr>
          <w:rFonts w:eastAsia="Times New Roman"/>
          <w:b/>
          <w:szCs w:val="22"/>
        </w:rPr>
        <w:t xml:space="preserve"> </w:t>
      </w:r>
      <w:r w:rsidRPr="0022606B">
        <w:rPr>
          <w:rFonts w:eastAsia="Times New Roman"/>
          <w:lang w:eastAsia="de-DE"/>
        </w:rPr>
        <w:t xml:space="preserve">the </w:t>
      </w:r>
      <w:r w:rsidRPr="009E3F5F">
        <w:rPr>
          <w:b/>
          <w:color w:val="000000" w:themeColor="text1"/>
          <w:szCs w:val="22"/>
          <w:lang w:val="en-US"/>
        </w:rPr>
        <w:t>beam-</w:t>
      </w:r>
      <w:r>
        <w:rPr>
          <w:b/>
          <w:color w:val="000000" w:themeColor="text1"/>
          <w:szCs w:val="22"/>
          <w:lang w:val="en-US"/>
        </w:rPr>
        <w:t>in</w:t>
      </w:r>
      <w:r w:rsidRPr="009E3F5F">
        <w:rPr>
          <w:b/>
          <w:color w:val="000000" w:themeColor="text1"/>
          <w:szCs w:val="22"/>
          <w:lang w:val="en-US"/>
        </w:rPr>
        <w:t>dependent</w:t>
      </w:r>
      <w:r>
        <w:rPr>
          <w:color w:val="000000" w:themeColor="text1"/>
          <w:szCs w:val="22"/>
          <w:lang w:val="en-US"/>
        </w:rPr>
        <w:t xml:space="preserve"> </w:t>
      </w:r>
      <w:r w:rsidRPr="0022606B">
        <w:rPr>
          <w:rFonts w:eastAsia="Times New Roman"/>
          <w:lang w:eastAsia="de-DE"/>
        </w:rPr>
        <w:t>transformation matrix</w:t>
      </w:r>
      <m:oMath>
        <m:r>
          <m:rPr>
            <m:sty m:val="bi"/>
          </m:rPr>
          <w:rPr>
            <w:rFonts w:ascii="Cambria Math" w:eastAsia="Times New Roman" w:hAnsi="Cambria Math"/>
            <w:szCs w:val="22"/>
          </w:rPr>
          <m:t xml:space="preserve">. </m:t>
        </m:r>
      </m:oMath>
      <w:r w:rsidRPr="0022606B">
        <w:rPr>
          <w:rFonts w:eastAsia="Times New Roman"/>
          <w:lang w:eastAsia="de-DE"/>
        </w:rPr>
        <w:t>Then</w:t>
      </w:r>
      <w:r w:rsidR="00481559">
        <w:rPr>
          <w:rFonts w:eastAsia="Times New Roman"/>
          <w:lang w:eastAsia="de-DE"/>
        </w:rPr>
        <w:t>,</w:t>
      </w:r>
      <w:r w:rsidRPr="0022606B">
        <w:rPr>
          <w:rFonts w:eastAsia="Times New Roman"/>
          <w:lang w:eastAsia="de-DE"/>
        </w:rPr>
        <w:t xml:space="preserve"> the precoder (2) is given </w:t>
      </w:r>
      <w:proofErr w:type="gramStart"/>
      <w:r w:rsidRPr="0022606B">
        <w:rPr>
          <w:rFonts w:eastAsia="Times New Roman"/>
          <w:lang w:eastAsia="de-DE"/>
        </w:rPr>
        <w:t>by</w:t>
      </w:r>
      <w:proofErr w:type="gramEnd"/>
      <w:r w:rsidRPr="0022606B">
        <w:rPr>
          <w:rFonts w:eastAsia="Times New Roman"/>
          <w:lang w:eastAsia="de-DE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22606B" w14:paraId="1E940285" w14:textId="77777777" w:rsidTr="00861620">
        <w:tc>
          <w:tcPr>
            <w:tcW w:w="250" w:type="dxa"/>
          </w:tcPr>
          <w:p w14:paraId="34893C11" w14:textId="77777777" w:rsidR="0080185C" w:rsidRPr="009E3F5F" w:rsidRDefault="0080185C" w:rsidP="00155534">
            <w:pPr>
              <w:spacing w:line="360" w:lineRule="auto"/>
              <w:jc w:val="both"/>
              <w:rPr>
                <w:szCs w:val="22"/>
              </w:rPr>
            </w:pPr>
          </w:p>
        </w:tc>
        <w:tc>
          <w:tcPr>
            <w:tcW w:w="8789" w:type="dxa"/>
          </w:tcPr>
          <w:p w14:paraId="0FD2346A" w14:textId="77777777" w:rsidR="0080185C" w:rsidRPr="0022606B" w:rsidRDefault="0080185C" w:rsidP="00155534">
            <w:pPr>
              <w:shd w:val="clear" w:color="auto" w:fill="FFFFFF"/>
              <w:spacing w:after="0" w:line="360" w:lineRule="auto"/>
              <w:jc w:val="center"/>
              <w:rPr>
                <w:rFonts w:eastAsia="Times New Roman"/>
                <w:szCs w:val="22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 xml:space="preserve">F=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Cs w:val="22"/>
                </w:rPr>
                <m:t>⋅</m:t>
              </m:r>
              <m:acc>
                <m:accPr>
                  <m:chr m:val="̌"/>
                  <m:ctrlPr>
                    <w:rPr>
                      <w:rFonts w:ascii="Cambria Math" w:eastAsia="Times New Roman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2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eastAsia="Times New Roman" w:hAnsi="Cambria Math"/>
                  <w:szCs w:val="22"/>
                </w:rPr>
                <m:t>⋅</m:t>
              </m:r>
              <m:acc>
                <m:accPr>
                  <m:chr m:val="̌"/>
                  <m:ctrlPr>
                    <w:rPr>
                      <w:rFonts w:ascii="Cambria Math" w:eastAsia="Times New Roman" w:hAnsi="Cambria Math"/>
                      <w:b/>
                      <w:i/>
                      <w:szCs w:val="22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Cs w:val="22"/>
                    </w:rPr>
                    <m:t>W</m:t>
                  </m:r>
                </m:e>
              </m:acc>
            </m:oMath>
            <w:r>
              <w:rPr>
                <w:rFonts w:eastAsia="Times New Roman"/>
                <w:b/>
                <w:szCs w:val="22"/>
              </w:rPr>
              <w:t>,</w:t>
            </w:r>
          </w:p>
        </w:tc>
        <w:tc>
          <w:tcPr>
            <w:tcW w:w="583" w:type="dxa"/>
          </w:tcPr>
          <w:p w14:paraId="0E3190FD" w14:textId="77777777" w:rsidR="0080185C" w:rsidRPr="0022606B" w:rsidRDefault="0080185C" w:rsidP="00155534">
            <w:pPr>
              <w:spacing w:line="360" w:lineRule="auto"/>
              <w:jc w:val="both"/>
              <w:rPr>
                <w:sz w:val="18"/>
                <w:szCs w:val="22"/>
                <w:lang w:val="en-US"/>
              </w:rPr>
            </w:pPr>
            <w:r w:rsidRPr="0022606B">
              <w:rPr>
                <w:szCs w:val="22"/>
                <w:lang w:val="en-US"/>
              </w:rPr>
              <w:t>(</w:t>
            </w:r>
            <w:r>
              <w:rPr>
                <w:szCs w:val="22"/>
                <w:lang w:val="en-US"/>
              </w:rPr>
              <w:t>5</w:t>
            </w:r>
            <w:r w:rsidRPr="0022606B">
              <w:rPr>
                <w:szCs w:val="22"/>
                <w:lang w:val="en-US"/>
              </w:rPr>
              <w:t>)</w:t>
            </w:r>
          </w:p>
        </w:tc>
      </w:tr>
    </w:tbl>
    <w:p w14:paraId="2F315C2B" w14:textId="77777777" w:rsidR="0080185C" w:rsidRPr="0022606B" w:rsidRDefault="0080185C" w:rsidP="00155534">
      <w:pPr>
        <w:shd w:val="clear" w:color="auto" w:fill="FFFFFF"/>
        <w:spacing w:after="0" w:line="360" w:lineRule="auto"/>
        <w:jc w:val="both"/>
        <w:rPr>
          <w:rFonts w:eastAsia="Times New Roman"/>
          <w:lang w:eastAsia="de-DE"/>
        </w:rPr>
      </w:pPr>
      <w:r w:rsidRPr="0022606B">
        <w:rPr>
          <w:rFonts w:eastAsia="Times New Roman"/>
          <w:lang w:eastAsia="de-DE"/>
        </w:rPr>
        <w:t xml:space="preserve">where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K</m:t>
            </m:r>
          </m:e>
        </m:acc>
        <m:r>
          <m:rPr>
            <m:sty m:val="bi"/>
          </m:rPr>
          <w:rPr>
            <w:rFonts w:ascii="Cambria Math" w:eastAsia="Times New Roman" w:hAnsi="Cambria Math"/>
            <w:szCs w:val="22"/>
          </w:rPr>
          <m:t>=</m:t>
        </m:r>
        <m:sSup>
          <m:sSupPr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/>
                    <w:b/>
                    <w:i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 xml:space="preserve">   …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</w:rPr>
                      <m:t>2U</m:t>
                    </m:r>
                  </m:sub>
                </m:sSub>
              </m:e>
            </m:d>
          </m:e>
          <m:sup>
            <m:r>
              <w:rPr>
                <w:rFonts w:ascii="Cambria Math" w:eastAsia="Times New Roman" w:hAnsi="Cambria Math"/>
                <w:szCs w:val="22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/>
            <w:szCs w:val="22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</w:rPr>
              <m:t>C</m:t>
            </m:r>
            <m:ctrlPr>
              <w:rPr>
                <w:rFonts w:ascii="Cambria Math" w:eastAsia="Times New Roman" w:hAnsi="Cambria Math" w:cs="Segoe UI"/>
                <w:i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lang w:eastAsia="de-DE"/>
              </w:rPr>
              <m:t>2U×L</m:t>
            </m:r>
          </m:sup>
        </m:sSup>
      </m:oMath>
      <w:r w:rsidRPr="0022606B">
        <w:rPr>
          <w:rFonts w:eastAsia="Times New Roman"/>
        </w:rPr>
        <w:t xml:space="preserve">  and  </w:t>
      </w:r>
      <m:oMath>
        <m:acc>
          <m:accPr>
            <m:chr m:val="̌"/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W</m:t>
            </m:r>
          </m:e>
        </m:acc>
        <m:r>
          <m:rPr>
            <m:sty m:val="bi"/>
          </m:rPr>
          <w:rPr>
            <w:rFonts w:ascii="Cambria Math" w:eastAsia="Times New Roman" w:hAnsi="Cambria Math"/>
            <w:szCs w:val="22"/>
          </w:rPr>
          <m:t>=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="Times New Roman" w:hAnsi="Cambria Math"/>
                <w:b/>
                <w:i/>
                <w:szCs w:val="22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  …  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/>
                        <w:i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lang w:eastAsia="de-DE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de-DE"/>
                      </w:rPr>
                      <m:t>L</m:t>
                    </m:r>
                  </m:sub>
                </m:sSub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  <m:sup>
            <m:r>
              <m:rPr>
                <m:sty m:val="bi"/>
              </m:rPr>
              <w:rPr>
                <w:rFonts w:ascii="Cambria Math" w:eastAsia="Times New Roman" w:hAnsi="Cambria Math"/>
                <w:szCs w:val="22"/>
              </w:rPr>
              <m:t>T</m:t>
            </m:r>
          </m:sup>
        </m:sSup>
        <m:r>
          <m:rPr>
            <m:sty m:val="bi"/>
          </m:rPr>
          <w:rPr>
            <w:rFonts w:ascii="Cambria Math" w:eastAsia="Times New Roman" w:hAnsi="Cambria Math"/>
            <w:szCs w:val="22"/>
          </w:rPr>
          <m:t>∈</m:t>
        </m:r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</w:rPr>
              <m:t>C</m:t>
            </m:r>
            <m:ctrlPr>
              <w:rPr>
                <w:rFonts w:ascii="Cambria Math" w:eastAsia="Times New Roman" w:hAnsi="Cambria Math" w:cs="Segoe UI"/>
                <w:i/>
                <w:lang w:eastAsia="de-DE"/>
              </w:rPr>
            </m:ctrlPr>
          </m:e>
          <m:sup>
            <m:r>
              <w:rPr>
                <w:rFonts w:ascii="Cambria Math" w:eastAsia="Times New Roman" w:hAnsi="Cambria Math" w:cs="Segoe UI"/>
                <w:lang w:eastAsia="de-DE"/>
              </w:rPr>
              <m:t>L×S</m:t>
            </m:r>
          </m:sup>
        </m:sSup>
      </m:oMath>
      <w:r w:rsidRPr="0022606B">
        <w:rPr>
          <w:rFonts w:eastAsia="Times New Roman"/>
        </w:rPr>
        <w:t>.</w:t>
      </w:r>
    </w:p>
    <w:p w14:paraId="13A9ABC6" w14:textId="77777777" w:rsidR="00E27972" w:rsidRDefault="00E27972" w:rsidP="00155534">
      <w:pPr>
        <w:shd w:val="clear" w:color="auto" w:fill="FFFFFF"/>
        <w:spacing w:after="0" w:line="360" w:lineRule="auto"/>
        <w:jc w:val="both"/>
        <w:rPr>
          <w:rFonts w:eastAsia="Times New Roman"/>
        </w:rPr>
      </w:pPr>
    </w:p>
    <w:p w14:paraId="6F2F8FB6" w14:textId="77777777" w:rsidR="0080185C" w:rsidRPr="009E3F5F" w:rsidRDefault="0080185C" w:rsidP="006F52E3">
      <w:pPr>
        <w:shd w:val="clear" w:color="auto" w:fill="FFFFFF"/>
        <w:spacing w:after="0" w:line="276" w:lineRule="auto"/>
        <w:rPr>
          <w:rFonts w:eastAsia="Times New Roman"/>
          <w:b/>
          <w:i/>
          <w:u w:val="single"/>
          <w:lang w:eastAsia="de-DE"/>
        </w:rPr>
      </w:pPr>
      <w:r w:rsidRPr="0022606B">
        <w:rPr>
          <w:rFonts w:eastAsia="Times New Roman"/>
          <w:b/>
          <w:i/>
          <w:u w:val="single"/>
          <w:lang w:eastAsia="de-DE"/>
        </w:rPr>
        <w:t xml:space="preserve">DFT </w:t>
      </w:r>
      <w:r>
        <w:rPr>
          <w:rFonts w:eastAsia="Times New Roman"/>
          <w:b/>
          <w:i/>
          <w:u w:val="single"/>
          <w:lang w:eastAsia="de-DE"/>
        </w:rPr>
        <w:t>-based</w:t>
      </w:r>
      <w:r w:rsidRPr="0022606B">
        <w:rPr>
          <w:rFonts w:eastAsia="Times New Roman"/>
          <w:b/>
          <w:i/>
          <w:u w:val="single"/>
          <w:lang w:eastAsia="de-DE"/>
        </w:rPr>
        <w:t xml:space="preserve"> </w:t>
      </w:r>
      <w:r w:rsidRPr="009E3F5F">
        <w:rPr>
          <w:rFonts w:eastAsia="Times New Roman"/>
          <w:b/>
          <w:i/>
          <w:u w:val="single"/>
          <w:lang w:eastAsia="de-DE"/>
        </w:rPr>
        <w:t>transformation matrix</w:t>
      </w:r>
    </w:p>
    <w:p w14:paraId="0EA92F95" w14:textId="0B369A47" w:rsidR="0080185C" w:rsidRDefault="0080185C" w:rsidP="006F52E3">
      <w:pPr>
        <w:shd w:val="clear" w:color="auto" w:fill="FFFFFF"/>
        <w:spacing w:after="0" w:line="276" w:lineRule="auto"/>
        <w:jc w:val="both"/>
        <w:rPr>
          <w:color w:val="000000" w:themeColor="text1"/>
          <w:szCs w:val="22"/>
          <w:lang w:val="en-US"/>
        </w:rPr>
      </w:pPr>
      <w:r>
        <w:rPr>
          <w:rFonts w:eastAsia="Times New Roman"/>
          <w:lang w:eastAsia="de-DE"/>
        </w:rPr>
        <w:lastRenderedPageBreak/>
        <w:t>The two</w:t>
      </w:r>
      <w:r w:rsidR="00C27388">
        <w:rPr>
          <w:rFonts w:eastAsia="Times New Roman"/>
          <w:lang w:eastAsia="de-DE"/>
        </w:rPr>
        <w:t xml:space="preserve"> contributions</w:t>
      </w:r>
      <w:r w:rsidR="009D19F9">
        <w:rPr>
          <w:rFonts w:eastAsia="Times New Roman"/>
          <w:lang w:eastAsia="de-DE"/>
        </w:rPr>
        <w:t xml:space="preserve"> [</w:t>
      </w:r>
      <w:r w:rsidR="005F411F">
        <w:rPr>
          <w:rFonts w:eastAsia="Times New Roman"/>
          <w:lang w:eastAsia="de-DE"/>
        </w:rPr>
        <w:t>4</w:t>
      </w:r>
      <w:r w:rsidR="009D19F9">
        <w:rPr>
          <w:rFonts w:eastAsia="Times New Roman"/>
          <w:lang w:eastAsia="de-DE"/>
        </w:rPr>
        <w:t>] and [</w:t>
      </w:r>
      <w:r w:rsidR="005F411F">
        <w:rPr>
          <w:rFonts w:eastAsia="Times New Roman"/>
          <w:lang w:eastAsia="de-DE"/>
        </w:rPr>
        <w:t>5</w:t>
      </w:r>
      <w:r>
        <w:rPr>
          <w:rFonts w:eastAsia="Times New Roman"/>
          <w:lang w:eastAsia="de-DE"/>
        </w:rPr>
        <w:t xml:space="preserve">] consider the compression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US"/>
              </w:rPr>
              <m:t>2</m:t>
            </m:r>
          </m:sub>
        </m:sSub>
      </m:oMath>
      <w:r>
        <w:rPr>
          <w:rFonts w:eastAsia="Times New Roman"/>
          <w:lang w:eastAsia="de-DE"/>
        </w:rPr>
        <w:t xml:space="preserve"> and apply DFT</w:t>
      </w:r>
      <w:r w:rsidR="00490341">
        <w:rPr>
          <w:rFonts w:eastAsia="Times New Roman"/>
          <w:lang w:eastAsia="de-DE"/>
        </w:rPr>
        <w:t>-based</w:t>
      </w:r>
      <w:r>
        <w:rPr>
          <w:rFonts w:eastAsia="Times New Roman"/>
          <w:lang w:eastAsia="de-DE"/>
        </w:rPr>
        <w:t xml:space="preserve"> matri</w:t>
      </w:r>
      <w:r w:rsidR="00490341">
        <w:rPr>
          <w:rFonts w:eastAsia="Times New Roman"/>
          <w:lang w:eastAsia="de-DE"/>
        </w:rPr>
        <w:t>ces</w:t>
      </w:r>
      <w:r>
        <w:rPr>
          <w:rFonts w:eastAsia="Times New Roman"/>
          <w:lang w:eastAsia="de-DE"/>
        </w:rPr>
        <w:t xml:space="preserve"> for </w:t>
      </w:r>
      <w:r w:rsidR="00490341">
        <w:rPr>
          <w:rFonts w:eastAsia="Times New Roman"/>
          <w:lang w:eastAsia="de-DE"/>
        </w:rPr>
        <w:t>the generation of the</w:t>
      </w:r>
      <w:r>
        <w:rPr>
          <w:rFonts w:eastAsia="Times New Roman"/>
          <w:lang w:eastAsia="de-DE"/>
        </w:rPr>
        <w:t xml:space="preserve"> transformation matrix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szCs w:val="22"/>
          </w:rPr>
          <m:t>W,</m:t>
        </m:r>
      </m:oMath>
      <w:r>
        <w:rPr>
          <w:rFonts w:eastAsia="Times New Roman"/>
          <w:b/>
          <w:color w:val="000000" w:themeColor="text1"/>
          <w:szCs w:val="22"/>
        </w:rPr>
        <w:t xml:space="preserve"> </w:t>
      </w:r>
      <w:r>
        <w:rPr>
          <w:rFonts w:eastAsia="Times New Roman"/>
          <w:lang w:eastAsia="de-DE"/>
        </w:rPr>
        <w:t xml:space="preserve">resulting in </w:t>
      </w:r>
      <w:r w:rsidRPr="00481559">
        <w:rPr>
          <w:rFonts w:eastAsia="Times New Roman"/>
          <w:lang w:eastAsia="de-DE"/>
        </w:rPr>
        <w:t xml:space="preserve">delay-domain complex-combining coefficients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481559">
        <w:rPr>
          <w:rFonts w:eastAsia="Times New Roman"/>
        </w:rPr>
        <w:t xml:space="preserve"> per beam</w:t>
      </w:r>
      <w:r w:rsidRPr="00481559">
        <w:rPr>
          <w:rFonts w:eastAsia="Times New Roman"/>
          <w:lang w:eastAsia="de-DE"/>
        </w:rPr>
        <w:t>.</w:t>
      </w:r>
      <w:r>
        <w:rPr>
          <w:rFonts w:eastAsia="Times New Roman"/>
          <w:lang w:eastAsia="de-DE"/>
        </w:rPr>
        <w:t xml:space="preserve"> In [</w:t>
      </w:r>
      <w:r w:rsidR="005F411F">
        <w:rPr>
          <w:rFonts w:eastAsia="Times New Roman"/>
          <w:lang w:eastAsia="de-DE"/>
        </w:rPr>
        <w:t>5</w:t>
      </w:r>
      <w:r>
        <w:rPr>
          <w:rFonts w:eastAsia="Times New Roman"/>
          <w:lang w:eastAsia="de-DE"/>
        </w:rPr>
        <w:t>], the</w:t>
      </w:r>
      <w:r>
        <w:rPr>
          <w:color w:val="000000" w:themeColor="text1"/>
          <w:szCs w:val="22"/>
          <w:lang w:val="en-US"/>
        </w:rPr>
        <w:t xml:space="preserve"> transformati</w:t>
      </w:r>
      <w:r w:rsidR="00CC7AD9">
        <w:rPr>
          <w:noProof/>
          <w:color w:val="000000" w:themeColor="text1"/>
          <w:szCs w:val="22"/>
          <w:lang w:val="en-US"/>
        </w:rPr>
        <w:t>on matrix is beam-dependent, and</w:t>
      </w:r>
      <w:r w:rsidR="00625D7C">
        <w:rPr>
          <w:noProof/>
          <w:color w:val="000000" w:themeColor="text1"/>
          <w:szCs w:val="22"/>
          <w:lang w:val="en-US"/>
        </w:rPr>
        <w:t xml:space="preserve"> </w:t>
      </w:r>
      <w:r w:rsidRPr="00625D7C">
        <w:rPr>
          <w:noProof/>
          <w:color w:val="000000" w:themeColor="text1"/>
          <w:szCs w:val="22"/>
          <w:lang w:val="en-US"/>
        </w:rPr>
        <w:t>the</w:t>
      </w:r>
      <w:r>
        <w:rPr>
          <w:color w:val="000000" w:themeColor="text1"/>
          <w:szCs w:val="22"/>
          <w:lang w:val="en-US"/>
        </w:rPr>
        <w:t xml:space="preserve"> associated delays with each beam may differ for different beams. In contrast to [</w:t>
      </w:r>
      <w:r w:rsidR="005F411F">
        <w:rPr>
          <w:color w:val="000000" w:themeColor="text1"/>
          <w:szCs w:val="22"/>
          <w:lang w:val="en-US"/>
        </w:rPr>
        <w:t>5</w:t>
      </w:r>
      <w:r>
        <w:rPr>
          <w:color w:val="000000" w:themeColor="text1"/>
          <w:szCs w:val="22"/>
          <w:lang w:val="en-US"/>
        </w:rPr>
        <w:t xml:space="preserve">], </w:t>
      </w:r>
      <w:r>
        <w:rPr>
          <w:rFonts w:eastAsia="Times New Roman"/>
          <w:lang w:eastAsia="de-DE"/>
        </w:rPr>
        <w:t>the</w:t>
      </w:r>
      <w:r>
        <w:rPr>
          <w:color w:val="000000" w:themeColor="text1"/>
          <w:szCs w:val="22"/>
          <w:lang w:val="en-US"/>
        </w:rPr>
        <w:t xml:space="preserve"> transformation matrix </w:t>
      </w:r>
      <w:r w:rsidR="00481559">
        <w:rPr>
          <w:color w:val="000000" w:themeColor="text1"/>
          <w:szCs w:val="22"/>
          <w:lang w:val="en-US"/>
        </w:rPr>
        <w:t xml:space="preserve">in </w:t>
      </w:r>
      <w:r w:rsidR="00C27388">
        <w:rPr>
          <w:color w:val="000000" w:themeColor="text1"/>
          <w:szCs w:val="22"/>
          <w:lang w:val="en-US"/>
        </w:rPr>
        <w:t>[</w:t>
      </w:r>
      <w:r w:rsidR="005F411F">
        <w:rPr>
          <w:color w:val="000000" w:themeColor="text1"/>
          <w:szCs w:val="22"/>
          <w:lang w:val="en-US"/>
        </w:rPr>
        <w:t>4</w:t>
      </w:r>
      <w:r w:rsidR="00CC7AD9">
        <w:rPr>
          <w:color w:val="000000" w:themeColor="text1"/>
          <w:szCs w:val="22"/>
          <w:lang w:val="en-US"/>
        </w:rPr>
        <w:t xml:space="preserve">] is beam-independent, </w:t>
      </w:r>
      <w:r>
        <w:rPr>
          <w:color w:val="000000" w:themeColor="text1"/>
          <w:szCs w:val="22"/>
          <w:lang w:val="en-US"/>
        </w:rPr>
        <w:t xml:space="preserve">and </w:t>
      </w:r>
      <w:r w:rsidRPr="00CC7AD9">
        <w:rPr>
          <w:noProof/>
          <w:color w:val="000000" w:themeColor="text1"/>
          <w:szCs w:val="22"/>
          <w:lang w:val="en-US"/>
        </w:rPr>
        <w:t>the</w:t>
      </w:r>
      <w:r>
        <w:rPr>
          <w:color w:val="000000" w:themeColor="text1"/>
          <w:szCs w:val="22"/>
          <w:lang w:val="en-US"/>
        </w:rPr>
        <w:t xml:space="preserve"> associated delays are identical for all beams. </w:t>
      </w:r>
    </w:p>
    <w:p w14:paraId="0B93215A" w14:textId="77777777" w:rsidR="0080185C" w:rsidRDefault="0080185C" w:rsidP="006F52E3">
      <w:pPr>
        <w:shd w:val="clear" w:color="auto" w:fill="FFFFFF"/>
        <w:spacing w:after="0" w:line="276" w:lineRule="auto"/>
        <w:jc w:val="both"/>
        <w:rPr>
          <w:color w:val="000000" w:themeColor="text1"/>
          <w:szCs w:val="22"/>
          <w:lang w:val="en-US"/>
        </w:rPr>
      </w:pPr>
    </w:p>
    <w:p w14:paraId="26733258" w14:textId="508EB8F6"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>The approach in [</w:t>
      </w:r>
      <w:r w:rsidR="005F411F">
        <w:rPr>
          <w:rFonts w:eastAsia="Times New Roman"/>
          <w:color w:val="000000" w:themeColor="text1"/>
          <w:lang w:eastAsia="de-DE"/>
        </w:rPr>
        <w:t>7</w:t>
      </w:r>
      <w:r>
        <w:rPr>
          <w:rFonts w:eastAsia="Times New Roman"/>
          <w:color w:val="000000" w:themeColor="text1"/>
          <w:lang w:eastAsia="de-DE"/>
        </w:rPr>
        <w:t>]</w:t>
      </w:r>
      <w:r w:rsidRPr="00384A7A">
        <w:rPr>
          <w:rFonts w:eastAsia="Times New Roman"/>
          <w:color w:val="000000" w:themeColor="text1"/>
          <w:lang w:eastAsia="de-DE"/>
        </w:rPr>
        <w:t xml:space="preserve"> </w:t>
      </w:r>
      <w:r>
        <w:rPr>
          <w:rFonts w:eastAsia="Times New Roman"/>
          <w:color w:val="000000" w:themeColor="text1"/>
          <w:lang w:eastAsia="de-DE"/>
        </w:rPr>
        <w:t xml:space="preserve">uses space-delay precoding to calculate the precoder matrix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F</m:t>
        </m:r>
      </m:oMath>
      <w:r>
        <w:rPr>
          <w:rFonts w:eastAsia="Times New Roman"/>
          <w:color w:val="000000" w:themeColor="text1"/>
          <w:lang w:eastAsia="de-DE"/>
        </w:rPr>
        <w:t>. The space-delay precoder can be expressed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80185C" w:rsidRPr="00384A7A" w14:paraId="0062F016" w14:textId="77777777" w:rsidTr="00861620">
        <w:tc>
          <w:tcPr>
            <w:tcW w:w="250" w:type="dxa"/>
          </w:tcPr>
          <w:p w14:paraId="2C5F19BC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576B0AE0" w14:textId="77777777" w:rsidR="0080185C" w:rsidRPr="00600E83" w:rsidRDefault="0080185C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Cs w:val="22"/>
                  </w:rPr>
                  <m:t>F=K</m:t>
                </m:r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Cs w:val="22"/>
                  </w:rPr>
                  <m:t>⋅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Cs w:val="2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Cs w:val="22"/>
                      </w:rPr>
                      <m:t>W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szCs w:val="22"/>
                  </w:rPr>
                  <m:t>,</m:t>
                </m:r>
              </m:oMath>
            </m:oMathPara>
          </w:p>
        </w:tc>
        <w:tc>
          <w:tcPr>
            <w:tcW w:w="583" w:type="dxa"/>
          </w:tcPr>
          <w:p w14:paraId="408D1B73" w14:textId="77777777" w:rsidR="0080185C" w:rsidRPr="00384A7A" w:rsidRDefault="0080185C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</w:t>
            </w:r>
            <w:r>
              <w:rPr>
                <w:color w:val="000000" w:themeColor="text1"/>
                <w:szCs w:val="22"/>
                <w:lang w:val="en-US"/>
              </w:rPr>
              <w:t>6</w:t>
            </w:r>
            <w:r w:rsidRPr="00384A7A">
              <w:rPr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6EA11F48" w14:textId="77777777"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 contains the complex delay-domain </w:t>
      </w:r>
      <w:r w:rsidR="00861620">
        <w:rPr>
          <w:rFonts w:eastAsia="Times New Roman"/>
          <w:color w:val="000000" w:themeColor="text1"/>
          <w:lang w:eastAsia="de-DE"/>
        </w:rPr>
        <w:t>combining-</w:t>
      </w:r>
      <w:r>
        <w:rPr>
          <w:rFonts w:eastAsia="Times New Roman"/>
          <w:color w:val="000000" w:themeColor="text1"/>
          <w:lang w:eastAsia="de-DE"/>
        </w:rPr>
        <w:t xml:space="preserve">coefficients, and 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  <w:color w:val="000000" w:themeColor="text1"/>
                <w:szCs w:val="22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Cs w:val="22"/>
              </w:rPr>
              <m:t>W</m:t>
            </m:r>
          </m:e>
        </m:acc>
      </m:oMath>
      <w:r>
        <w:rPr>
          <w:rFonts w:eastAsia="Times New Roman"/>
          <w:color w:val="000000" w:themeColor="text1"/>
          <w:lang w:eastAsia="de-DE"/>
        </w:rPr>
        <w:t xml:space="preserve"> is a non-uniform DFT (NU-DFT) matrix of size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L×S</m:t>
        </m:r>
      </m:oMath>
      <w:r>
        <w:rPr>
          <w:rFonts w:eastAsia="Times New Roman"/>
          <w:color w:val="000000" w:themeColor="text1"/>
          <w:lang w:eastAsia="de-DE"/>
        </w:rPr>
        <w:t xml:space="preserve">. Introducing a double-stage precoder structure to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Cs w:val="22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, </w:t>
      </w:r>
      <w:proofErr w:type="gramStart"/>
      <w:r>
        <w:rPr>
          <w:rFonts w:eastAsia="Times New Roman"/>
          <w:color w:val="000000" w:themeColor="text1"/>
          <w:lang w:eastAsia="de-DE"/>
        </w:rPr>
        <w:t>similar to</w:t>
      </w:r>
      <w:proofErr w:type="gramEnd"/>
      <w:r>
        <w:rPr>
          <w:rFonts w:eastAsia="Times New Roman"/>
          <w:color w:val="000000" w:themeColor="text1"/>
          <w:lang w:eastAsia="de-DE"/>
        </w:rPr>
        <w:t xml:space="preserve"> (2), we can express</w:t>
      </w:r>
      <w:r w:rsidR="00C27388">
        <w:rPr>
          <w:rFonts w:eastAsia="Times New Roman"/>
          <w:color w:val="000000" w:themeColor="text1"/>
          <w:lang w:eastAsia="de-DE"/>
        </w:rPr>
        <w:t xml:space="preserve"> the delay-domain </w:t>
      </w:r>
      <w:r w:rsidR="00481559">
        <w:rPr>
          <w:rFonts w:eastAsia="Times New Roman"/>
          <w:color w:val="000000" w:themeColor="text1"/>
          <w:lang w:eastAsia="de-DE"/>
        </w:rPr>
        <w:t>matrix</w:t>
      </w:r>
      <w:r>
        <w:rPr>
          <w:rFonts w:eastAsia="Times New Roman"/>
          <w:color w:val="000000" w:themeColor="text1"/>
          <w:lang w:eastAsia="de-DE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lang w:eastAsia="de-DE"/>
          </w:rPr>
          <m:t>K</m:t>
        </m:r>
      </m:oMath>
      <w:r>
        <w:rPr>
          <w:rFonts w:eastAsia="Times New Roman"/>
          <w:color w:val="000000" w:themeColor="text1"/>
          <w:lang w:eastAsia="de-DE"/>
        </w:rPr>
        <w:t xml:space="preserve"> as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"/>
        <w:gridCol w:w="8461"/>
        <w:gridCol w:w="578"/>
      </w:tblGrid>
      <w:tr w:rsidR="00C27388" w:rsidRPr="00384A7A" w14:paraId="541F0AF8" w14:textId="77777777" w:rsidTr="006F52E3">
        <w:tc>
          <w:tcPr>
            <w:tcW w:w="250" w:type="dxa"/>
          </w:tcPr>
          <w:p w14:paraId="3639FC34" w14:textId="77777777" w:rsidR="00C27388" w:rsidRPr="00384A7A" w:rsidRDefault="00C27388" w:rsidP="006F52E3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</w:p>
        </w:tc>
        <w:tc>
          <w:tcPr>
            <w:tcW w:w="8789" w:type="dxa"/>
          </w:tcPr>
          <w:p w14:paraId="698D2018" w14:textId="77777777" w:rsidR="00C27388" w:rsidRPr="00600E83" w:rsidRDefault="00C27388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  <w:szCs w:val="2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K</m:t>
                </m:r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=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color w:val="000000" w:themeColor="text1"/>
                        <w:lang w:eastAsia="de-DE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color w:val="000000" w:themeColor="text1"/>
                        <w:lang w:eastAsia="de-DE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 w:themeColor="text1"/>
                        <w:lang w:eastAsia="de-DE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/>
                    <w:color w:val="000000" w:themeColor="text1"/>
                    <w:lang w:eastAsia="de-DE"/>
                  </w:rPr>
                  <m:t>⋅</m:t>
                </m:r>
                <m:acc>
                  <m:accPr>
                    <m:chr m:val="̌"/>
                    <m:ctrlPr>
                      <w:rPr>
                        <w:rFonts w:ascii="Cambria Math" w:eastAsia="Times New Roman" w:hAnsi="Cambria Math"/>
                        <w:b/>
                        <w:i/>
                        <w:szCs w:val="22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22"/>
                      </w:rPr>
                      <m:t>K</m:t>
                    </m:r>
                  </m:e>
                </m:acc>
              </m:oMath>
            </m:oMathPara>
          </w:p>
        </w:tc>
        <w:tc>
          <w:tcPr>
            <w:tcW w:w="583" w:type="dxa"/>
          </w:tcPr>
          <w:p w14:paraId="66152450" w14:textId="77777777" w:rsidR="00C27388" w:rsidRPr="00384A7A" w:rsidRDefault="00C27388" w:rsidP="006F52E3">
            <w:pPr>
              <w:spacing w:line="276" w:lineRule="auto"/>
              <w:jc w:val="both"/>
              <w:rPr>
                <w:color w:val="000000" w:themeColor="text1"/>
                <w:sz w:val="18"/>
                <w:szCs w:val="22"/>
                <w:lang w:val="en-US"/>
              </w:rPr>
            </w:pPr>
            <w:r w:rsidRPr="00384A7A">
              <w:rPr>
                <w:color w:val="000000" w:themeColor="text1"/>
                <w:szCs w:val="22"/>
                <w:lang w:val="en-US"/>
              </w:rPr>
              <w:t>(</w:t>
            </w:r>
            <w:r w:rsidR="00B05D26">
              <w:rPr>
                <w:color w:val="000000" w:themeColor="text1"/>
                <w:szCs w:val="22"/>
                <w:lang w:val="en-US"/>
              </w:rPr>
              <w:t>7</w:t>
            </w:r>
            <w:r w:rsidRPr="00384A7A">
              <w:rPr>
                <w:color w:val="000000" w:themeColor="text1"/>
                <w:szCs w:val="22"/>
                <w:lang w:val="en-US"/>
              </w:rPr>
              <w:t>)</w:t>
            </w:r>
          </w:p>
        </w:tc>
      </w:tr>
    </w:tbl>
    <w:p w14:paraId="45F4BA3D" w14:textId="77777777" w:rsidR="00CC68F1" w:rsidRDefault="00481559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</w:rPr>
        <w:t xml:space="preserve">Considering </w:t>
      </w:r>
      <w:r w:rsidR="00861620">
        <w:rPr>
          <w:rFonts w:eastAsia="Times New Roman"/>
        </w:rPr>
        <w:t xml:space="preserve">(6) and </w:t>
      </w:r>
      <w:r>
        <w:rPr>
          <w:rFonts w:eastAsia="Times New Roman"/>
        </w:rPr>
        <w:t>(</w:t>
      </w:r>
      <w:r w:rsidR="00861620">
        <w:rPr>
          <w:rFonts w:eastAsia="Times New Roman"/>
        </w:rPr>
        <w:t>7</w:t>
      </w:r>
      <w:r>
        <w:rPr>
          <w:rFonts w:eastAsia="Times New Roman"/>
        </w:rPr>
        <w:t xml:space="preserve">), we find that the space-delay precoder </w:t>
      </w:r>
      <w:r w:rsidR="00B3487A">
        <w:rPr>
          <w:rFonts w:eastAsia="Times New Roman"/>
        </w:rPr>
        <w:t xml:space="preserve">has a similar structure </w:t>
      </w:r>
      <w:r w:rsidR="007B6192">
        <w:rPr>
          <w:rFonts w:eastAsia="Times New Roman"/>
        </w:rPr>
        <w:t>to</w:t>
      </w:r>
      <w:r w:rsidR="00B3487A">
        <w:rPr>
          <w:rFonts w:eastAsia="Times New Roman"/>
        </w:rPr>
        <w:t xml:space="preserve"> (5), whereas </w:t>
      </w:r>
      <w:r w:rsidR="00B3487A" w:rsidRPr="00E73AB1">
        <w:rPr>
          <w:rFonts w:eastAsia="Times New Roman"/>
          <w:noProof/>
        </w:rPr>
        <w:t xml:space="preserve">the transformation matrix is given by </w:t>
      </w:r>
      <w:r w:rsidR="00CC7AD9" w:rsidRPr="00E73AB1">
        <w:rPr>
          <w:rFonts w:eastAsia="Times New Roman"/>
          <w:noProof/>
        </w:rPr>
        <w:t xml:space="preserve">the </w:t>
      </w:r>
      <w:r w:rsidR="00490341" w:rsidRPr="00E73AB1">
        <w:rPr>
          <w:rFonts w:eastAsia="Times New Roman"/>
          <w:noProof/>
        </w:rPr>
        <w:t xml:space="preserve">entries of a </w:t>
      </w:r>
      <w:r w:rsidR="00B3487A" w:rsidRPr="00E73AB1">
        <w:rPr>
          <w:rFonts w:eastAsia="Times New Roman"/>
          <w:noProof/>
          <w:color w:val="000000" w:themeColor="text1"/>
          <w:lang w:eastAsia="de-DE"/>
        </w:rPr>
        <w:t>non-uniform DFT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>-</w:t>
      </w:r>
      <w:r w:rsidR="00B3487A" w:rsidRPr="00E73AB1">
        <w:rPr>
          <w:rFonts w:eastAsia="Times New Roman"/>
          <w:noProof/>
          <w:color w:val="000000" w:themeColor="text1"/>
          <w:lang w:eastAsia="de-DE"/>
        </w:rPr>
        <w:t>matrix</w:t>
      </w:r>
      <w:r w:rsidR="00B3487A">
        <w:rPr>
          <w:rFonts w:eastAsia="Times New Roman"/>
          <w:color w:val="000000" w:themeColor="text1"/>
          <w:lang w:eastAsia="de-DE"/>
        </w:rPr>
        <w:t xml:space="preserve">. 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 xml:space="preserve">This non-uniform DFT-matrix </w:t>
      </w:r>
      <w:r w:rsidR="00012784" w:rsidRPr="00E73AB1">
        <w:rPr>
          <w:rFonts w:eastAsia="Times New Roman"/>
          <w:noProof/>
          <w:color w:val="000000" w:themeColor="text1"/>
          <w:lang w:eastAsia="de-DE"/>
        </w:rPr>
        <w:t>may be</w:t>
      </w:r>
      <w:r w:rsidR="00490341" w:rsidRPr="00E73AB1">
        <w:rPr>
          <w:rFonts w:eastAsia="Times New Roman"/>
          <w:noProof/>
          <w:color w:val="000000" w:themeColor="text1"/>
          <w:lang w:eastAsia="de-DE"/>
        </w:rPr>
        <w:t xml:space="preserve"> represented by an oversampled DFT-matrix</w:t>
      </w:r>
      <w:r w:rsidR="00490341">
        <w:rPr>
          <w:rFonts w:eastAsia="Times New Roman"/>
          <w:color w:val="000000" w:themeColor="text1"/>
          <w:lang w:eastAsia="de-DE"/>
        </w:rPr>
        <w:t xml:space="preserve">. </w:t>
      </w:r>
    </w:p>
    <w:p w14:paraId="58999073" w14:textId="77777777" w:rsidR="006F52E3" w:rsidRDefault="006F52E3" w:rsidP="006F52E3">
      <w:pPr>
        <w:shd w:val="clear" w:color="auto" w:fill="FFFFFF"/>
        <w:spacing w:after="0" w:line="276" w:lineRule="auto"/>
        <w:jc w:val="both"/>
        <w:rPr>
          <w:lang w:eastAsia="zh-CN"/>
        </w:rPr>
      </w:pPr>
    </w:p>
    <w:p w14:paraId="164760E6" w14:textId="19C1880E" w:rsidR="00B3487A" w:rsidRDefault="00EB5A52" w:rsidP="006F52E3">
      <w:pPr>
        <w:shd w:val="clear" w:color="auto" w:fill="FFFFFF"/>
        <w:spacing w:after="0" w:line="276" w:lineRule="auto"/>
        <w:jc w:val="both"/>
        <w:rPr>
          <w:lang w:eastAsia="zh-CN"/>
        </w:rPr>
      </w:pPr>
      <w:r>
        <w:rPr>
          <w:lang w:eastAsia="zh-CN"/>
        </w:rPr>
        <w:t>The proposals [4], [5] and [7</w:t>
      </w:r>
      <w:r w:rsidR="003B7ADA">
        <w:rPr>
          <w:lang w:eastAsia="zh-CN"/>
        </w:rPr>
        <w:t xml:space="preserve">] have in common that </w:t>
      </w:r>
      <w:r w:rsidR="007B6192">
        <w:rPr>
          <w:lang w:eastAsia="zh-CN"/>
        </w:rPr>
        <w:t xml:space="preserve">each </w:t>
      </w:r>
      <w:r w:rsidR="003B7ADA">
        <w:rPr>
          <w:lang w:eastAsia="zh-CN"/>
        </w:rPr>
        <w:t xml:space="preserve">column of the </w:t>
      </w:r>
      <w:r w:rsidR="00B3487A">
        <w:rPr>
          <w:lang w:eastAsia="zh-CN"/>
        </w:rPr>
        <w:t>transformation matri</w:t>
      </w:r>
      <w:r w:rsidR="003B7ADA">
        <w:rPr>
          <w:lang w:eastAsia="zh-CN"/>
        </w:rPr>
        <w:t xml:space="preserve">x </w:t>
      </w:r>
      <w:r w:rsidR="003B7ADA" w:rsidRPr="00E73AB1">
        <w:rPr>
          <w:noProof/>
          <w:lang w:eastAsia="zh-CN"/>
        </w:rPr>
        <w:t xml:space="preserve">is </w:t>
      </w:r>
      <w:r w:rsidR="00490341" w:rsidRPr="00E73AB1">
        <w:rPr>
          <w:noProof/>
          <w:lang w:eastAsia="zh-CN"/>
        </w:rPr>
        <w:t>selected</w:t>
      </w:r>
      <w:r w:rsidR="00490341">
        <w:rPr>
          <w:lang w:eastAsia="zh-CN"/>
        </w:rPr>
        <w:t xml:space="preserve"> from a</w:t>
      </w:r>
      <w:r w:rsidR="00490341" w:rsidRPr="00490341">
        <w:rPr>
          <w:lang w:eastAsia="zh-CN"/>
        </w:rPr>
        <w:t xml:space="preserve"> </w:t>
      </w:r>
      <w:r w:rsidR="00490341">
        <w:rPr>
          <w:lang w:eastAsia="zh-CN"/>
        </w:rPr>
        <w:t xml:space="preserve">frequency-domain codebook represented by a </w:t>
      </w:r>
      <w:r w:rsidR="003B7ADA">
        <w:rPr>
          <w:lang w:eastAsia="zh-CN"/>
        </w:rPr>
        <w:t>DFT</w:t>
      </w:r>
      <w:r w:rsidR="00490341">
        <w:rPr>
          <w:lang w:eastAsia="zh-CN"/>
        </w:rPr>
        <w:t>-based</w:t>
      </w:r>
      <w:r w:rsidR="003B7ADA">
        <w:rPr>
          <w:lang w:eastAsia="zh-CN"/>
        </w:rPr>
        <w:t xml:space="preserve"> matrix. </w:t>
      </w:r>
    </w:p>
    <w:p w14:paraId="4B5D1838" w14:textId="77777777" w:rsidR="00CC68F1" w:rsidRDefault="00CC68F1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4D76ECD1" w14:textId="77777777" w:rsidR="00E27972" w:rsidRPr="00E27972" w:rsidRDefault="00E27972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E27972">
        <w:rPr>
          <w:rFonts w:eastAsia="Times New Roman"/>
          <w:b/>
          <w:i/>
        </w:rPr>
        <w:t xml:space="preserve">Proposal 1: </w:t>
      </w:r>
      <w:r w:rsidR="00861620">
        <w:rPr>
          <w:rFonts w:eastAsia="Times New Roman"/>
          <w:b/>
          <w:i/>
        </w:rPr>
        <w:t>Study</w:t>
      </w:r>
      <w:r w:rsidRPr="00E27972">
        <w:rPr>
          <w:rFonts w:eastAsia="Times New Roman"/>
          <w:b/>
          <w:i/>
        </w:rPr>
        <w:t xml:space="preserve"> </w:t>
      </w:r>
      <w:r w:rsidR="00012784">
        <w:rPr>
          <w:rFonts w:eastAsia="Times New Roman"/>
          <w:b/>
          <w:i/>
        </w:rPr>
        <w:t>DFT-</w:t>
      </w:r>
      <w:r w:rsidRPr="00E27972">
        <w:rPr>
          <w:rFonts w:eastAsia="Times New Roman"/>
          <w:b/>
          <w:i/>
        </w:rPr>
        <w:t>codebook-based representation</w:t>
      </w:r>
      <w:r w:rsidR="00861620">
        <w:rPr>
          <w:rFonts w:eastAsia="Times New Roman"/>
          <w:b/>
          <w:i/>
        </w:rPr>
        <w:t>s</w:t>
      </w:r>
      <w:r w:rsidRPr="00E27972">
        <w:rPr>
          <w:rFonts w:eastAsia="Times New Roman"/>
          <w:b/>
          <w:i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861620">
        <w:rPr>
          <w:rFonts w:eastAsia="Times New Roman"/>
          <w:i/>
        </w:rPr>
        <w:t xml:space="preserve"> </w:t>
      </w:r>
      <w:r w:rsidR="00861620" w:rsidRPr="00861620">
        <w:rPr>
          <w:rFonts w:eastAsia="Times New Roman"/>
          <w:b/>
          <w:i/>
        </w:rPr>
        <w:t>with either beam-dependent or beam-independent transformation matri</w:t>
      </w:r>
      <w:r w:rsidR="00861620">
        <w:rPr>
          <w:rFonts w:eastAsia="Times New Roman"/>
          <w:b/>
          <w:i/>
        </w:rPr>
        <w:t>ces</w:t>
      </w:r>
      <w:r w:rsidR="00861620" w:rsidRPr="00861620">
        <w:rPr>
          <w:rFonts w:eastAsia="Times New Roman"/>
          <w:b/>
          <w:i/>
        </w:rPr>
        <w:t>.</w:t>
      </w:r>
    </w:p>
    <w:p w14:paraId="6667EAE9" w14:textId="77777777" w:rsidR="00861620" w:rsidRDefault="00861620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3BABD672" w14:textId="007421E3" w:rsidR="00861620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</w:rPr>
        <w:t xml:space="preserve">The feedback </w:t>
      </w:r>
      <w:r w:rsidR="00861620">
        <w:rPr>
          <w:rFonts w:eastAsia="Times New Roman"/>
        </w:rPr>
        <w:t>of</w:t>
      </w:r>
      <w:r>
        <w:rPr>
          <w:rFonts w:eastAsia="Times New Roman"/>
        </w:rPr>
        <w:t xml:space="preserve"> the beam-dependent transformation</w:t>
      </w:r>
      <w:r w:rsidR="00861620">
        <w:rPr>
          <w:rFonts w:eastAsia="Times New Roman"/>
        </w:rPr>
        <w:t xml:space="preserve"> </w:t>
      </w:r>
      <w:r w:rsidRPr="00384A7A">
        <w:rPr>
          <w:rFonts w:eastAsia="Times New Roman"/>
          <w:color w:val="000000" w:themeColor="text1"/>
          <w:szCs w:val="22"/>
        </w:rPr>
        <w:t xml:space="preserve">includes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Pr="00384A7A">
        <w:rPr>
          <w:rFonts w:eastAsia="Times New Roman"/>
          <w:color w:val="000000" w:themeColor="text1"/>
          <w:szCs w:val="22"/>
        </w:rPr>
        <w:t xml:space="preserve"> </w:t>
      </w:r>
      <w:r w:rsidR="00861620">
        <w:rPr>
          <w:rFonts w:eastAsia="Times New Roman"/>
          <w:color w:val="000000" w:themeColor="text1"/>
          <w:szCs w:val="22"/>
        </w:rPr>
        <w:t xml:space="preserve">delays per beam and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 xml:space="preserve">L </m:t>
        </m:r>
      </m:oMath>
      <w:r w:rsidRPr="00384A7A">
        <w:rPr>
          <w:rFonts w:eastAsia="Times New Roman"/>
          <w:color w:val="000000" w:themeColor="text1"/>
          <w:szCs w:val="22"/>
        </w:rPr>
        <w:t>delay</w:t>
      </w:r>
      <w:r>
        <w:rPr>
          <w:rFonts w:eastAsia="Times New Roman"/>
          <w:color w:val="000000" w:themeColor="text1"/>
          <w:szCs w:val="22"/>
        </w:rPr>
        <w:t>-</w:t>
      </w:r>
      <w:r w:rsidRPr="00384A7A">
        <w:rPr>
          <w:rFonts w:eastAsia="Times New Roman"/>
          <w:color w:val="000000" w:themeColor="text1"/>
          <w:szCs w:val="22"/>
        </w:rPr>
        <w:t xml:space="preserve">domain </w:t>
      </w:r>
      <w:r>
        <w:rPr>
          <w:rFonts w:eastAsia="Times New Roman"/>
          <w:color w:val="000000" w:themeColor="text1"/>
          <w:szCs w:val="22"/>
        </w:rPr>
        <w:t>combining-</w:t>
      </w:r>
      <w:r w:rsidRPr="00384A7A">
        <w:rPr>
          <w:rFonts w:eastAsia="Times New Roman"/>
          <w:color w:val="000000" w:themeColor="text1"/>
          <w:szCs w:val="22"/>
        </w:rPr>
        <w:t xml:space="preserve">coefficients associated </w:t>
      </w:r>
      <w:r w:rsidR="00861620">
        <w:rPr>
          <w:rFonts w:eastAsia="Times New Roman"/>
          <w:color w:val="000000" w:themeColor="text1"/>
          <w:szCs w:val="22"/>
        </w:rPr>
        <w:t xml:space="preserve">with 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="00861620">
        <w:rPr>
          <w:rFonts w:eastAsia="Times New Roman"/>
          <w:color w:val="000000" w:themeColor="text1"/>
          <w:szCs w:val="22"/>
        </w:rPr>
        <w:t xml:space="preserve"> beam-specific delays. 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</m:t>
        </m:r>
      </m:oMath>
      <w:r w:rsidR="00861620">
        <w:rPr>
          <w:rFonts w:eastAsia="Times New Roman"/>
          <w:color w:val="000000" w:themeColor="text1"/>
          <w:szCs w:val="22"/>
        </w:rPr>
        <w:t xml:space="preserve"> delays are </w:t>
      </w:r>
      <w:r w:rsidR="00CC68F1">
        <w:rPr>
          <w:rFonts w:eastAsia="Times New Roman"/>
          <w:color w:val="000000" w:themeColor="text1"/>
          <w:szCs w:val="22"/>
        </w:rPr>
        <w:t>associated</w:t>
      </w:r>
      <w:r w:rsidR="00861620">
        <w:rPr>
          <w:rFonts w:eastAsia="Times New Roman"/>
          <w:color w:val="000000" w:themeColor="text1"/>
          <w:szCs w:val="22"/>
        </w:rPr>
        <w:t xml:space="preserve"> </w:t>
      </w:r>
      <w:r w:rsidR="00CC68F1">
        <w:rPr>
          <w:rFonts w:eastAsia="Times New Roman"/>
          <w:color w:val="000000" w:themeColor="text1"/>
          <w:szCs w:val="22"/>
        </w:rPr>
        <w:t>with</w:t>
      </w:r>
      <w:r w:rsidR="00861620">
        <w:rPr>
          <w:rFonts w:eastAsia="Times New Roman"/>
          <w:color w:val="000000" w:themeColor="text1"/>
          <w:szCs w:val="22"/>
        </w:rPr>
        <w:t xml:space="preserve"> entries of </w:t>
      </w:r>
      <w:r w:rsidR="000238A4">
        <w:rPr>
          <w:rFonts w:eastAsia="Times New Roman"/>
          <w:color w:val="000000" w:themeColor="text1"/>
          <w:szCs w:val="22"/>
        </w:rPr>
        <w:t xml:space="preserve">a </w:t>
      </w:r>
      <w:r w:rsidR="00861620">
        <w:rPr>
          <w:rFonts w:eastAsia="Times New Roman"/>
          <w:color w:val="000000" w:themeColor="text1"/>
          <w:szCs w:val="22"/>
        </w:rPr>
        <w:t>DFT-base</w:t>
      </w:r>
      <w:r w:rsidR="000238A4">
        <w:rPr>
          <w:rFonts w:eastAsia="Times New Roman"/>
          <w:color w:val="000000" w:themeColor="text1"/>
          <w:szCs w:val="22"/>
        </w:rPr>
        <w:t xml:space="preserve">d codebook. Therefore, </w:t>
      </w:r>
      <w:r w:rsidR="000238A4" w:rsidRPr="00384A7A">
        <w:rPr>
          <w:rFonts w:eastAsia="Times New Roman"/>
          <w:color w:val="000000" w:themeColor="text1"/>
          <w:szCs w:val="22"/>
        </w:rPr>
        <w:t xml:space="preserve">the </w:t>
      </w:r>
      <w:r w:rsidR="000238A4">
        <w:rPr>
          <w:rFonts w:eastAsia="Times New Roman"/>
          <w:color w:val="000000" w:themeColor="text1"/>
          <w:szCs w:val="22"/>
        </w:rPr>
        <w:t xml:space="preserve">total </w:t>
      </w:r>
      <w:r w:rsidR="000238A4" w:rsidRPr="00384A7A">
        <w:rPr>
          <w:rFonts w:eastAsia="Times New Roman"/>
          <w:color w:val="000000" w:themeColor="text1"/>
          <w:szCs w:val="22"/>
        </w:rPr>
        <w:t xml:space="preserve">feedback amounts to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</w:t>
      </w:r>
      <w:r w:rsidR="000238A4">
        <w:rPr>
          <w:rFonts w:eastAsia="Times New Roman"/>
          <w:color w:val="000000" w:themeColor="text1"/>
          <w:szCs w:val="22"/>
        </w:rPr>
        <w:t>-</w:t>
      </w:r>
      <w:r w:rsidR="000238A4" w:rsidRPr="00384A7A">
        <w:rPr>
          <w:rFonts w:eastAsia="Times New Roman"/>
          <w:color w:val="000000" w:themeColor="text1"/>
          <w:szCs w:val="22"/>
        </w:rPr>
        <w:t xml:space="preserve">domain </w:t>
      </w:r>
      <w:r w:rsidR="000238A4">
        <w:rPr>
          <w:rFonts w:eastAsia="Times New Roman"/>
          <w:color w:val="000000" w:themeColor="text1"/>
          <w:szCs w:val="22"/>
        </w:rPr>
        <w:t xml:space="preserve">combining </w:t>
      </w:r>
      <w:r w:rsidR="000238A4" w:rsidRPr="00384A7A">
        <w:rPr>
          <w:rFonts w:eastAsia="Times New Roman"/>
          <w:color w:val="000000" w:themeColor="text1"/>
          <w:szCs w:val="22"/>
        </w:rPr>
        <w:t xml:space="preserve">coefficients and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2UL-1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delays. </w:t>
      </w:r>
      <w:r w:rsidR="00EB5A52">
        <w:rPr>
          <w:rFonts w:eastAsia="Times New Roman"/>
          <w:color w:val="000000" w:themeColor="text1"/>
          <w:szCs w:val="22"/>
        </w:rPr>
        <w:t>The contribution in [5</w:t>
      </w:r>
      <w:r w:rsidR="000238A4">
        <w:rPr>
          <w:rFonts w:eastAsia="Times New Roman"/>
          <w:color w:val="000000" w:themeColor="text1"/>
          <w:szCs w:val="22"/>
        </w:rPr>
        <w:t>] argued that each beam</w:t>
      </w:r>
      <w:r w:rsidR="00087366">
        <w:rPr>
          <w:rFonts w:eastAsia="Times New Roman"/>
          <w:color w:val="000000" w:themeColor="text1"/>
          <w:szCs w:val="22"/>
        </w:rPr>
        <w:t xml:space="preserve"> is associated with</w:t>
      </w:r>
      <w:r w:rsidR="000238A4">
        <w:rPr>
          <w:rFonts w:eastAsia="Times New Roman"/>
          <w:color w:val="000000" w:themeColor="text1"/>
          <w:szCs w:val="22"/>
        </w:rPr>
        <w:t xml:space="preserve"> a single mean delay, and the remaining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L-1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</w:t>
      </w:r>
      <w:r w:rsidR="000238A4">
        <w:rPr>
          <w:rFonts w:eastAsia="Times New Roman"/>
          <w:color w:val="000000" w:themeColor="text1"/>
          <w:szCs w:val="22"/>
        </w:rPr>
        <w:t xml:space="preserve">delays are </w:t>
      </w:r>
      <w:r w:rsidR="000238A4" w:rsidRPr="00384A7A">
        <w:rPr>
          <w:rFonts w:eastAsia="Times New Roman"/>
          <w:color w:val="000000" w:themeColor="text1"/>
          <w:szCs w:val="22"/>
        </w:rPr>
        <w:t xml:space="preserve">defined around </w:t>
      </w:r>
      <w:r w:rsidR="00AC0171">
        <w:rPr>
          <w:rFonts w:eastAsia="Times New Roman"/>
          <w:color w:val="000000" w:themeColor="text1"/>
          <w:szCs w:val="22"/>
        </w:rPr>
        <w:t>each</w:t>
      </w:r>
      <w:r w:rsidR="000238A4">
        <w:rPr>
          <w:rFonts w:eastAsia="Times New Roman"/>
          <w:color w:val="000000" w:themeColor="text1"/>
          <w:szCs w:val="22"/>
        </w:rPr>
        <w:t xml:space="preserve"> mean delay. Therefore, instead of </w:t>
      </w:r>
      <w:r w:rsidR="000238A4" w:rsidRPr="00384A7A">
        <w:rPr>
          <w:rFonts w:eastAsia="Times New Roman"/>
          <w:color w:val="000000" w:themeColor="text1"/>
          <w:szCs w:val="22"/>
        </w:rPr>
        <w:t xml:space="preserve">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2UL</m:t>
        </m:r>
      </m:oMath>
      <w:r w:rsidR="000238A4" w:rsidRPr="00384A7A">
        <w:rPr>
          <w:rFonts w:eastAsia="Times New Roman"/>
          <w:color w:val="000000" w:themeColor="text1"/>
          <w:szCs w:val="22"/>
        </w:rPr>
        <w:t xml:space="preserve"> delays</w:t>
      </w:r>
      <w:r w:rsidR="000238A4">
        <w:rPr>
          <w:rFonts w:eastAsia="Times New Roman"/>
          <w:color w:val="000000" w:themeColor="text1"/>
          <w:szCs w:val="22"/>
        </w:rPr>
        <w:t xml:space="preserve">, only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2U-1</m:t>
        </m:r>
      </m:oMath>
      <w:r w:rsidR="000238A4">
        <w:rPr>
          <w:rFonts w:eastAsia="Times New Roman"/>
          <w:color w:val="000000" w:themeColor="text1"/>
          <w:szCs w:val="22"/>
        </w:rPr>
        <w:t xml:space="preserve"> delays need to be fed back to the transmitter. </w:t>
      </w:r>
    </w:p>
    <w:p w14:paraId="4A4E992C" w14:textId="77777777" w:rsidR="00861620" w:rsidRDefault="00861620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44570AF2" w14:textId="77777777" w:rsidR="0080185C" w:rsidRDefault="0080185C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  <w:color w:val="000000" w:themeColor="text1"/>
          <w:lang w:eastAsia="de-DE"/>
        </w:rPr>
        <w:t xml:space="preserve">The feedback </w:t>
      </w:r>
      <w:r w:rsidR="00C80A99">
        <w:rPr>
          <w:rFonts w:eastAsia="Times New Roman"/>
          <w:color w:val="000000" w:themeColor="text1"/>
          <w:lang w:eastAsia="de-DE"/>
        </w:rPr>
        <w:t>of</w:t>
      </w:r>
      <w:r>
        <w:rPr>
          <w:rFonts w:eastAsia="Times New Roman"/>
          <w:color w:val="000000" w:themeColor="text1"/>
          <w:lang w:eastAsia="de-DE"/>
        </w:rPr>
        <w:t xml:space="preserve"> the beam-independent transformation includes </w:t>
      </w:r>
      <m:oMath>
        <m:r>
          <w:rPr>
            <w:rFonts w:ascii="Cambria Math" w:eastAsia="Times New Roman" w:hAnsi="Cambria Math"/>
          </w:rPr>
          <m:t>L-1</m:t>
        </m:r>
      </m:oMath>
      <w:r>
        <w:rPr>
          <w:rFonts w:eastAsia="Times New Roman"/>
        </w:rPr>
        <w:t xml:space="preserve"> delays</w:t>
      </w:r>
      <w:r w:rsidR="00C80A99">
        <w:rPr>
          <w:rFonts w:eastAsia="Times New Roman"/>
        </w:rPr>
        <w:t xml:space="preserve"> and </w:t>
      </w:r>
      <m:oMath>
        <m:r>
          <w:rPr>
            <w:rFonts w:ascii="Cambria Math" w:eastAsia="Times New Roman" w:hAnsi="Cambria Math"/>
          </w:rPr>
          <m:t>2UL</m:t>
        </m:r>
      </m:oMath>
      <w:r w:rsidRPr="00252B07">
        <w:rPr>
          <w:rFonts w:eastAsia="Times New Roman"/>
          <w:color w:val="000000" w:themeColor="text1"/>
          <w:szCs w:val="22"/>
        </w:rPr>
        <w:t xml:space="preserve"> </w:t>
      </w:r>
      <w:r w:rsidRPr="00384A7A">
        <w:rPr>
          <w:rFonts w:eastAsia="Times New Roman"/>
          <w:color w:val="000000" w:themeColor="text1"/>
          <w:szCs w:val="22"/>
        </w:rPr>
        <w:t>delay</w:t>
      </w:r>
      <w:r>
        <w:rPr>
          <w:rFonts w:eastAsia="Times New Roman"/>
          <w:color w:val="000000" w:themeColor="text1"/>
          <w:szCs w:val="22"/>
        </w:rPr>
        <w:t>-</w:t>
      </w:r>
      <w:r w:rsidRPr="00384A7A">
        <w:rPr>
          <w:rFonts w:eastAsia="Times New Roman"/>
          <w:color w:val="000000" w:themeColor="text1"/>
          <w:szCs w:val="22"/>
        </w:rPr>
        <w:t xml:space="preserve">domain </w:t>
      </w:r>
      <w:r>
        <w:rPr>
          <w:rFonts w:eastAsia="Times New Roman"/>
          <w:color w:val="000000" w:themeColor="text1"/>
          <w:szCs w:val="22"/>
        </w:rPr>
        <w:t xml:space="preserve">combining </w:t>
      </w:r>
      <w:r w:rsidRPr="00384A7A">
        <w:rPr>
          <w:rFonts w:eastAsia="Times New Roman"/>
          <w:color w:val="000000" w:themeColor="text1"/>
          <w:szCs w:val="22"/>
        </w:rPr>
        <w:t>coefficients</w:t>
      </w:r>
      <w:r>
        <w:rPr>
          <w:rFonts w:eastAsia="Times New Roman"/>
          <w:color w:val="000000" w:themeColor="text1"/>
          <w:szCs w:val="22"/>
        </w:rPr>
        <w:t xml:space="preserve"> associated with </w:t>
      </w:r>
      <w:r w:rsidR="00C80A99">
        <w:rPr>
          <w:rFonts w:eastAsia="Times New Roman"/>
          <w:color w:val="000000" w:themeColor="text1"/>
          <w:szCs w:val="22"/>
        </w:rPr>
        <w:t xml:space="preserve">the </w:t>
      </w:r>
      <m:oMath>
        <m:r>
          <w:rPr>
            <w:rFonts w:ascii="Cambria Math" w:eastAsia="Times New Roman" w:hAnsi="Cambria Math"/>
          </w:rPr>
          <m:t>L-1</m:t>
        </m:r>
      </m:oMath>
      <w:r>
        <w:rPr>
          <w:rFonts w:eastAsia="Times New Roman"/>
        </w:rPr>
        <w:t xml:space="preserve"> delays</w:t>
      </w:r>
      <w:r w:rsidR="00C80A99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="00C80A99">
        <w:rPr>
          <w:rFonts w:eastAsia="Times New Roman"/>
        </w:rPr>
        <w:t>Similar to the beam-dependent transformation,</w:t>
      </w:r>
      <w:r w:rsidR="00C80A99" w:rsidRPr="00C80A99">
        <w:rPr>
          <w:rFonts w:eastAsia="Times New Roman"/>
          <w:color w:val="000000" w:themeColor="text1"/>
          <w:szCs w:val="22"/>
        </w:rPr>
        <w:t xml:space="preserve"> </w:t>
      </w:r>
      <w:r w:rsidR="00C80A99">
        <w:rPr>
          <w:rFonts w:eastAsia="Times New Roman"/>
          <w:color w:val="000000" w:themeColor="text1"/>
          <w:szCs w:val="22"/>
        </w:rPr>
        <w:t xml:space="preserve">the </w:t>
      </w:r>
      <m:oMath>
        <m:r>
          <w:rPr>
            <w:rFonts w:ascii="Cambria Math" w:eastAsia="Times New Roman" w:hAnsi="Cambria Math"/>
            <w:color w:val="000000" w:themeColor="text1"/>
            <w:szCs w:val="22"/>
          </w:rPr>
          <m:t>L-1</m:t>
        </m:r>
      </m:oMath>
      <w:r w:rsidR="00C80A99">
        <w:rPr>
          <w:rFonts w:eastAsia="Times New Roman"/>
          <w:color w:val="000000" w:themeColor="text1"/>
          <w:szCs w:val="22"/>
        </w:rPr>
        <w:t xml:space="preserve"> delays are </w:t>
      </w:r>
      <w:r w:rsidR="00CC68F1">
        <w:rPr>
          <w:rFonts w:eastAsia="Times New Roman"/>
          <w:color w:val="000000" w:themeColor="text1"/>
          <w:szCs w:val="22"/>
        </w:rPr>
        <w:t>associated with the</w:t>
      </w:r>
      <w:r w:rsidR="00C80A99">
        <w:rPr>
          <w:rFonts w:eastAsia="Times New Roman"/>
          <w:color w:val="000000" w:themeColor="text1"/>
          <w:szCs w:val="22"/>
        </w:rPr>
        <w:t xml:space="preserve"> entries of a DFT-based codebook.</w:t>
      </w:r>
    </w:p>
    <w:p w14:paraId="5A4BB736" w14:textId="77777777" w:rsidR="00C80A99" w:rsidRDefault="00C80A99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25C06F88" w14:textId="77777777" w:rsidR="006F52E3" w:rsidRDefault="00AC0171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>
        <w:rPr>
          <w:rFonts w:eastAsia="Times New Roman"/>
          <w:color w:val="000000" w:themeColor="text1"/>
          <w:szCs w:val="22"/>
        </w:rPr>
        <w:t xml:space="preserve">In general, </w:t>
      </w:r>
      <w:r w:rsidR="00CC68F1">
        <w:rPr>
          <w:rFonts w:eastAsia="Times New Roman"/>
          <w:color w:val="000000" w:themeColor="text1"/>
          <w:szCs w:val="22"/>
        </w:rPr>
        <w:t xml:space="preserve">when optimizing the combining coefficients directly in </w:t>
      </w:r>
      <w:r w:rsidR="006B22B1">
        <w:rPr>
          <w:rFonts w:eastAsia="Times New Roman"/>
          <w:color w:val="000000" w:themeColor="text1"/>
          <w:szCs w:val="22"/>
        </w:rPr>
        <w:t xml:space="preserve">the </w:t>
      </w:r>
      <w:r w:rsidR="00CC68F1">
        <w:rPr>
          <w:rFonts w:eastAsia="Times New Roman"/>
          <w:color w:val="000000" w:themeColor="text1"/>
          <w:szCs w:val="22"/>
        </w:rPr>
        <w:t>delay-domain, the associated delays may no longer be given by integer values</w:t>
      </w:r>
      <w:r w:rsidR="006B22B1">
        <w:rPr>
          <w:rFonts w:eastAsia="Times New Roman"/>
          <w:color w:val="000000" w:themeColor="text1"/>
          <w:szCs w:val="22"/>
        </w:rPr>
        <w:t>. Therefore,</w:t>
      </w:r>
      <w:r w:rsidR="00CC68F1">
        <w:rPr>
          <w:rFonts w:eastAsia="Times New Roman"/>
          <w:color w:val="000000" w:themeColor="text1"/>
          <w:szCs w:val="22"/>
        </w:rPr>
        <w:t xml:space="preserve"> they cannot </w:t>
      </w:r>
      <w:r w:rsidR="00CC68F1" w:rsidRPr="00CC7AD9">
        <w:rPr>
          <w:rFonts w:eastAsia="Times New Roman"/>
          <w:noProof/>
          <w:color w:val="000000" w:themeColor="text1"/>
          <w:szCs w:val="22"/>
        </w:rPr>
        <w:t>be associated</w:t>
      </w:r>
      <w:r w:rsidR="00CC68F1">
        <w:rPr>
          <w:rFonts w:eastAsia="Times New Roman"/>
          <w:color w:val="000000" w:themeColor="text1"/>
          <w:szCs w:val="22"/>
        </w:rPr>
        <w:t xml:space="preserve"> with entries of a DFT-matrix. </w:t>
      </w:r>
      <w:r w:rsidR="00012784">
        <w:rPr>
          <w:rFonts w:eastAsia="Times New Roman"/>
          <w:color w:val="000000" w:themeColor="text1"/>
          <w:szCs w:val="22"/>
        </w:rPr>
        <w:t xml:space="preserve">Moreover, each beam </w:t>
      </w:r>
      <w:r w:rsidR="00012784" w:rsidRPr="00CC7AD9">
        <w:rPr>
          <w:rFonts w:eastAsia="Times New Roman"/>
          <w:noProof/>
          <w:color w:val="000000" w:themeColor="text1"/>
          <w:szCs w:val="22"/>
        </w:rPr>
        <w:t>is often associated</w:t>
      </w:r>
      <w:r w:rsidR="00012784">
        <w:rPr>
          <w:rFonts w:eastAsia="Times New Roman"/>
          <w:color w:val="000000" w:themeColor="text1"/>
          <w:szCs w:val="22"/>
        </w:rPr>
        <w:t xml:space="preserve"> with a specific direction and de</w:t>
      </w:r>
      <w:r w:rsidR="003121B9">
        <w:rPr>
          <w:rFonts w:eastAsia="Times New Roman"/>
          <w:color w:val="000000" w:themeColor="text1"/>
          <w:szCs w:val="22"/>
        </w:rPr>
        <w:t>lay of a channel path component</w:t>
      </w:r>
      <w:r w:rsidR="00CC7AD9">
        <w:rPr>
          <w:rFonts w:eastAsia="Times New Roman"/>
          <w:color w:val="000000" w:themeColor="text1"/>
          <w:szCs w:val="22"/>
        </w:rPr>
        <w:t>,</w:t>
      </w:r>
      <w:r w:rsidR="003121B9">
        <w:rPr>
          <w:rFonts w:eastAsia="Times New Roman"/>
          <w:color w:val="000000" w:themeColor="text1"/>
          <w:szCs w:val="22"/>
        </w:rPr>
        <w:t xml:space="preserve"> </w:t>
      </w:r>
      <w:r w:rsidR="003121B9" w:rsidRPr="00CC7AD9">
        <w:rPr>
          <w:rFonts w:eastAsia="Times New Roman"/>
          <w:noProof/>
          <w:color w:val="000000" w:themeColor="text1"/>
          <w:szCs w:val="22"/>
        </w:rPr>
        <w:t>and</w:t>
      </w:r>
      <w:r w:rsidR="003121B9">
        <w:rPr>
          <w:rFonts w:eastAsia="Times New Roman"/>
          <w:color w:val="000000" w:themeColor="text1"/>
          <w:szCs w:val="22"/>
        </w:rPr>
        <w:t xml:space="preserve"> </w:t>
      </w:r>
      <w:r w:rsidR="003121B9" w:rsidRPr="00CC7AD9">
        <w:rPr>
          <w:rFonts w:eastAsia="Times New Roman"/>
          <w:noProof/>
          <w:color w:val="000000" w:themeColor="text1"/>
          <w:szCs w:val="22"/>
        </w:rPr>
        <w:t xml:space="preserve">the delays </w:t>
      </w:r>
      <w:r w:rsidR="00012784" w:rsidRPr="00CC7AD9">
        <w:rPr>
          <w:rFonts w:eastAsia="Times New Roman"/>
          <w:noProof/>
          <w:color w:val="000000" w:themeColor="text1"/>
          <w:szCs w:val="22"/>
        </w:rPr>
        <w:t>of the channel path components may not be represented by integer values</w:t>
      </w:r>
      <w:r w:rsidR="00012784">
        <w:rPr>
          <w:rFonts w:eastAsia="Times New Roman"/>
          <w:color w:val="000000" w:themeColor="text1"/>
          <w:szCs w:val="22"/>
        </w:rPr>
        <w:t xml:space="preserve">. </w:t>
      </w:r>
      <w:r w:rsidR="006F52E3">
        <w:rPr>
          <w:rFonts w:eastAsia="Times New Roman"/>
          <w:color w:val="000000" w:themeColor="text1"/>
          <w:szCs w:val="22"/>
        </w:rPr>
        <w:t xml:space="preserve">Therefore, the flexibility of optimizing the delays can </w:t>
      </w:r>
      <w:r w:rsidR="006F52E3" w:rsidRPr="00CC7AD9">
        <w:rPr>
          <w:rFonts w:eastAsia="Times New Roman"/>
          <w:noProof/>
          <w:color w:val="000000" w:themeColor="text1"/>
          <w:szCs w:val="22"/>
        </w:rPr>
        <w:t>be increased</w:t>
      </w:r>
      <w:r w:rsidR="006F52E3">
        <w:rPr>
          <w:rFonts w:eastAsia="Times New Roman"/>
          <w:color w:val="000000" w:themeColor="text1"/>
          <w:szCs w:val="22"/>
        </w:rPr>
        <w:t xml:space="preserve"> when using an oversampled frequency-domain codebook. Let </w:t>
      </w:r>
      <m:oMath>
        <m:sSub>
          <m:sSubPr>
            <m:ctrlPr>
              <w:rPr>
                <w:rFonts w:ascii="Cambria Math" w:eastAsia="Times New Roman" w:hAnsi="Cambria Math"/>
                <w:i/>
                <w:color w:val="000000" w:themeColor="text1"/>
                <w:szCs w:val="22"/>
              </w:rPr>
            </m:ctrlPr>
          </m:sSubPr>
          <m:e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 w:themeColor="text1"/>
                <w:szCs w:val="22"/>
              </w:rPr>
              <m:t>f</m:t>
            </m:r>
          </m:sub>
        </m:sSub>
      </m:oMath>
      <w:r w:rsidR="006F52E3">
        <w:rPr>
          <w:rFonts w:eastAsia="Times New Roman"/>
          <w:color w:val="000000" w:themeColor="text1"/>
          <w:szCs w:val="22"/>
        </w:rPr>
        <w:t xml:space="preserve"> be the oversampling factor. Then, the oversampled frequency-domain codebook may be represented by</w:t>
      </w:r>
    </w:p>
    <w:p w14:paraId="628370DF" w14:textId="77777777" w:rsid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8463"/>
        <w:gridCol w:w="577"/>
      </w:tblGrid>
      <w:tr w:rsidR="006F52E3" w:rsidRPr="00C016B3" w14:paraId="250D007D" w14:textId="77777777" w:rsidTr="006F52E3">
        <w:tc>
          <w:tcPr>
            <w:tcW w:w="250" w:type="dxa"/>
          </w:tcPr>
          <w:p w14:paraId="678E0B41" w14:textId="77777777" w:rsidR="006F52E3" w:rsidRPr="00C016B3" w:rsidRDefault="006F52E3" w:rsidP="006F52E3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</w:p>
        </w:tc>
        <w:tc>
          <w:tcPr>
            <w:tcW w:w="8789" w:type="dxa"/>
          </w:tcPr>
          <w:p w14:paraId="4F529A33" w14:textId="77777777" w:rsidR="006F52E3" w:rsidRPr="00C016B3" w:rsidRDefault="006F52E3" w:rsidP="006F52E3">
            <w:pPr>
              <w:shd w:val="clear" w:color="auto" w:fill="FFFFFF"/>
              <w:spacing w:after="0" w:line="276" w:lineRule="auto"/>
              <w:jc w:val="center"/>
              <w:rPr>
                <w:rFonts w:eastAsia="Times New Roman"/>
                <w:b/>
                <w:color w:val="000000" w:themeColor="text1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</w:rPr>
                <m:t>D</m:t>
              </m:r>
              <m:r>
                <m:rPr>
                  <m:sty m:val="bi"/>
                </m:rPr>
                <w:rPr>
                  <w:rFonts w:ascii="Cambria Math" w:hAnsi="Cambria Math" w:cs="Arial"/>
                  <w:color w:val="000000" w:themeColor="text1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b/>
                      <w:i/>
                      <w:color w:val="000000" w:themeColor="text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Arial"/>
                      <w:color w:val="000000" w:themeColor="text1"/>
                      <w:lang w:val="en-US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color w:val="000000" w:themeColor="text1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</w:rPr>
                        <m:t>S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 w:themeColor="text1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color w:val="000000" w:themeColor="text1"/>
                          <w:lang w:val="en-US"/>
                        </w:rPr>
                        <m:t>-1</m:t>
                      </m:r>
                    </m:sub>
                  </m:sSub>
                </m:e>
              </m:d>
            </m:oMath>
            <w:r w:rsidRPr="00C422F7">
              <w:rPr>
                <w:rFonts w:eastAsia="Times New Roman"/>
                <w:color w:val="000000" w:themeColor="text1"/>
              </w:rPr>
              <w:t>,</w:t>
            </w:r>
          </w:p>
        </w:tc>
        <w:tc>
          <w:tcPr>
            <w:tcW w:w="583" w:type="dxa"/>
          </w:tcPr>
          <w:p w14:paraId="2EF26B59" w14:textId="77777777" w:rsidR="006F52E3" w:rsidRPr="00C016B3" w:rsidRDefault="006F52E3" w:rsidP="006F52E3">
            <w:pPr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C016B3">
              <w:rPr>
                <w:color w:val="000000" w:themeColor="text1"/>
                <w:lang w:val="en-US"/>
              </w:rPr>
              <w:t>(8)</w:t>
            </w:r>
          </w:p>
        </w:tc>
      </w:tr>
    </w:tbl>
    <w:p w14:paraId="7ED87600" w14:textId="77777777" w:rsidR="006F52E3" w:rsidRPr="00C016B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</w:rPr>
      </w:pPr>
    </w:p>
    <w:p w14:paraId="5133DFDA" w14:textId="77777777" w:rsidR="006F52E3" w:rsidRP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  <w:r w:rsidRPr="00C016B3">
        <w:rPr>
          <w:rFonts w:eastAsia="Times New Roman"/>
          <w:color w:val="000000" w:themeColor="text1"/>
        </w:rPr>
        <w:t xml:space="preserve">where </w:t>
      </w:r>
      <m:oMath>
        <m:sSub>
          <m:sSubPr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</w:rPr>
              <m:t>d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i</m:t>
            </m:r>
          </m:sub>
        </m:sSub>
        <m:r>
          <w:rPr>
            <w:rFonts w:ascii="Cambria Math" w:hAnsi="Cambria Math" w:cs="Arial"/>
            <w:color w:val="000000" w:themeColor="text1"/>
            <w:lang w:val="en-US"/>
          </w:rPr>
          <m:t xml:space="preserve">=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Arial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1 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color w:val="000000" w:themeColor="text1"/>
                    <w:lang w:val="en-US"/>
                  </w:rPr>
                  <m:t xml:space="preserve"> … 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000000" w:themeColor="text1"/>
                      </w:rPr>
                      <m:t>e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j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2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πi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(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  <w:lang w:val="en-US"/>
                          </w:rPr>
                          <m:t>-1)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000000" w:themeColor="text1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000000" w:themeColor="text1"/>
                          </w:rPr>
                          <m:t>S</m:t>
                        </m:r>
                      </m:den>
                    </m:f>
                  </m:sup>
                </m:sSup>
              </m:e>
            </m:d>
            <m:ctrlPr>
              <w:rPr>
                <w:rFonts w:ascii="Cambria Math" w:hAnsi="Cambria Math" w:cs="Arial"/>
                <w:i/>
                <w:color w:val="000000" w:themeColor="text1"/>
              </w:rPr>
            </m:ctrlP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T</m:t>
            </m:r>
          </m:sup>
        </m:sSup>
        <m:r>
          <w:rPr>
            <w:rFonts w:ascii="Cambria Math" w:eastAsiaTheme="minorEastAsia" w:hAnsi="Cambria Math" w:cs="Arial"/>
            <w:color w:val="000000" w:themeColor="text1"/>
            <w:lang w:val="en-US"/>
          </w:rPr>
          <m:t xml:space="preserve">∈ </m:t>
        </m:r>
        <m:sSup>
          <m:sSupPr>
            <m:ctrlPr>
              <w:rPr>
                <w:rFonts w:ascii="Cambria Math" w:eastAsiaTheme="minorEastAsia" w:hAnsi="Cambria Math" w:cs="Arial"/>
                <w:i/>
                <w:color w:val="000000" w:themeColor="text1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color w:val="000000" w:themeColor="text1"/>
              </w:rPr>
              <m:t>S</m:t>
            </m:r>
            <m:r>
              <w:rPr>
                <w:rFonts w:ascii="Cambria Math" w:eastAsiaTheme="minorEastAsia" w:hAnsi="Cambria Math" w:cs="Arial"/>
                <w:color w:val="000000" w:themeColor="text1"/>
                <w:lang w:val="en-US"/>
              </w:rPr>
              <m:t>×1</m:t>
            </m:r>
          </m:sup>
        </m:sSup>
      </m:oMath>
      <w:r w:rsidRPr="00C016B3">
        <w:rPr>
          <w:rFonts w:eastAsia="Times New Roman"/>
          <w:color w:val="000000" w:themeColor="text1"/>
          <w:lang w:val="en-US"/>
        </w:rPr>
        <w:t xml:space="preserve">. </w:t>
      </w:r>
      <w:r w:rsidRPr="00C016B3">
        <w:rPr>
          <w:rFonts w:eastAsia="Times New Roman"/>
          <w:color w:val="000000" w:themeColor="text1"/>
        </w:rPr>
        <w:t>The tran</w:t>
      </w:r>
      <w:r w:rsidRPr="006F52E3">
        <w:rPr>
          <w:rFonts w:eastAsia="Times New Roman"/>
          <w:color w:val="000000" w:themeColor="text1"/>
          <w:szCs w:val="22"/>
        </w:rPr>
        <w:t xml:space="preserve">sformation matrices </w:t>
      </w:r>
      <m:oMath>
        <m:sSub>
          <m:sSubPr>
            <m:ctrlPr>
              <w:rPr>
                <w:rFonts w:ascii="Cambria Math" w:eastAsia="Times New Roman" w:hAnsi="Cambria Math"/>
                <w:color w:val="000000" w:themeColor="text1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color w:val="000000" w:themeColor="text1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 w:themeColor="text1"/>
                <w:szCs w:val="22"/>
              </w:rPr>
              <m:t>u</m:t>
            </m:r>
          </m:sub>
        </m:sSub>
      </m:oMath>
      <w:r w:rsidR="00A37D41">
        <w:rPr>
          <w:rFonts w:eastAsia="Times New Roman"/>
          <w:color w:val="000000" w:themeColor="text1"/>
          <w:szCs w:val="22"/>
        </w:rPr>
        <w:t xml:space="preserve"> are given by</w:t>
      </w:r>
      <w:r w:rsidR="00B3686A">
        <w:rPr>
          <w:rFonts w:eastAsia="Times New Roman"/>
          <w:color w:val="000000" w:themeColor="text1"/>
          <w:szCs w:val="22"/>
        </w:rPr>
        <w:t xml:space="preserve"> the</w:t>
      </w:r>
      <w:r w:rsidR="00A37D41">
        <w:rPr>
          <w:rFonts w:eastAsia="Times New Roman"/>
          <w:color w:val="000000" w:themeColor="text1"/>
          <w:szCs w:val="22"/>
        </w:rPr>
        <w:t xml:space="preserve"> entries </w:t>
      </w:r>
      <w:r w:rsidRPr="006F52E3">
        <w:rPr>
          <w:rFonts w:eastAsia="Times New Roman"/>
          <w:color w:val="000000" w:themeColor="text1"/>
          <w:szCs w:val="22"/>
        </w:rPr>
        <w:t>of</w:t>
      </w:r>
      <w:r w:rsidR="003531FA">
        <w:rPr>
          <w:rFonts w:eastAsia="Times New Roman"/>
          <w:color w:val="000000" w:themeColor="text1"/>
          <w:szCs w:val="22"/>
        </w:rPr>
        <w:t xml:space="preserve"> codebook</w:t>
      </w:r>
      <w:r w:rsidRPr="006F52E3">
        <w:rPr>
          <w:rFonts w:eastAsia="Times New Roman"/>
          <w:color w:val="000000" w:themeColor="text1"/>
          <w:szCs w:val="22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/>
            <w:color w:val="000000" w:themeColor="text1"/>
            <w:szCs w:val="22"/>
          </w:rPr>
          <m:t>D</m:t>
        </m:r>
      </m:oMath>
      <w:r w:rsidRPr="006F52E3">
        <w:rPr>
          <w:rFonts w:eastAsia="Times New Roman"/>
          <w:color w:val="000000" w:themeColor="text1"/>
          <w:szCs w:val="22"/>
        </w:rPr>
        <w:t>.</w:t>
      </w:r>
    </w:p>
    <w:p w14:paraId="4E1F7FCB" w14:textId="77777777" w:rsidR="009A0FCA" w:rsidRPr="006F52E3" w:rsidRDefault="009A0FCA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2976612B" w14:textId="77777777" w:rsidR="009A0FCA" w:rsidRPr="00012784" w:rsidRDefault="009A0FCA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 w:rsidRPr="00012784">
        <w:rPr>
          <w:rFonts w:eastAsia="Times New Roman"/>
          <w:b/>
          <w:i/>
        </w:rPr>
        <w:t xml:space="preserve">Observation 1: </w:t>
      </w:r>
      <w:r w:rsidR="00012784" w:rsidRPr="00CC7AD9">
        <w:rPr>
          <w:rFonts w:eastAsia="Times New Roman"/>
          <w:b/>
          <w:i/>
          <w:noProof/>
        </w:rPr>
        <w:t>T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he delays </w:t>
      </w:r>
      <w:r w:rsidR="00012784"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associated with the delay-domain complex combining coefficients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may </w:t>
      </w:r>
      <w:r w:rsidR="00012784" w:rsidRPr="00CC7AD9">
        <w:rPr>
          <w:rFonts w:eastAsia="Times New Roman"/>
          <w:b/>
          <w:i/>
          <w:noProof/>
          <w:color w:val="000000" w:themeColor="text1"/>
          <w:szCs w:val="22"/>
        </w:rPr>
        <w:t>not be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 xml:space="preserve"> given by integer values</w:t>
      </w:r>
      <w:r w:rsidR="00CC7AD9" w:rsidRPr="00CC7AD9">
        <w:rPr>
          <w:rFonts w:eastAsia="Times New Roman"/>
          <w:b/>
          <w:i/>
          <w:noProof/>
          <w:color w:val="000000" w:themeColor="text1"/>
          <w:szCs w:val="22"/>
        </w:rPr>
        <w:t>,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</w:t>
      </w:r>
      <w:r w:rsidRPr="00CC7AD9">
        <w:rPr>
          <w:rFonts w:eastAsia="Times New Roman"/>
          <w:b/>
          <w:i/>
          <w:noProof/>
          <w:color w:val="000000" w:themeColor="text1"/>
          <w:szCs w:val="22"/>
        </w:rPr>
        <w:t>and</w:t>
      </w:r>
      <w:r w:rsidRPr="00012784">
        <w:rPr>
          <w:rFonts w:eastAsia="Times New Roman"/>
          <w:b/>
          <w:i/>
          <w:color w:val="000000" w:themeColor="text1"/>
          <w:szCs w:val="22"/>
        </w:rPr>
        <w:t xml:space="preserve"> therefore they cannot be associated with entries of a DFT-matrix.</w:t>
      </w:r>
    </w:p>
    <w:p w14:paraId="3D7A80F8" w14:textId="77777777" w:rsidR="006F52E3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szCs w:val="22"/>
        </w:rPr>
      </w:pPr>
    </w:p>
    <w:p w14:paraId="1FB27579" w14:textId="77777777" w:rsidR="00B97AD5" w:rsidRPr="0030684F" w:rsidRDefault="00012784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>
        <w:rPr>
          <w:rFonts w:eastAsia="Times New Roman"/>
          <w:b/>
          <w:i/>
        </w:rPr>
        <w:t>2</w:t>
      </w:r>
      <w:r w:rsidRPr="00012784">
        <w:rPr>
          <w:rFonts w:eastAsia="Times New Roman"/>
          <w:b/>
          <w:i/>
        </w:rPr>
        <w:t xml:space="preserve">: </w:t>
      </w:r>
      <w:r>
        <w:rPr>
          <w:rFonts w:eastAsia="Times New Roman"/>
          <w:b/>
          <w:i/>
        </w:rPr>
        <w:t xml:space="preserve">Consider oversampled DFT-matrices for the frequency-domain codebook for further study in NR.  </w:t>
      </w:r>
    </w:p>
    <w:p w14:paraId="1C517275" w14:textId="77777777" w:rsidR="00B97AD5" w:rsidRDefault="00B97AD5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p w14:paraId="7BA0C1A0" w14:textId="77777777" w:rsidR="006F52E3" w:rsidRDefault="00A37D41" w:rsidP="00A37D41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  <w:r>
        <w:rPr>
          <w:rFonts w:eastAsia="Times New Roman"/>
          <w:color w:val="000000" w:themeColor="text1"/>
          <w:lang w:eastAsia="de-DE"/>
        </w:rPr>
        <w:t xml:space="preserve">When optimizing the delays and combining coefficients directly in the delay domain, the first dimension of the frequency-domain codebook can </w:t>
      </w:r>
      <w:r w:rsidRPr="00CC7AD9">
        <w:rPr>
          <w:rFonts w:eastAsia="Times New Roman"/>
          <w:noProof/>
          <w:color w:val="000000" w:themeColor="text1"/>
          <w:lang w:eastAsia="de-DE"/>
        </w:rPr>
        <w:t>be flexibl</w:t>
      </w:r>
      <w:r w:rsidR="00FA20FB" w:rsidRPr="00CC7AD9">
        <w:rPr>
          <w:rFonts w:eastAsia="Times New Roman"/>
          <w:noProof/>
          <w:color w:val="000000" w:themeColor="text1"/>
          <w:lang w:eastAsia="de-DE"/>
        </w:rPr>
        <w:t>y</w:t>
      </w:r>
      <w:r w:rsidRPr="00CC7AD9">
        <w:rPr>
          <w:rFonts w:eastAsia="Times New Roman"/>
          <w:noProof/>
          <w:color w:val="000000" w:themeColor="text1"/>
          <w:lang w:eastAsia="de-DE"/>
        </w:rPr>
        <w:t xml:space="preserve"> chosen</w:t>
      </w:r>
      <w:r>
        <w:rPr>
          <w:rFonts w:eastAsia="Times New Roman"/>
          <w:color w:val="000000" w:themeColor="text1"/>
          <w:lang w:eastAsia="de-DE"/>
        </w:rPr>
        <w:t xml:space="preserve">. </w:t>
      </w:r>
      <w:r w:rsidR="006F52E3">
        <w:rPr>
          <w:rFonts w:eastAsia="Times New Roman"/>
          <w:color w:val="000000" w:themeColor="text1"/>
          <w:lang w:eastAsia="de-DE"/>
        </w:rPr>
        <w:t xml:space="preserve">For example, </w:t>
      </w:r>
      <w:r w:rsidR="00C016B3">
        <w:rPr>
          <w:rFonts w:eastAsia="Times New Roman"/>
          <w:color w:val="000000" w:themeColor="text1"/>
          <w:lang w:eastAsia="de-DE"/>
        </w:rPr>
        <w:t xml:space="preserve">the value of </w:t>
      </w:r>
      <m:oMath>
        <m:r>
          <w:rPr>
            <w:rFonts w:ascii="Cambria Math" w:eastAsia="Times New Roman" w:hAnsi="Cambria Math"/>
            <w:color w:val="000000" w:themeColor="text1"/>
            <w:lang w:eastAsia="de-DE"/>
          </w:rPr>
          <m:t>S</m:t>
        </m:r>
      </m:oMath>
      <w:r w:rsidR="006F52E3">
        <w:rPr>
          <w:rFonts w:eastAsia="Times New Roman"/>
          <w:color w:val="000000" w:themeColor="text1"/>
          <w:lang w:eastAsia="de-DE"/>
        </w:rPr>
        <w:t xml:space="preserve"> </w:t>
      </w:r>
      <w:r w:rsidR="00C016B3">
        <w:rPr>
          <w:rFonts w:eastAsia="Times New Roman"/>
          <w:color w:val="000000" w:themeColor="text1"/>
          <w:lang w:eastAsia="de-DE"/>
        </w:rPr>
        <w:t xml:space="preserve">can be set to the total </w:t>
      </w:r>
      <w:r w:rsidR="006F52E3">
        <w:rPr>
          <w:rFonts w:eastAsia="Times New Roman"/>
          <w:color w:val="000000" w:themeColor="text1"/>
          <w:lang w:eastAsia="de-DE"/>
        </w:rPr>
        <w:t>number of PRBs</w:t>
      </w:r>
      <w:r w:rsidR="006F52E3">
        <w:rPr>
          <w:rFonts w:eastAsia="Times New Roman"/>
        </w:rPr>
        <w:t>.</w:t>
      </w:r>
      <w:r w:rsidR="00C016B3">
        <w:rPr>
          <w:rFonts w:eastAsia="Times New Roman"/>
        </w:rPr>
        <w:t xml:space="preserve"> </w:t>
      </w:r>
      <w:r w:rsidR="003531FA">
        <w:rPr>
          <w:rFonts w:eastAsia="Times New Roman"/>
        </w:rPr>
        <w:t>Unlike</w:t>
      </w:r>
      <w:r>
        <w:rPr>
          <w:rFonts w:eastAsia="Times New Roman"/>
        </w:rPr>
        <w:t xml:space="preserve"> subband precoder, the precoder coefficients can vary per PRB and may not be constant over a subband. This leads to </w:t>
      </w:r>
      <w:r w:rsidR="003531FA">
        <w:rPr>
          <w:rFonts w:eastAsia="Times New Roman"/>
        </w:rPr>
        <w:t xml:space="preserve">a </w:t>
      </w:r>
      <w:r>
        <w:rPr>
          <w:rFonts w:eastAsia="Times New Roman"/>
        </w:rPr>
        <w:t xml:space="preserve">higher flexibility in the optimization and possibly </w:t>
      </w:r>
      <w:r w:rsidR="003531FA">
        <w:rPr>
          <w:rFonts w:eastAsia="Times New Roman"/>
        </w:rPr>
        <w:t>results in</w:t>
      </w:r>
      <w:r>
        <w:rPr>
          <w:rFonts w:eastAsia="Times New Roman"/>
        </w:rPr>
        <w:t xml:space="preserve"> performance improvement. </w:t>
      </w:r>
    </w:p>
    <w:p w14:paraId="61311022" w14:textId="77777777" w:rsidR="006F52E3" w:rsidRPr="0013663A" w:rsidRDefault="006F52E3" w:rsidP="006F52E3">
      <w:pPr>
        <w:shd w:val="clear" w:color="auto" w:fill="FFFFFF"/>
        <w:spacing w:after="0" w:line="276" w:lineRule="auto"/>
        <w:jc w:val="both"/>
        <w:rPr>
          <w:rFonts w:eastAsia="Times New Roman"/>
          <w:color w:val="000000" w:themeColor="text1"/>
          <w:lang w:eastAsia="de-DE"/>
        </w:rPr>
      </w:pPr>
    </w:p>
    <w:p w14:paraId="3244CFAE" w14:textId="77777777" w:rsidR="00D5115F" w:rsidRDefault="00D456A9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Proposal</w:t>
      </w:r>
      <w:r w:rsidRPr="00012784">
        <w:rPr>
          <w:rFonts w:eastAsia="Times New Roman"/>
          <w:b/>
          <w:i/>
        </w:rPr>
        <w:t xml:space="preserve"> </w:t>
      </w:r>
      <w:r w:rsidR="0013663A">
        <w:rPr>
          <w:rFonts w:eastAsia="Times New Roman"/>
          <w:b/>
          <w:i/>
        </w:rPr>
        <w:t>3</w:t>
      </w:r>
      <w:r w:rsidRPr="00012784">
        <w:rPr>
          <w:rFonts w:eastAsia="Times New Roman"/>
          <w:b/>
          <w:i/>
        </w:rPr>
        <w:t>:</w:t>
      </w:r>
      <w:r w:rsidR="002A640F">
        <w:rPr>
          <w:rFonts w:eastAsia="Times New Roman"/>
          <w:b/>
          <w:i/>
        </w:rPr>
        <w:t xml:space="preserve"> Different values for the first dimension of the frequency-domain codebook can </w:t>
      </w:r>
      <w:r w:rsidR="002A640F" w:rsidRPr="00CC7AD9">
        <w:rPr>
          <w:rFonts w:eastAsia="Times New Roman"/>
          <w:b/>
          <w:i/>
          <w:noProof/>
        </w:rPr>
        <w:t>be studied</w:t>
      </w:r>
      <w:r w:rsidR="002A640F">
        <w:rPr>
          <w:rFonts w:eastAsia="Times New Roman"/>
          <w:b/>
          <w:i/>
        </w:rPr>
        <w:t xml:space="preserve"> in NR</w:t>
      </w:r>
      <w:r w:rsidR="00D27B1D">
        <w:rPr>
          <w:rFonts w:eastAsia="Times New Roman"/>
          <w:b/>
          <w:i/>
        </w:rPr>
        <w:t>.</w:t>
      </w:r>
    </w:p>
    <w:p w14:paraId="14E00C32" w14:textId="77777777" w:rsidR="00D5115F" w:rsidRDefault="00D5115F" w:rsidP="00D5115F">
      <w:pPr>
        <w:pStyle w:val="Heading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>
        <w:rPr>
          <w:rFonts w:cs="Arial"/>
          <w:lang w:val="en-US"/>
        </w:rPr>
        <w:t>Simulation</w:t>
      </w:r>
      <w:r w:rsidR="001814EA">
        <w:rPr>
          <w:rFonts w:cs="Arial"/>
          <w:lang w:val="en-US"/>
        </w:rPr>
        <w:t xml:space="preserve"> res</w:t>
      </w:r>
      <w:r>
        <w:rPr>
          <w:rFonts w:cs="Arial"/>
          <w:lang w:val="en-US"/>
        </w:rPr>
        <w:t xml:space="preserve">ults </w:t>
      </w:r>
    </w:p>
    <w:p w14:paraId="7240A6AA" w14:textId="1B661B9A" w:rsidR="00A64DFD" w:rsidRDefault="003F1766" w:rsidP="00A05CF7">
      <w:pPr>
        <w:spacing w:line="276" w:lineRule="auto"/>
        <w:jc w:val="both"/>
        <w:rPr>
          <w:lang w:val="en-US"/>
        </w:rPr>
      </w:pPr>
      <w:r>
        <w:rPr>
          <w:lang w:val="en-US"/>
        </w:rPr>
        <w:t>In this section,</w:t>
      </w:r>
      <w:r w:rsidR="006D4199">
        <w:rPr>
          <w:lang w:val="en-US"/>
        </w:rPr>
        <w:t xml:space="preserve"> </w:t>
      </w:r>
      <w:r>
        <w:rPr>
          <w:lang w:val="en-US"/>
        </w:rPr>
        <w:t xml:space="preserve">the performance </w:t>
      </w:r>
      <w:r w:rsidR="00A64DFD">
        <w:rPr>
          <w:lang w:val="en-US"/>
        </w:rPr>
        <w:t xml:space="preserve">and the </w:t>
      </w:r>
      <w:r w:rsidR="00CF42E1">
        <w:rPr>
          <w:lang w:val="en-US"/>
        </w:rPr>
        <w:t xml:space="preserve">amount of </w:t>
      </w:r>
      <w:r w:rsidR="00B336DC">
        <w:rPr>
          <w:lang w:val="en-US"/>
        </w:rPr>
        <w:t>feedback</w:t>
      </w:r>
      <w:r>
        <w:rPr>
          <w:lang w:val="en-US"/>
        </w:rPr>
        <w:t xml:space="preserve"> provided by the </w:t>
      </w:r>
      <w:r w:rsidR="00814784">
        <w:rPr>
          <w:lang w:val="en-US"/>
        </w:rPr>
        <w:t>space-delay</w:t>
      </w:r>
      <w:r w:rsidR="00662CAD">
        <w:rPr>
          <w:lang w:val="en-US"/>
        </w:rPr>
        <w:t xml:space="preserve"> (SD)</w:t>
      </w:r>
      <w:r w:rsidR="00814784">
        <w:rPr>
          <w:lang w:val="en-US"/>
        </w:rPr>
        <w:t xml:space="preserve"> precoder using </w:t>
      </w:r>
      <w:r w:rsidR="00CF42E1">
        <w:rPr>
          <w:lang w:val="en-US"/>
        </w:rPr>
        <w:t xml:space="preserve">the </w:t>
      </w:r>
      <w:r w:rsidR="00814784">
        <w:rPr>
          <w:lang w:val="en-US"/>
        </w:rPr>
        <w:t xml:space="preserve">beam-independent </w:t>
      </w:r>
      <w:r w:rsidR="00B336DC">
        <w:rPr>
          <w:lang w:val="en-US"/>
        </w:rPr>
        <w:t>transformation</w:t>
      </w:r>
      <w:r w:rsidR="00A64DFD">
        <w:rPr>
          <w:lang w:val="en-US"/>
        </w:rPr>
        <w:t xml:space="preserve"> is presented. For comparison, the subband</w:t>
      </w:r>
      <w:r w:rsidR="00662CAD">
        <w:rPr>
          <w:lang w:val="en-US"/>
        </w:rPr>
        <w:t xml:space="preserve"> (SB)</w:t>
      </w:r>
      <w:r w:rsidR="00A64DFD">
        <w:rPr>
          <w:lang w:val="en-US"/>
        </w:rPr>
        <w:t xml:space="preserve"> precoder </w:t>
      </w:r>
      <w:r w:rsidR="00CF42E1">
        <w:rPr>
          <w:lang w:val="en-US"/>
        </w:rPr>
        <w:t>using</w:t>
      </w:r>
      <w:r w:rsidR="00A64DFD">
        <w:rPr>
          <w:lang w:val="en-US"/>
        </w:rPr>
        <w:t xml:space="preserve"> 6 subbands and </w:t>
      </w:r>
      <w:r w:rsidR="00CF42E1">
        <w:rPr>
          <w:lang w:val="en-US"/>
        </w:rPr>
        <w:t xml:space="preserve">the </w:t>
      </w:r>
      <w:r w:rsidR="00A64DFD">
        <w:rPr>
          <w:lang w:val="en-US"/>
        </w:rPr>
        <w:t xml:space="preserve">MRT precoder are </w:t>
      </w:r>
      <w:r w:rsidR="00CF42E1">
        <w:rPr>
          <w:lang w:val="en-US"/>
        </w:rPr>
        <w:t>considered</w:t>
      </w:r>
      <w:r w:rsidR="00A64DFD">
        <w:rPr>
          <w:lang w:val="en-US"/>
        </w:rPr>
        <w:t xml:space="preserve">. </w:t>
      </w:r>
      <w:r w:rsidR="006E0BB1">
        <w:rPr>
          <w:lang w:val="en-US"/>
        </w:rPr>
        <w:t>The simulatio</w:t>
      </w:r>
      <w:r w:rsidR="006D4199">
        <w:rPr>
          <w:lang w:val="en-US"/>
        </w:rPr>
        <w:t xml:space="preserve">ns are performed using 50 PRBs </w:t>
      </w:r>
      <w:r w:rsidR="00CF42E1">
        <w:rPr>
          <w:lang w:val="en-US"/>
        </w:rPr>
        <w:t xml:space="preserve">and </w:t>
      </w:r>
      <w:r w:rsidR="002665BC">
        <w:rPr>
          <w:lang w:val="en-US"/>
        </w:rPr>
        <w:t xml:space="preserve">the </w:t>
      </w:r>
      <w:r w:rsidR="00BA59B4">
        <w:rPr>
          <w:lang w:val="en-US"/>
        </w:rPr>
        <w:t xml:space="preserve">frequency-domain </w:t>
      </w:r>
      <w:r w:rsidR="002665BC">
        <w:rPr>
          <w:lang w:val="en-US"/>
        </w:rPr>
        <w:t xml:space="preserve">DFT codebook with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  <m:r>
          <w:rPr>
            <w:rFonts w:ascii="Cambria Math" w:hAnsi="Cambria Math"/>
            <w:lang w:val="en-US"/>
          </w:rPr>
          <m:t>=1</m:t>
        </m:r>
      </m:oMath>
      <w:r w:rsidR="00CF42E1">
        <w:rPr>
          <w:lang w:val="en-US"/>
        </w:rPr>
        <w:t xml:space="preserve"> (no oversampling) for simplicity</w:t>
      </w:r>
      <w:r w:rsidR="002665BC">
        <w:rPr>
          <w:lang w:val="en-US"/>
        </w:rPr>
        <w:t xml:space="preserve">. </w:t>
      </w:r>
    </w:p>
    <w:p w14:paraId="3546B30E" w14:textId="66C0B4A4" w:rsidR="00611F4C" w:rsidRDefault="00A64DFD" w:rsidP="00A05CF7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The simulation parameters </w:t>
      </w:r>
      <w:r w:rsidR="00E50556">
        <w:rPr>
          <w:lang w:val="en-US"/>
        </w:rPr>
        <w:t xml:space="preserve">and simulation setup details </w:t>
      </w:r>
      <w:r w:rsidR="003629C4">
        <w:rPr>
          <w:lang w:val="en-US"/>
        </w:rPr>
        <w:t>are summarized in Table. 2</w:t>
      </w:r>
      <w:r>
        <w:rPr>
          <w:lang w:val="en-US"/>
        </w:rPr>
        <w:t xml:space="preserve">. </w:t>
      </w:r>
      <w:r w:rsidR="00662CAD">
        <w:rPr>
          <w:lang w:val="en-US"/>
        </w:rPr>
        <w:t>The performance meas</w:t>
      </w:r>
      <w:r w:rsidR="00611F4C">
        <w:rPr>
          <w:lang w:val="en-US"/>
        </w:rPr>
        <w:t xml:space="preserve">ure used to </w:t>
      </w:r>
      <w:r w:rsidR="00662CAD">
        <w:rPr>
          <w:lang w:val="en-US"/>
        </w:rPr>
        <w:t xml:space="preserve">evaluate the </w:t>
      </w:r>
      <w:r w:rsidR="00CF42E1">
        <w:rPr>
          <w:lang w:val="en-US"/>
        </w:rPr>
        <w:t xml:space="preserve">different </w:t>
      </w:r>
      <w:r w:rsidR="00662CAD">
        <w:rPr>
          <w:lang w:val="en-US"/>
        </w:rPr>
        <w:t xml:space="preserve">precoders </w:t>
      </w:r>
      <w:r w:rsidR="00611F4C">
        <w:rPr>
          <w:lang w:val="en-US"/>
        </w:rPr>
        <w:t xml:space="preserve">is given by  </w:t>
      </w:r>
    </w:p>
    <w:p w14:paraId="744FFE1E" w14:textId="6AC81116" w:rsidR="00611F4C" w:rsidRDefault="00611F4C" w:rsidP="00CF42E1">
      <w:pPr>
        <w:spacing w:line="276" w:lineRule="auto"/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η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b</m:t>
            </m:r>
          </m:e>
        </m:d>
        <m:d>
          <m:dPr>
            <m:begChr m:val="["/>
            <m:endChr m:val="]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%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AMI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</m:d>
            <m:r>
              <w:rPr>
                <w:rFonts w:ascii="Cambria Math" w:hAnsi="Cambria Math"/>
                <w:lang w:val="en-US"/>
              </w:rPr>
              <m:t>-AMI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num>
          <m:den>
            <m:r>
              <w:rPr>
                <w:rFonts w:ascii="Cambria Math" w:hAnsi="Cambria Math"/>
                <w:lang w:val="en-US"/>
              </w:rPr>
              <m:t>AMI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  <w:lang w:val="en-US"/>
                  </w:rPr>
                  <m:t>1</m:t>
                </m:r>
              </m:e>
            </m:d>
          </m:den>
        </m:f>
        <m:r>
          <w:rPr>
            <w:rFonts w:ascii="Cambria Math" w:hAnsi="Cambria Math"/>
            <w:lang w:val="en-US"/>
          </w:rPr>
          <m:t>×100</m:t>
        </m:r>
      </m:oMath>
      <w:r w:rsidR="00CF42E1">
        <w:rPr>
          <w:lang w:val="en-US"/>
        </w:rPr>
        <w:t>.</w:t>
      </w:r>
    </w:p>
    <w:p w14:paraId="3BD4C387" w14:textId="09EB478F" w:rsidR="00814784" w:rsidRPr="004F2570" w:rsidRDefault="00CF42E1" w:rsidP="00A05CF7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Here, </w:t>
      </w:r>
      <m:oMath>
        <m:r>
          <w:rPr>
            <w:rFonts w:ascii="Cambria Math" w:hAnsi="Cambria Math"/>
            <w:lang w:val="en-US"/>
          </w:rPr>
          <m:t>η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b</m:t>
            </m:r>
          </m:e>
        </m:d>
      </m:oMath>
      <w:r w:rsidR="005F411F">
        <w:rPr>
          <w:lang w:val="en-US"/>
        </w:rPr>
        <w:t xml:space="preserve"> </w:t>
      </w:r>
      <w:r>
        <w:rPr>
          <w:lang w:val="en-US"/>
        </w:rPr>
        <w:t>denotes</w:t>
      </w:r>
      <w:r w:rsidR="00611F4C">
        <w:rPr>
          <w:lang w:val="en-US"/>
        </w:rPr>
        <w:t xml:space="preserve"> the s</w:t>
      </w:r>
      <w:r w:rsidR="00C22CD5">
        <w:rPr>
          <w:lang w:val="en-US"/>
        </w:rPr>
        <w:t>pectral ef</w:t>
      </w:r>
      <w:r w:rsidR="007F3CA5">
        <w:rPr>
          <w:lang w:val="en-US"/>
        </w:rPr>
        <w:t>ficiency improvement</w:t>
      </w:r>
      <w:r w:rsidR="00662CAD">
        <w:rPr>
          <w:lang w:val="en-US"/>
        </w:rPr>
        <w:t xml:space="preserve"> of</w:t>
      </w:r>
      <w:r w:rsidR="00C22CD5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b</m:t>
        </m:r>
      </m:oMath>
      <w:r w:rsidR="00C22CD5">
        <w:rPr>
          <w:lang w:val="en-US"/>
        </w:rPr>
        <w:t xml:space="preserve"> subbands</w:t>
      </w:r>
      <w:r w:rsidR="005F411F">
        <w:rPr>
          <w:lang w:val="en-US"/>
        </w:rPr>
        <w:t>/</w:t>
      </w:r>
      <m:oMath>
        <m:r>
          <w:rPr>
            <w:rFonts w:ascii="Cambria Math" w:hAnsi="Cambria Math"/>
            <w:lang w:val="en-US"/>
          </w:rPr>
          <m:t>b</m:t>
        </m:r>
      </m:oMath>
      <w:r w:rsidR="00B703BC">
        <w:rPr>
          <w:lang w:val="en-US"/>
        </w:rPr>
        <w:t xml:space="preserve"> </w:t>
      </w:r>
      <w:r w:rsidR="00C22CD5">
        <w:rPr>
          <w:lang w:val="en-US"/>
        </w:rPr>
        <w:t>delays with respect to</w:t>
      </w:r>
      <w:r w:rsidR="00611F4C">
        <w:rPr>
          <w:lang w:val="en-US"/>
        </w:rPr>
        <w:t xml:space="preserve"> </w:t>
      </w:r>
      <w:r w:rsidR="00B703BC">
        <w:rPr>
          <w:lang w:val="en-US"/>
        </w:rPr>
        <w:t>a single</w:t>
      </w:r>
      <w:r w:rsidR="007F3CA5">
        <w:rPr>
          <w:lang w:val="en-US"/>
        </w:rPr>
        <w:t xml:space="preserve"> </w:t>
      </w:r>
      <w:r w:rsidR="00611F4C">
        <w:rPr>
          <w:lang w:val="en-US"/>
        </w:rPr>
        <w:t>subband/delay.</w:t>
      </w:r>
      <w:r w:rsidR="007F3CA5">
        <w:rPr>
          <w:lang w:val="en-US"/>
        </w:rPr>
        <w:t xml:space="preserve"> </w:t>
      </w:r>
      <w:r w:rsidR="00B703BC">
        <w:rPr>
          <w:lang w:val="en-US"/>
        </w:rPr>
        <w:t xml:space="preserve">Note that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</m:t>
            </m:r>
            <m:ctrlPr>
              <w:rPr>
                <w:rFonts w:ascii="Cambria Math" w:hAnsi="Cambria Math"/>
                <w:b/>
                <w:i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B703BC">
        <w:rPr>
          <w:lang w:val="en-US"/>
        </w:rPr>
        <w:t xml:space="preserve"> is identical and frequency-flat for the </w:t>
      </w:r>
      <w:r>
        <w:rPr>
          <w:lang w:val="en-US"/>
        </w:rPr>
        <w:t>SB</w:t>
      </w:r>
      <w:r w:rsidR="00B703BC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980938">
        <w:rPr>
          <w:lang w:val="en-US"/>
        </w:rPr>
        <w:t>SD precoder</w:t>
      </w:r>
      <w:r w:rsidR="00B703BC">
        <w:rPr>
          <w:lang w:val="en-US"/>
        </w:rPr>
        <w:t>s</w:t>
      </w:r>
      <w:r w:rsidR="00980938">
        <w:rPr>
          <w:lang w:val="en-US"/>
        </w:rPr>
        <w:t xml:space="preserve"> </w:t>
      </w:r>
      <w:r w:rsidR="00B703BC">
        <w:rPr>
          <w:lang w:val="en-US"/>
        </w:rPr>
        <w:t>when using a single</w:t>
      </w:r>
      <w:r>
        <w:rPr>
          <w:lang w:val="en-US"/>
        </w:rPr>
        <w:t xml:space="preserve"> subband/delay</w:t>
      </w:r>
      <w:r w:rsidR="00496299">
        <w:rPr>
          <w:lang w:val="en-US"/>
        </w:rPr>
        <w:t xml:space="preserve">. Therefore, </w:t>
      </w:r>
      <m:oMath>
        <m:r>
          <w:rPr>
            <w:rFonts w:ascii="Cambria Math" w:hAnsi="Cambria Math"/>
            <w:lang w:val="en-US"/>
          </w:rPr>
          <m:t>AMI(1)</m:t>
        </m:r>
      </m:oMath>
      <w:r w:rsidR="007F3CA5">
        <w:rPr>
          <w:lang w:val="en-US"/>
        </w:rPr>
        <w:t xml:space="preserve"> refers to the average mutual information achieved using a wideband </w:t>
      </w:r>
      <w:r w:rsidR="001C668A">
        <w:rPr>
          <w:lang w:val="en-US"/>
        </w:rPr>
        <w:t xml:space="preserve">second stage precoder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F</m:t>
            </m:r>
            <m:ctrlPr>
              <w:rPr>
                <w:rFonts w:ascii="Cambria Math" w:hAnsi="Cambria Math"/>
                <w:b/>
                <w:i/>
                <w:lang w:val="en-US"/>
              </w:rPr>
            </m:ctrlP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96299">
        <w:rPr>
          <w:lang w:val="en-US"/>
        </w:rPr>
        <w:t>.</w:t>
      </w:r>
    </w:p>
    <w:p w14:paraId="6C5DEAFB" w14:textId="7C591733" w:rsidR="00280D3E" w:rsidRPr="00280D3E" w:rsidRDefault="00662CAD" w:rsidP="00A05CF7">
      <w:pPr>
        <w:spacing w:line="276" w:lineRule="auto"/>
        <w:jc w:val="both"/>
        <w:rPr>
          <w:lang w:val="en-US"/>
        </w:rPr>
      </w:pPr>
      <w:r>
        <w:rPr>
          <w:lang w:val="en-US"/>
        </w:rPr>
        <w:t xml:space="preserve">Fig. 1 shows the </w:t>
      </w:r>
      <w:r w:rsidR="00611F4C">
        <w:rPr>
          <w:lang w:val="en-US"/>
        </w:rPr>
        <w:t xml:space="preserve">values of </w:t>
      </w:r>
      <m:oMath>
        <m:r>
          <w:rPr>
            <w:rFonts w:ascii="Cambria Math" w:hAnsi="Cambria Math"/>
            <w:lang w:val="en-US"/>
          </w:rPr>
          <m:t>η</m:t>
        </m:r>
      </m:oMath>
      <w:r w:rsidR="00611F4C">
        <w:rPr>
          <w:lang w:val="en-US"/>
        </w:rPr>
        <w:t xml:space="preserve"> for the SB</w:t>
      </w:r>
      <w:r>
        <w:rPr>
          <w:lang w:val="en-US"/>
        </w:rPr>
        <w:t xml:space="preserve"> precoder </w:t>
      </w:r>
      <w:r w:rsidR="00CF42E1">
        <w:rPr>
          <w:lang w:val="en-US"/>
        </w:rPr>
        <w:t>using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S=6</m:t>
        </m:r>
      </m:oMath>
      <w:r w:rsidR="00611F4C">
        <w:rPr>
          <w:lang w:val="en-US"/>
        </w:rPr>
        <w:t xml:space="preserve"> subbands</w:t>
      </w:r>
      <w:r>
        <w:rPr>
          <w:lang w:val="en-US"/>
        </w:rPr>
        <w:t xml:space="preserve"> and </w:t>
      </w:r>
      <w:r w:rsidR="00CF42E1">
        <w:rPr>
          <w:lang w:val="en-US"/>
        </w:rPr>
        <w:t xml:space="preserve">the </w:t>
      </w:r>
      <w:r w:rsidR="00611F4C">
        <w:rPr>
          <w:lang w:val="en-US"/>
        </w:rPr>
        <w:t>SD</w:t>
      </w:r>
      <w:r>
        <w:rPr>
          <w:lang w:val="en-US"/>
        </w:rPr>
        <w:t xml:space="preserve"> precoder </w:t>
      </w:r>
      <w:r w:rsidR="00CF42E1">
        <w:rPr>
          <w:lang w:val="en-US"/>
        </w:rPr>
        <w:t>using</w:t>
      </w:r>
      <w:r w:rsidR="00611F4C">
        <w:rPr>
          <w:lang w:val="en-US"/>
        </w:rPr>
        <w:t xml:space="preserve"> </w:t>
      </w:r>
      <w:r w:rsidR="00B703BC">
        <w:rPr>
          <w:lang w:val="en-US"/>
        </w:rPr>
        <w:t>different</w:t>
      </w:r>
      <w:r w:rsidR="00611F4C">
        <w:rPr>
          <w:lang w:val="en-US"/>
        </w:rPr>
        <w:t xml:space="preserve"> number of delays </w:t>
      </w:r>
      <m:oMath>
        <m:r>
          <w:rPr>
            <w:rFonts w:ascii="Cambria Math" w:hAnsi="Cambria Math"/>
            <w:lang w:val="en-US"/>
          </w:rPr>
          <m:t>L</m:t>
        </m:r>
      </m:oMath>
      <w:r w:rsidR="00611F4C">
        <w:rPr>
          <w:lang w:val="en-US"/>
        </w:rPr>
        <w:t xml:space="preserve">. </w:t>
      </w:r>
      <w:r w:rsidR="00CF42E1">
        <w:rPr>
          <w:lang w:val="en-US"/>
        </w:rPr>
        <w:t>I</w:t>
      </w:r>
      <w:r w:rsidR="005154DD">
        <w:rPr>
          <w:lang w:val="en-US"/>
        </w:rPr>
        <w:t xml:space="preserve">t can be seen </w:t>
      </w:r>
      <w:r w:rsidR="00CF42E1">
        <w:rPr>
          <w:lang w:val="en-US"/>
        </w:rPr>
        <w:t xml:space="preserve">that when using </w:t>
      </w:r>
      <m:oMath>
        <m:r>
          <w:rPr>
            <w:rFonts w:ascii="Cambria Math" w:hAnsi="Cambria Math"/>
            <w:lang w:val="en-US"/>
          </w:rPr>
          <m:t>L=2</m:t>
        </m:r>
      </m:oMath>
      <w:r w:rsidR="001814EA">
        <w:rPr>
          <w:lang w:val="en-US"/>
        </w:rPr>
        <w:t xml:space="preserve"> delays</w:t>
      </w:r>
      <w:r w:rsidR="00B703BC">
        <w:rPr>
          <w:lang w:val="en-US"/>
        </w:rPr>
        <w:t>,</w:t>
      </w:r>
      <w:r w:rsidR="001814EA">
        <w:rPr>
          <w:lang w:val="en-US"/>
        </w:rPr>
        <w:t xml:space="preserve"> </w:t>
      </w:r>
      <w:r w:rsidR="005154DD">
        <w:rPr>
          <w:lang w:val="en-US"/>
        </w:rPr>
        <w:t xml:space="preserve">the </w:t>
      </w:r>
      <w:r w:rsidR="00DF1419">
        <w:rPr>
          <w:lang w:val="en-US"/>
        </w:rPr>
        <w:t xml:space="preserve">SD </w:t>
      </w:r>
      <w:r w:rsidR="005154DD">
        <w:rPr>
          <w:lang w:val="en-US"/>
        </w:rPr>
        <w:t xml:space="preserve">precoder </w:t>
      </w:r>
      <w:r w:rsidR="00CF42E1">
        <w:rPr>
          <w:lang w:val="en-US"/>
        </w:rPr>
        <w:t>suffers</w:t>
      </w:r>
      <w:r w:rsidR="001814EA">
        <w:rPr>
          <w:lang w:val="en-US"/>
        </w:rPr>
        <w:t xml:space="preserve"> </w:t>
      </w:r>
      <w:r w:rsidR="00B703BC">
        <w:rPr>
          <w:lang w:val="en-US"/>
        </w:rPr>
        <w:t xml:space="preserve">only </w:t>
      </w:r>
      <w:r w:rsidR="00CF42E1">
        <w:rPr>
          <w:lang w:val="en-US"/>
        </w:rPr>
        <w:t>from</w:t>
      </w:r>
      <w:r w:rsidR="001814EA">
        <w:rPr>
          <w:lang w:val="en-US"/>
        </w:rPr>
        <w:t xml:space="preserve"> a </w:t>
      </w:r>
      <w:r w:rsidR="000B3E11">
        <w:rPr>
          <w:lang w:val="en-US"/>
        </w:rPr>
        <w:t xml:space="preserve">small </w:t>
      </w:r>
      <w:r w:rsidR="001814EA">
        <w:rPr>
          <w:lang w:val="en-US"/>
        </w:rPr>
        <w:t xml:space="preserve">performance </w:t>
      </w:r>
      <w:r w:rsidR="00DF1419">
        <w:rPr>
          <w:lang w:val="en-US"/>
        </w:rPr>
        <w:t>loss</w:t>
      </w:r>
      <w:r w:rsidR="001814EA">
        <w:rPr>
          <w:lang w:val="en-US"/>
        </w:rPr>
        <w:t xml:space="preserve"> </w:t>
      </w:r>
      <w:r w:rsidR="00542818">
        <w:rPr>
          <w:lang w:val="en-US"/>
        </w:rPr>
        <w:t xml:space="preserve">compared to the </w:t>
      </w:r>
      <w:r w:rsidR="00DF1419">
        <w:rPr>
          <w:lang w:val="en-US"/>
        </w:rPr>
        <w:t>SB precoder</w:t>
      </w:r>
      <w:r w:rsidR="00542818">
        <w:rPr>
          <w:lang w:val="en-US"/>
        </w:rPr>
        <w:t xml:space="preserve">. </w:t>
      </w:r>
      <w:r w:rsidR="000B3E11">
        <w:rPr>
          <w:lang w:val="en-US"/>
        </w:rPr>
        <w:t>Moreover</w:t>
      </w:r>
      <w:r w:rsidR="00F43104">
        <w:rPr>
          <w:lang w:val="en-US"/>
        </w:rPr>
        <w:t xml:space="preserve">, </w:t>
      </w:r>
      <w:r w:rsidR="000B3E11">
        <w:rPr>
          <w:lang w:val="en-US"/>
        </w:rPr>
        <w:t>for</w:t>
      </w:r>
      <w:r w:rsidR="0054281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L=3</m:t>
        </m:r>
      </m:oMath>
      <w:r w:rsidR="000B3E11">
        <w:rPr>
          <w:lang w:val="en-US"/>
        </w:rPr>
        <w:t xml:space="preserve"> delays,</w:t>
      </w:r>
      <w:r w:rsidR="00542818">
        <w:rPr>
          <w:lang w:val="en-US"/>
        </w:rPr>
        <w:t xml:space="preserve"> </w:t>
      </w:r>
      <w:r w:rsidR="005154DD">
        <w:rPr>
          <w:lang w:val="en-US"/>
        </w:rPr>
        <w:t xml:space="preserve">a </w:t>
      </w:r>
      <w:r w:rsidR="00542818">
        <w:rPr>
          <w:lang w:val="en-US"/>
        </w:rPr>
        <w:t>sharp</w:t>
      </w:r>
      <w:r w:rsidR="005154DD">
        <w:rPr>
          <w:lang w:val="en-US"/>
        </w:rPr>
        <w:t xml:space="preserve"> improvement in spectral efficiency</w:t>
      </w:r>
      <w:r w:rsidR="000B3E11">
        <w:rPr>
          <w:lang w:val="en-US"/>
        </w:rPr>
        <w:t xml:space="preserve"> and a similar performance than the SB precoder is obtained. F</w:t>
      </w:r>
      <w:r w:rsidR="00CF42E1">
        <w:rPr>
          <w:lang w:val="en-US"/>
        </w:rPr>
        <w:t xml:space="preserve">urther </w:t>
      </w:r>
      <w:r w:rsidR="00542818">
        <w:rPr>
          <w:lang w:val="en-US"/>
        </w:rPr>
        <w:t>gradual</w:t>
      </w:r>
      <w:r w:rsidR="005154DD">
        <w:rPr>
          <w:lang w:val="en-US"/>
        </w:rPr>
        <w:t xml:space="preserve"> improvement is observed </w:t>
      </w:r>
      <w:r w:rsidR="000B3E11">
        <w:rPr>
          <w:lang w:val="en-US"/>
        </w:rPr>
        <w:t xml:space="preserve">when </w:t>
      </w:r>
      <w:r w:rsidR="00CF42E1">
        <w:rPr>
          <w:lang w:val="en-US"/>
        </w:rPr>
        <w:t>increasing</w:t>
      </w:r>
      <w:r w:rsidR="00542818">
        <w:rPr>
          <w:lang w:val="en-US"/>
        </w:rPr>
        <w:t xml:space="preserve"> </w:t>
      </w:r>
      <w:r w:rsidR="000B3E11">
        <w:rPr>
          <w:lang w:val="en-US"/>
        </w:rPr>
        <w:t xml:space="preserve">further the </w:t>
      </w:r>
      <w:r w:rsidR="00CF42E1">
        <w:rPr>
          <w:lang w:val="en-US"/>
        </w:rPr>
        <w:t>delay values</w:t>
      </w:r>
      <w:r w:rsidR="00542818">
        <w:rPr>
          <w:lang w:val="en-US"/>
        </w:rPr>
        <w:t>.</w:t>
      </w:r>
      <w:r w:rsidR="005154DD">
        <w:rPr>
          <w:lang w:val="en-US"/>
        </w:rPr>
        <w:t xml:space="preserve"> </w:t>
      </w:r>
    </w:p>
    <w:p w14:paraId="6A0C9053" w14:textId="4CF23069" w:rsidR="000D05FA" w:rsidRDefault="000D05FA" w:rsidP="000D05FA">
      <w:pPr>
        <w:keepNext/>
        <w:rPr>
          <w:noProof/>
        </w:rPr>
      </w:pPr>
      <w:r>
        <w:rPr>
          <w:noProof/>
        </w:rPr>
        <w:t xml:space="preserve">                       </w:t>
      </w:r>
    </w:p>
    <w:p w14:paraId="447A79ED" w14:textId="5F21B597" w:rsidR="00D661C5" w:rsidRDefault="00D661C5" w:rsidP="000D05FA">
      <w:pPr>
        <w:keepNext/>
      </w:pPr>
      <w:r>
        <w:t xml:space="preserve">                </w:t>
      </w:r>
      <w:r>
        <w:rPr>
          <w:noProof/>
          <w:lang w:val="de-DE" w:eastAsia="de-DE"/>
        </w:rPr>
        <w:drawing>
          <wp:inline distT="0" distB="0" distL="0" distR="0" wp14:anchorId="078B1795" wp14:editId="41CB74F8">
            <wp:extent cx="4572000" cy="3032760"/>
            <wp:effectExtent l="0" t="0" r="0" b="1524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57794AB-1FEB-499D-AB53-2D887A08FD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F09A4C7" w14:textId="7CB3B801" w:rsidR="00D5115F" w:rsidRDefault="000D05FA" w:rsidP="00A05CF7">
      <w:pPr>
        <w:pStyle w:val="Caption"/>
        <w:jc w:val="both"/>
      </w:pPr>
      <w:r>
        <w:t xml:space="preserve">Figure </w:t>
      </w:r>
      <w:r w:rsidR="007B3D6F">
        <w:t xml:space="preserve">1: </w:t>
      </w:r>
      <w:r w:rsidR="00322793">
        <w:t xml:space="preserve">Spectral efficiency improvement </w:t>
      </w:r>
      <w:r w:rsidR="009319F7">
        <w:t xml:space="preserve">of subband, space-delay and MRT precoder </w:t>
      </w:r>
      <w:r w:rsidR="00322793">
        <w:t xml:space="preserve">with respect </w:t>
      </w:r>
      <w:r w:rsidR="002955BA">
        <w:t>to a wideband precoder</w:t>
      </w:r>
      <w:r w:rsidR="00322793">
        <w:t xml:space="preserve"> at an SNR of 10dB</w:t>
      </w:r>
      <w:r w:rsidR="009319F7">
        <w:t>.</w:t>
      </w:r>
    </w:p>
    <w:p w14:paraId="30036453" w14:textId="1D3AC4E4" w:rsidR="00A05CF7" w:rsidRPr="00A05CF7" w:rsidRDefault="00CA3C82" w:rsidP="004F2570">
      <w:pPr>
        <w:spacing w:line="276" w:lineRule="auto"/>
        <w:jc w:val="both"/>
      </w:pPr>
      <w:r>
        <w:lastRenderedPageBreak/>
        <w:t xml:space="preserve">Table. </w:t>
      </w:r>
      <w:r w:rsidR="007213BE">
        <w:t>1</w:t>
      </w:r>
      <w:r w:rsidR="00DF1419">
        <w:t xml:space="preserve"> </w:t>
      </w:r>
      <w:r w:rsidR="00F43104">
        <w:t xml:space="preserve">shows the spectral efficiency improvement and the </w:t>
      </w:r>
      <w:r w:rsidR="000B3E11">
        <w:t xml:space="preserve">amount of </w:t>
      </w:r>
      <w:r w:rsidR="00F43104">
        <w:t xml:space="preserve">feedback in bits required for </w:t>
      </w:r>
      <w:r w:rsidR="004F2570">
        <w:t>S</w:t>
      </w:r>
      <w:r w:rsidR="000B3E11">
        <w:t>B</w:t>
      </w:r>
      <w:r w:rsidR="00F43104">
        <w:t xml:space="preserve">, </w:t>
      </w:r>
      <w:r w:rsidR="004F2570">
        <w:t>S</w:t>
      </w:r>
      <w:r w:rsidR="000B3E11">
        <w:t>D</w:t>
      </w:r>
      <w:r w:rsidR="00F43104">
        <w:t xml:space="preserve"> and MRT precoders. </w:t>
      </w:r>
      <w:r w:rsidR="000B3E11">
        <w:t xml:space="preserve">The amplitude and phase of the precoder coefficients were quantized with three bits each. The delay values were quantized with 6 bits. </w:t>
      </w:r>
    </w:p>
    <w:p w14:paraId="0D2C8BB6" w14:textId="74396AE4" w:rsidR="00AD1350" w:rsidRDefault="003629C4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As seen from </w:t>
      </w:r>
      <w:r w:rsidR="00BA59B4">
        <w:rPr>
          <w:rFonts w:eastAsia="Times New Roman"/>
        </w:rPr>
        <w:t>T</w:t>
      </w:r>
      <w:r>
        <w:rPr>
          <w:rFonts w:eastAsia="Times New Roman"/>
        </w:rPr>
        <w:t>able 1</w:t>
      </w:r>
      <w:r w:rsidR="00F37E65">
        <w:rPr>
          <w:rFonts w:eastAsia="Times New Roman"/>
        </w:rPr>
        <w:t xml:space="preserve">, </w:t>
      </w:r>
      <w:r w:rsidR="004C49BD">
        <w:rPr>
          <w:rFonts w:eastAsia="Times New Roman"/>
        </w:rPr>
        <w:t xml:space="preserve">for approximately equal </w:t>
      </w:r>
      <w:r w:rsidR="001E7ACD">
        <w:rPr>
          <w:rFonts w:eastAsia="Times New Roman"/>
        </w:rPr>
        <w:t xml:space="preserve">values of </w:t>
      </w:r>
      <m:oMath>
        <m:r>
          <w:rPr>
            <w:rFonts w:ascii="Cambria Math" w:hAnsi="Cambria Math"/>
            <w:lang w:val="en-US"/>
          </w:rPr>
          <m:t>η</m:t>
        </m:r>
      </m:oMath>
      <w:r w:rsidR="001E7ACD">
        <w:rPr>
          <w:rFonts w:eastAsia="Times New Roman"/>
        </w:rPr>
        <w:t xml:space="preserve">, </w:t>
      </w:r>
      <w:r w:rsidR="000B3E11">
        <w:rPr>
          <w:rFonts w:eastAsia="Times New Roman"/>
        </w:rPr>
        <w:t xml:space="preserve">a feedback overhead reduction of </w:t>
      </w:r>
      <m:oMath>
        <m:r>
          <w:rPr>
            <w:rFonts w:ascii="Cambria Math" w:eastAsia="Times New Roman" w:hAnsi="Cambria Math"/>
          </w:rPr>
          <m:t>41%</m:t>
        </m:r>
      </m:oMath>
      <w:r w:rsidR="00AD1350">
        <w:rPr>
          <w:rFonts w:eastAsia="Times New Roman"/>
        </w:rPr>
        <w:t xml:space="preserve"> </w:t>
      </w:r>
      <w:r w:rsidR="000B3E11">
        <w:rPr>
          <w:rFonts w:eastAsia="Times New Roman"/>
        </w:rPr>
        <w:t xml:space="preserve">is achieved for the SD precoder </w:t>
      </w:r>
      <w:r w:rsidR="00B703BC">
        <w:rPr>
          <w:rFonts w:eastAsia="Times New Roman"/>
        </w:rPr>
        <w:t>(</w:t>
      </w:r>
      <m:oMath>
        <m:r>
          <w:rPr>
            <w:rFonts w:ascii="Cambria Math" w:eastAsia="Times New Roman" w:hAnsi="Cambria Math"/>
          </w:rPr>
          <m:t>L=3</m:t>
        </m:r>
      </m:oMath>
      <w:r w:rsidR="000B3E11">
        <w:rPr>
          <w:rFonts w:eastAsia="Times New Roman"/>
        </w:rPr>
        <w:t xml:space="preserve"> delays</w:t>
      </w:r>
      <w:r w:rsidR="00B703BC">
        <w:rPr>
          <w:rFonts w:eastAsia="Times New Roman"/>
        </w:rPr>
        <w:t>)</w:t>
      </w:r>
      <w:r w:rsidR="000B3E11">
        <w:rPr>
          <w:rFonts w:eastAsia="Times New Roman"/>
        </w:rPr>
        <w:t xml:space="preserve"> </w:t>
      </w:r>
      <w:r w:rsidR="00155592">
        <w:rPr>
          <w:rFonts w:eastAsia="Times New Roman"/>
        </w:rPr>
        <w:t>c</w:t>
      </w:r>
      <w:r w:rsidR="00AD1350">
        <w:rPr>
          <w:rFonts w:eastAsia="Times New Roman"/>
        </w:rPr>
        <w:t xml:space="preserve">ompared to the </w:t>
      </w:r>
      <w:r w:rsidR="001E7ACD">
        <w:rPr>
          <w:rFonts w:eastAsia="Times New Roman"/>
        </w:rPr>
        <w:t xml:space="preserve">SB precoder. Similarly, for </w:t>
      </w:r>
      <w:r w:rsidR="00507294">
        <w:rPr>
          <w:rFonts w:eastAsia="Times New Roman"/>
        </w:rPr>
        <w:t xml:space="preserve">approximately </w:t>
      </w:r>
      <w:r w:rsidR="00AD1350">
        <w:rPr>
          <w:rFonts w:eastAsia="Times New Roman"/>
        </w:rPr>
        <w:t>identical feedback</w:t>
      </w:r>
      <w:r w:rsidR="00B703BC">
        <w:rPr>
          <w:rFonts w:eastAsia="Times New Roman"/>
        </w:rPr>
        <w:t xml:space="preserve"> overhead</w:t>
      </w:r>
      <w:r w:rsidR="00AD1350">
        <w:rPr>
          <w:rFonts w:eastAsia="Times New Roman"/>
        </w:rPr>
        <w:t xml:space="preserve">, the </w:t>
      </w:r>
      <w:r w:rsidR="001E7ACD">
        <w:rPr>
          <w:rFonts w:eastAsia="Times New Roman"/>
        </w:rPr>
        <w:t>SD</w:t>
      </w:r>
      <w:r w:rsidR="00507294">
        <w:rPr>
          <w:rFonts w:eastAsia="Times New Roman"/>
        </w:rPr>
        <w:t xml:space="preserve"> precoder </w:t>
      </w:r>
      <w:r w:rsidR="00B703BC">
        <w:rPr>
          <w:rFonts w:eastAsia="Times New Roman"/>
        </w:rPr>
        <w:t>(</w:t>
      </w:r>
      <m:oMath>
        <m:r>
          <w:rPr>
            <w:rFonts w:ascii="Cambria Math" w:eastAsia="Times New Roman" w:hAnsi="Cambria Math"/>
          </w:rPr>
          <m:t>L=5</m:t>
        </m:r>
      </m:oMath>
      <w:r w:rsidR="00CA3C82">
        <w:rPr>
          <w:rFonts w:eastAsia="Times New Roman"/>
        </w:rPr>
        <w:t xml:space="preserve"> delays</w:t>
      </w:r>
      <w:r w:rsidR="00B703BC">
        <w:rPr>
          <w:rFonts w:eastAsia="Times New Roman"/>
        </w:rPr>
        <w:t>)</w:t>
      </w:r>
      <w:r w:rsidR="00CA3C82">
        <w:rPr>
          <w:rFonts w:eastAsia="Times New Roman"/>
        </w:rPr>
        <w:t xml:space="preserve"> achieve</w:t>
      </w:r>
      <w:r w:rsidR="00155592">
        <w:rPr>
          <w:rFonts w:eastAsia="Times New Roman"/>
        </w:rPr>
        <w:t xml:space="preserve">s </w:t>
      </w:r>
      <w:r w:rsidR="00B703BC">
        <w:rPr>
          <w:rFonts w:eastAsia="Times New Roman"/>
        </w:rPr>
        <w:t xml:space="preserve">a </w:t>
      </w:r>
      <w:r w:rsidR="00155592">
        <w:rPr>
          <w:rFonts w:eastAsia="Times New Roman"/>
        </w:rPr>
        <w:t>performance gain</w:t>
      </w:r>
      <w:r w:rsidR="00507294">
        <w:rPr>
          <w:rFonts w:eastAsia="Times New Roman"/>
        </w:rPr>
        <w:t xml:space="preserve"> </w:t>
      </w:r>
      <w:r w:rsidR="00B703BC">
        <w:rPr>
          <w:rFonts w:eastAsia="Times New Roman"/>
        </w:rPr>
        <w:t xml:space="preserve">of </w:t>
      </w:r>
      <m:oMath>
        <m:r>
          <w:rPr>
            <w:rFonts w:ascii="Cambria Math" w:eastAsia="Times New Roman" w:hAnsi="Cambria Math"/>
          </w:rPr>
          <m:t>5%</m:t>
        </m:r>
      </m:oMath>
      <w:r w:rsidR="00B703BC">
        <w:rPr>
          <w:rFonts w:eastAsia="Times New Roman"/>
        </w:rPr>
        <w:t xml:space="preserve"> </w:t>
      </w:r>
      <w:r w:rsidR="00AD1350">
        <w:rPr>
          <w:rFonts w:eastAsia="Times New Roman"/>
        </w:rPr>
        <w:t xml:space="preserve">compared to the </w:t>
      </w:r>
      <w:r w:rsidR="001E7ACD">
        <w:rPr>
          <w:rFonts w:eastAsia="Times New Roman"/>
        </w:rPr>
        <w:t>SB</w:t>
      </w:r>
      <w:r w:rsidR="00AD1350">
        <w:rPr>
          <w:rFonts w:eastAsia="Times New Roman"/>
        </w:rPr>
        <w:t xml:space="preserve"> precoder </w:t>
      </w:r>
      <w:r w:rsidR="00B703BC">
        <w:rPr>
          <w:rFonts w:eastAsia="Times New Roman"/>
        </w:rPr>
        <w:t>(</w:t>
      </w:r>
      <m:oMath>
        <m:r>
          <w:rPr>
            <w:rFonts w:ascii="Cambria Math" w:eastAsia="Times New Roman" w:hAnsi="Cambria Math"/>
          </w:rPr>
          <m:t>S=6</m:t>
        </m:r>
      </m:oMath>
      <w:r w:rsidR="00AD1350">
        <w:rPr>
          <w:rFonts w:eastAsia="Times New Roman"/>
        </w:rPr>
        <w:t xml:space="preserve"> subbands</w:t>
      </w:r>
      <w:r w:rsidR="00B703BC">
        <w:rPr>
          <w:rFonts w:eastAsia="Times New Roman"/>
        </w:rPr>
        <w:t>)</w:t>
      </w:r>
      <w:r w:rsidR="00AD1350">
        <w:rPr>
          <w:rFonts w:eastAsia="Times New Roman"/>
        </w:rPr>
        <w:t>.</w:t>
      </w:r>
    </w:p>
    <w:p w14:paraId="00F88A81" w14:textId="77777777" w:rsidR="00AD1350" w:rsidRPr="00EB6C61" w:rsidRDefault="00AD1350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59E631FB" w14:textId="0076C77F" w:rsidR="00AD1350" w:rsidRDefault="00AD1350" w:rsidP="00AD1350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4FD1">
        <w:rPr>
          <w:noProof/>
        </w:rPr>
        <w:t>1</w:t>
      </w:r>
      <w:r>
        <w:fldChar w:fldCharType="end"/>
      </w:r>
      <w:r>
        <w:t xml:space="preserve">: Spectral </w:t>
      </w:r>
      <w:r w:rsidR="00155592">
        <w:t xml:space="preserve">efficiency </w:t>
      </w:r>
      <w:r>
        <w:t xml:space="preserve">improvement and feedback overhead of </w:t>
      </w:r>
      <w:r w:rsidR="00155592">
        <w:t xml:space="preserve">the </w:t>
      </w:r>
      <w:r>
        <w:t>space-delay precoder, subband</w:t>
      </w:r>
      <w:r w:rsidR="00155592">
        <w:t>-</w:t>
      </w:r>
      <w:r>
        <w:t xml:space="preserve"> and MR</w:t>
      </w:r>
      <w:r w:rsidR="00155592">
        <w:t>-</w:t>
      </w:r>
      <w:r>
        <w:t xml:space="preserve"> precoder schemes.</w:t>
      </w:r>
    </w:p>
    <w:tbl>
      <w:tblPr>
        <w:tblStyle w:val="TableGrid"/>
        <w:tblW w:w="8960" w:type="dxa"/>
        <w:tblLook w:val="04A0" w:firstRow="1" w:lastRow="0" w:firstColumn="1" w:lastColumn="0" w:noHBand="0" w:noVBand="1"/>
      </w:tblPr>
      <w:tblGrid>
        <w:gridCol w:w="2833"/>
        <w:gridCol w:w="1952"/>
        <w:gridCol w:w="2004"/>
        <w:gridCol w:w="2171"/>
      </w:tblGrid>
      <w:tr w:rsidR="001814EA" w14:paraId="4E05A307" w14:textId="77777777" w:rsidTr="000F4FD1">
        <w:trPr>
          <w:trHeight w:val="1030"/>
        </w:trPr>
        <w:tc>
          <w:tcPr>
            <w:tcW w:w="2833" w:type="dxa"/>
          </w:tcPr>
          <w:p w14:paraId="6F185016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Precoder scheme </w:t>
            </w:r>
          </w:p>
        </w:tc>
        <w:tc>
          <w:tcPr>
            <w:tcW w:w="1952" w:type="dxa"/>
          </w:tcPr>
          <w:p w14:paraId="12C5427F" w14:textId="77777777" w:rsidR="001814EA" w:rsidRDefault="001814EA" w:rsidP="000F4FD1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η[%]</m:t>
                </m:r>
              </m:oMath>
            </m:oMathPara>
          </w:p>
        </w:tc>
        <w:tc>
          <w:tcPr>
            <w:tcW w:w="2004" w:type="dxa"/>
          </w:tcPr>
          <w:p w14:paraId="3494C832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Feedback overhead in bits</w:t>
            </w:r>
          </w:p>
        </w:tc>
        <w:tc>
          <w:tcPr>
            <w:tcW w:w="2171" w:type="dxa"/>
          </w:tcPr>
          <w:p w14:paraId="4AD0F9A2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Feedback overhead reduction compared to subband precoder</w:t>
            </w:r>
          </w:p>
        </w:tc>
      </w:tr>
      <w:tr w:rsidR="001814EA" w14:paraId="38DE0B37" w14:textId="77777777" w:rsidTr="000F4FD1">
        <w:trPr>
          <w:trHeight w:val="385"/>
        </w:trPr>
        <w:tc>
          <w:tcPr>
            <w:tcW w:w="2833" w:type="dxa"/>
          </w:tcPr>
          <w:p w14:paraId="494C21F4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Subband precoder </w:t>
            </w:r>
            <m:oMath>
              <m:r>
                <w:rPr>
                  <w:rFonts w:ascii="Cambria Math" w:hAnsi="Cambria Math"/>
                  <w:lang w:val="en-US"/>
                </w:rPr>
                <m:t>(S=6)</m:t>
              </m:r>
            </m:oMath>
          </w:p>
        </w:tc>
        <w:tc>
          <w:tcPr>
            <w:tcW w:w="1952" w:type="dxa"/>
          </w:tcPr>
          <w:p w14:paraId="08BF6263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13.64%</w:t>
            </w:r>
          </w:p>
        </w:tc>
        <w:tc>
          <w:tcPr>
            <w:tcW w:w="2004" w:type="dxa"/>
          </w:tcPr>
          <w:p w14:paraId="312E3427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171" w:type="dxa"/>
          </w:tcPr>
          <w:p w14:paraId="54937AE2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14EA" w14:paraId="53D09687" w14:textId="77777777" w:rsidTr="000F4FD1">
        <w:trPr>
          <w:trHeight w:val="394"/>
        </w:trPr>
        <w:tc>
          <w:tcPr>
            <w:tcW w:w="2833" w:type="dxa"/>
          </w:tcPr>
          <w:p w14:paraId="39611206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Space-delay precoder </w:t>
            </w:r>
            <m:oMath>
              <m:r>
                <w:rPr>
                  <w:rFonts w:ascii="Cambria Math" w:hAnsi="Cambria Math"/>
                  <w:lang w:val="en-US"/>
                </w:rPr>
                <m:t>(L=2)</m:t>
              </m:r>
            </m:oMath>
          </w:p>
        </w:tc>
        <w:tc>
          <w:tcPr>
            <w:tcW w:w="1952" w:type="dxa"/>
          </w:tcPr>
          <w:p w14:paraId="5BFD503D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10.27%</w:t>
            </w:r>
          </w:p>
        </w:tc>
        <w:tc>
          <w:tcPr>
            <w:tcW w:w="2004" w:type="dxa"/>
          </w:tcPr>
          <w:p w14:paraId="1FFC08C2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71" w:type="dxa"/>
          </w:tcPr>
          <w:p w14:paraId="22E8B0BA" w14:textId="77777777" w:rsidR="001814EA" w:rsidRDefault="00F37E65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58.13</w:t>
            </w:r>
            <w:r w:rsidR="001814EA">
              <w:rPr>
                <w:lang w:val="en-US"/>
              </w:rPr>
              <w:t>%</w:t>
            </w:r>
          </w:p>
        </w:tc>
      </w:tr>
      <w:tr w:rsidR="001814EA" w14:paraId="3BA60ACA" w14:textId="77777777" w:rsidTr="000F4FD1">
        <w:trPr>
          <w:trHeight w:val="385"/>
        </w:trPr>
        <w:tc>
          <w:tcPr>
            <w:tcW w:w="2833" w:type="dxa"/>
          </w:tcPr>
          <w:p w14:paraId="042B9369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Space-delay precoder</w:t>
            </w:r>
            <m:oMath>
              <m:r>
                <w:rPr>
                  <w:rFonts w:ascii="Cambria Math" w:hAnsi="Cambria Math"/>
                  <w:lang w:val="en-US"/>
                </w:rPr>
                <m:t xml:space="preserve"> (L=3)</m:t>
              </m:r>
            </m:oMath>
          </w:p>
        </w:tc>
        <w:tc>
          <w:tcPr>
            <w:tcW w:w="1952" w:type="dxa"/>
          </w:tcPr>
          <w:p w14:paraId="16C2D8DF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14.52%</w:t>
            </w:r>
          </w:p>
        </w:tc>
        <w:tc>
          <w:tcPr>
            <w:tcW w:w="2004" w:type="dxa"/>
          </w:tcPr>
          <w:p w14:paraId="4C069F8E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171" w:type="dxa"/>
          </w:tcPr>
          <w:p w14:paraId="3523DB6F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41.25</w:t>
            </w:r>
            <w:r w:rsidR="001814EA">
              <w:rPr>
                <w:lang w:val="en-US"/>
              </w:rPr>
              <w:t>%</w:t>
            </w:r>
          </w:p>
        </w:tc>
      </w:tr>
      <w:tr w:rsidR="001814EA" w14:paraId="5CD3D45B" w14:textId="77777777" w:rsidTr="000F4FD1">
        <w:trPr>
          <w:trHeight w:val="385"/>
        </w:trPr>
        <w:tc>
          <w:tcPr>
            <w:tcW w:w="2833" w:type="dxa"/>
          </w:tcPr>
          <w:p w14:paraId="6BF8BC93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Space-delay precoder </w:t>
            </w:r>
            <m:oMath>
              <m:r>
                <w:rPr>
                  <w:rFonts w:ascii="Cambria Math" w:hAnsi="Cambria Math"/>
                  <w:lang w:val="en-US"/>
                </w:rPr>
                <m:t>(L=4)</m:t>
              </m:r>
            </m:oMath>
          </w:p>
        </w:tc>
        <w:tc>
          <w:tcPr>
            <w:tcW w:w="1952" w:type="dxa"/>
          </w:tcPr>
          <w:p w14:paraId="40674166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16.79%</w:t>
            </w:r>
          </w:p>
        </w:tc>
        <w:tc>
          <w:tcPr>
            <w:tcW w:w="2004" w:type="dxa"/>
          </w:tcPr>
          <w:p w14:paraId="5444B268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</w:t>
            </w:r>
          </w:p>
        </w:tc>
        <w:tc>
          <w:tcPr>
            <w:tcW w:w="2171" w:type="dxa"/>
          </w:tcPr>
          <w:p w14:paraId="6A7D1D24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24.38</w:t>
            </w:r>
            <w:r w:rsidR="001814EA">
              <w:rPr>
                <w:lang w:val="en-US"/>
              </w:rPr>
              <w:t>%</w:t>
            </w:r>
          </w:p>
        </w:tc>
      </w:tr>
      <w:tr w:rsidR="001814EA" w14:paraId="53460008" w14:textId="77777777" w:rsidTr="000F4FD1">
        <w:trPr>
          <w:trHeight w:val="385"/>
        </w:trPr>
        <w:tc>
          <w:tcPr>
            <w:tcW w:w="2833" w:type="dxa"/>
          </w:tcPr>
          <w:p w14:paraId="45867E93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Space-delay precoder </w:t>
            </w:r>
            <m:oMath>
              <m:r>
                <w:rPr>
                  <w:rFonts w:ascii="Cambria Math" w:hAnsi="Cambria Math"/>
                  <w:lang w:val="en-US"/>
                </w:rPr>
                <m:t>(L=5)</m:t>
              </m:r>
            </m:oMath>
          </w:p>
        </w:tc>
        <w:tc>
          <w:tcPr>
            <w:tcW w:w="1952" w:type="dxa"/>
          </w:tcPr>
          <w:p w14:paraId="53B2AD3C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18.26% </w:t>
            </w:r>
          </w:p>
        </w:tc>
        <w:tc>
          <w:tcPr>
            <w:tcW w:w="2004" w:type="dxa"/>
          </w:tcPr>
          <w:p w14:paraId="08ACBCDA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2171" w:type="dxa"/>
          </w:tcPr>
          <w:p w14:paraId="65D5B9CE" w14:textId="77777777" w:rsidR="001814EA" w:rsidRDefault="004C49BD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  <w:r w:rsidR="001814EA">
              <w:rPr>
                <w:lang w:val="en-US"/>
              </w:rPr>
              <w:t>%</w:t>
            </w:r>
          </w:p>
        </w:tc>
      </w:tr>
      <w:tr w:rsidR="001814EA" w14:paraId="1218123F" w14:textId="77777777" w:rsidTr="000F4FD1">
        <w:trPr>
          <w:trHeight w:val="385"/>
        </w:trPr>
        <w:tc>
          <w:tcPr>
            <w:tcW w:w="2833" w:type="dxa"/>
          </w:tcPr>
          <w:p w14:paraId="3F7C17D6" w14:textId="15FDE0F6" w:rsidR="001814EA" w:rsidRDefault="006E0BB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MRT </w:t>
            </w:r>
          </w:p>
        </w:tc>
        <w:tc>
          <w:tcPr>
            <w:tcW w:w="1952" w:type="dxa"/>
          </w:tcPr>
          <w:p w14:paraId="16AB39EC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25.87%</w:t>
            </w:r>
          </w:p>
        </w:tc>
        <w:tc>
          <w:tcPr>
            <w:tcW w:w="2004" w:type="dxa"/>
          </w:tcPr>
          <w:p w14:paraId="41D9C9A8" w14:textId="77777777" w:rsidR="001814EA" w:rsidRDefault="001814EA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2432 </w:t>
            </w:r>
          </w:p>
        </w:tc>
        <w:tc>
          <w:tcPr>
            <w:tcW w:w="2171" w:type="dxa"/>
          </w:tcPr>
          <w:p w14:paraId="5B1A1157" w14:textId="77777777" w:rsidR="001814EA" w:rsidRDefault="001814EA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4080B3FB" w14:textId="77777777" w:rsidR="00D456A9" w:rsidRDefault="00D456A9" w:rsidP="006F52E3">
      <w:pPr>
        <w:shd w:val="clear" w:color="auto" w:fill="FFFFFF"/>
        <w:spacing w:after="0" w:line="276" w:lineRule="auto"/>
        <w:jc w:val="both"/>
        <w:rPr>
          <w:rFonts w:eastAsia="Times New Roman"/>
        </w:rPr>
      </w:pPr>
    </w:p>
    <w:p w14:paraId="24858DC2" w14:textId="77777777" w:rsidR="00AD1350" w:rsidRDefault="00F038B3" w:rsidP="006F52E3">
      <w:pPr>
        <w:shd w:val="clear" w:color="auto" w:fill="FFFFFF"/>
        <w:spacing w:after="0" w:line="276" w:lineRule="auto"/>
        <w:jc w:val="both"/>
        <w:rPr>
          <w:b/>
          <w:i/>
        </w:rPr>
      </w:pPr>
      <w:r>
        <w:rPr>
          <w:rFonts w:eastAsia="Times New Roman"/>
          <w:b/>
          <w:i/>
        </w:rPr>
        <w:t>Observation 2</w:t>
      </w:r>
      <w:r w:rsidR="00AD1350">
        <w:rPr>
          <w:rFonts w:eastAsia="Times New Roman"/>
          <w:b/>
          <w:i/>
        </w:rPr>
        <w:t xml:space="preserve">: </w:t>
      </w:r>
      <w:r w:rsidR="005B5CE2">
        <w:rPr>
          <w:rFonts w:eastAsia="Times New Roman"/>
          <w:b/>
          <w:i/>
        </w:rPr>
        <w:t>For equal performance, a</w:t>
      </w:r>
      <w:r w:rsidR="00AD1350" w:rsidRPr="005F734C">
        <w:rPr>
          <w:b/>
          <w:i/>
        </w:rPr>
        <w:t xml:space="preserve"> significant feedback</w:t>
      </w:r>
      <w:r w:rsidR="00AD1350">
        <w:rPr>
          <w:b/>
          <w:i/>
        </w:rPr>
        <w:t xml:space="preserve"> overhead</w:t>
      </w:r>
      <w:r w:rsidR="005B5CE2">
        <w:rPr>
          <w:b/>
          <w:i/>
        </w:rPr>
        <w:t xml:space="preserve"> reduction </w:t>
      </w:r>
      <w:r w:rsidR="00AD1350">
        <w:rPr>
          <w:b/>
          <w:i/>
        </w:rPr>
        <w:t>is</w:t>
      </w:r>
      <w:r w:rsidR="00AD1350" w:rsidRPr="005F734C">
        <w:rPr>
          <w:b/>
          <w:i/>
        </w:rPr>
        <w:t xml:space="preserve"> </w:t>
      </w:r>
      <w:r w:rsidR="00AD1350">
        <w:rPr>
          <w:b/>
          <w:i/>
        </w:rPr>
        <w:t>achieved</w:t>
      </w:r>
      <w:r w:rsidR="00AD1350" w:rsidRPr="005F734C">
        <w:rPr>
          <w:b/>
          <w:i/>
        </w:rPr>
        <w:t xml:space="preserve"> </w:t>
      </w:r>
      <w:r w:rsidR="00AD1350">
        <w:rPr>
          <w:b/>
          <w:i/>
        </w:rPr>
        <w:t xml:space="preserve">by </w:t>
      </w:r>
      <w:r w:rsidR="00AD1350" w:rsidRPr="005F734C">
        <w:rPr>
          <w:b/>
          <w:i/>
        </w:rPr>
        <w:t>space-delay precod</w:t>
      </w:r>
      <w:r w:rsidR="00AD1350">
        <w:rPr>
          <w:b/>
          <w:i/>
        </w:rPr>
        <w:t>ing</w:t>
      </w:r>
      <w:r w:rsidR="00AD1350" w:rsidRPr="005F734C">
        <w:rPr>
          <w:b/>
          <w:i/>
        </w:rPr>
        <w:t xml:space="preserve"> </w:t>
      </w:r>
      <w:r w:rsidR="00AD1350">
        <w:rPr>
          <w:b/>
          <w:i/>
        </w:rPr>
        <w:t>over</w:t>
      </w:r>
      <w:r w:rsidR="00AD1350" w:rsidRPr="005F734C">
        <w:rPr>
          <w:b/>
          <w:i/>
        </w:rPr>
        <w:t xml:space="preserve"> sub-band based precod</w:t>
      </w:r>
      <w:r w:rsidR="00AD1350">
        <w:rPr>
          <w:b/>
          <w:i/>
        </w:rPr>
        <w:t>ing.</w:t>
      </w:r>
      <w:r w:rsidR="00AD1350" w:rsidRPr="005F734C">
        <w:rPr>
          <w:b/>
          <w:i/>
        </w:rPr>
        <w:t xml:space="preserve">  </w:t>
      </w:r>
    </w:p>
    <w:p w14:paraId="73F800E8" w14:textId="77777777" w:rsidR="00155592" w:rsidRDefault="00155592" w:rsidP="006F52E3">
      <w:pPr>
        <w:shd w:val="clear" w:color="auto" w:fill="FFFFFF"/>
        <w:spacing w:after="0" w:line="276" w:lineRule="auto"/>
        <w:jc w:val="both"/>
        <w:rPr>
          <w:b/>
          <w:i/>
        </w:rPr>
      </w:pPr>
    </w:p>
    <w:p w14:paraId="06B8394E" w14:textId="2E100F16" w:rsidR="006C43F7" w:rsidRDefault="005B5CE2" w:rsidP="006C43F7">
      <w:pPr>
        <w:shd w:val="clear" w:color="auto" w:fill="FFFFFF"/>
        <w:spacing w:after="0" w:line="276" w:lineRule="auto"/>
        <w:jc w:val="both"/>
        <w:rPr>
          <w:b/>
          <w:i/>
        </w:rPr>
      </w:pPr>
      <w:r>
        <w:rPr>
          <w:b/>
          <w:i/>
        </w:rPr>
        <w:t xml:space="preserve">Observation 3: For equal feedback overhead, </w:t>
      </w:r>
      <w:r w:rsidR="006C43F7">
        <w:rPr>
          <w:b/>
          <w:i/>
        </w:rPr>
        <w:t>a performance</w:t>
      </w:r>
      <w:r w:rsidR="00155592">
        <w:rPr>
          <w:b/>
          <w:i/>
        </w:rPr>
        <w:t xml:space="preserve"> gain</w:t>
      </w:r>
      <w:r w:rsidR="006C43F7">
        <w:rPr>
          <w:b/>
          <w:i/>
        </w:rPr>
        <w:t xml:space="preserve"> is achieved by space-delay precoding over sub-band based precoding.</w:t>
      </w:r>
    </w:p>
    <w:p w14:paraId="6EFB372E" w14:textId="77777777" w:rsidR="00E201B9" w:rsidRDefault="00E201B9" w:rsidP="006F52E3">
      <w:pPr>
        <w:shd w:val="clear" w:color="auto" w:fill="FFFFFF"/>
        <w:spacing w:after="0" w:line="276" w:lineRule="auto"/>
        <w:jc w:val="both"/>
        <w:rPr>
          <w:b/>
          <w:i/>
        </w:rPr>
      </w:pPr>
    </w:p>
    <w:p w14:paraId="2DA57C20" w14:textId="00183E40" w:rsidR="00170E20" w:rsidRPr="007264FC" w:rsidRDefault="005F67E8" w:rsidP="00170E20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rFonts w:eastAsia="Times New Roman"/>
          <w:b/>
          <w:i/>
          <w:lang w:val="en-US" w:eastAsia="de-DE"/>
        </w:rPr>
      </w:pPr>
      <w:r>
        <w:rPr>
          <w:b/>
          <w:i/>
        </w:rPr>
        <w:t xml:space="preserve">Proposal </w:t>
      </w:r>
      <w:r w:rsidR="00A8374C">
        <w:rPr>
          <w:b/>
          <w:i/>
        </w:rPr>
        <w:t>4</w:t>
      </w:r>
      <w:r w:rsidR="005B5CE2">
        <w:rPr>
          <w:b/>
          <w:i/>
        </w:rPr>
        <w:t xml:space="preserve">: </w:t>
      </w:r>
      <w:r w:rsidR="00170E20" w:rsidRPr="007264FC">
        <w:rPr>
          <w:rFonts w:eastAsia="Times New Roman"/>
          <w:b/>
          <w:i/>
          <w:lang w:val="en-US" w:eastAsia="de-DE"/>
        </w:rPr>
        <w:t xml:space="preserve">Further study of performance gain and feedback reduction using delay-domain compression of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lang w:val="en-US"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lang w:val="en-US" w:eastAsia="de-DE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lang w:val="en-US" w:eastAsia="de-DE"/>
              </w:rPr>
              <m:t>2</m:t>
            </m:r>
          </m:sub>
        </m:sSub>
      </m:oMath>
      <w:r w:rsidR="007264FC">
        <w:rPr>
          <w:rFonts w:eastAsia="Times New Roman"/>
          <w:b/>
          <w:i/>
          <w:lang w:val="en-US" w:eastAsia="de-DE"/>
        </w:rPr>
        <w:t xml:space="preserve"> is required in</w:t>
      </w:r>
      <w:r w:rsidR="00170E20" w:rsidRPr="007264FC">
        <w:rPr>
          <w:rFonts w:eastAsia="Times New Roman"/>
          <w:b/>
          <w:i/>
          <w:lang w:val="en-US" w:eastAsia="de-DE"/>
        </w:rPr>
        <w:t xml:space="preserve"> NR.</w:t>
      </w:r>
    </w:p>
    <w:p w14:paraId="2AEBCAA0" w14:textId="4464A205" w:rsidR="005F67E8" w:rsidRPr="00170E20" w:rsidRDefault="005F67E8" w:rsidP="006F52E3">
      <w:pPr>
        <w:shd w:val="clear" w:color="auto" w:fill="FFFFFF"/>
        <w:spacing w:after="0" w:line="276" w:lineRule="auto"/>
        <w:jc w:val="both"/>
        <w:rPr>
          <w:rFonts w:eastAsia="Times New Roman"/>
          <w:lang w:val="en-US"/>
        </w:rPr>
      </w:pPr>
    </w:p>
    <w:p w14:paraId="32C92C4D" w14:textId="77777777" w:rsidR="0080185C" w:rsidRPr="00A8374C" w:rsidRDefault="0080185C" w:rsidP="006F52E3">
      <w:pPr>
        <w:pStyle w:val="Heading1"/>
        <w:numPr>
          <w:ilvl w:val="0"/>
          <w:numId w:val="1"/>
        </w:numPr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A8374C">
        <w:rPr>
          <w:rFonts w:cs="Arial"/>
          <w:lang w:val="en-US"/>
        </w:rPr>
        <w:t>Conclusions</w:t>
      </w:r>
    </w:p>
    <w:p w14:paraId="6AB54715" w14:textId="13133372" w:rsidR="00827240" w:rsidRDefault="00827240" w:rsidP="006F52E3">
      <w:pPr>
        <w:spacing w:line="276" w:lineRule="auto"/>
        <w:rPr>
          <w:lang w:eastAsia="zh-CN"/>
        </w:rPr>
      </w:pPr>
      <w:r>
        <w:rPr>
          <w:lang w:val="en-US" w:eastAsia="zh-CN"/>
        </w:rPr>
        <w:t>This</w:t>
      </w:r>
      <w:r>
        <w:rPr>
          <w:lang w:eastAsia="zh-CN"/>
        </w:rPr>
        <w:t xml:space="preserve"> contribution discusses a framework for codebook-based compression for </w:t>
      </w:r>
      <w:r w:rsidR="00A8374C">
        <w:rPr>
          <w:lang w:eastAsia="zh-CN"/>
        </w:rPr>
        <w:t xml:space="preserve">the Type-II CSI feedback scheme and </w:t>
      </w:r>
      <w:r w:rsidR="00573A79">
        <w:rPr>
          <w:lang w:eastAsia="zh-CN"/>
        </w:rPr>
        <w:t xml:space="preserve">present preliminary </w:t>
      </w:r>
      <w:r w:rsidR="00A8374C">
        <w:rPr>
          <w:lang w:eastAsia="zh-CN"/>
        </w:rPr>
        <w:t>simulations</w:t>
      </w:r>
      <w:r w:rsidR="00573A79">
        <w:rPr>
          <w:lang w:eastAsia="zh-CN"/>
        </w:rPr>
        <w:t xml:space="preserve"> results </w:t>
      </w:r>
      <w:r>
        <w:rPr>
          <w:lang w:eastAsia="zh-CN"/>
        </w:rPr>
        <w:t>with the following observations and proposals.</w:t>
      </w:r>
    </w:p>
    <w:p w14:paraId="62A94925" w14:textId="64BFD437" w:rsidR="00A7072B" w:rsidRDefault="00A7072B" w:rsidP="006C43F7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  <w:r w:rsidRPr="001870BB">
        <w:rPr>
          <w:rFonts w:eastAsia="Times New Roman"/>
          <w:b/>
          <w:i/>
          <w:color w:val="000000" w:themeColor="text1"/>
        </w:rPr>
        <w:t xml:space="preserve">Proposal 1: Study DFT-codebook-based representations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1870BB">
        <w:rPr>
          <w:rFonts w:eastAsia="Times New Roman"/>
          <w:i/>
          <w:color w:val="000000" w:themeColor="text1"/>
        </w:rPr>
        <w:t xml:space="preserve"> </w:t>
      </w:r>
      <w:r w:rsidRPr="001870BB">
        <w:rPr>
          <w:rFonts w:eastAsia="Times New Roman"/>
          <w:b/>
          <w:i/>
          <w:color w:val="000000" w:themeColor="text1"/>
        </w:rPr>
        <w:t>with either beam-dependent or beam-indep</w:t>
      </w:r>
      <w:r w:rsidR="006C43F7">
        <w:rPr>
          <w:rFonts w:eastAsia="Times New Roman"/>
          <w:b/>
          <w:i/>
          <w:color w:val="000000" w:themeColor="text1"/>
        </w:rPr>
        <w:t>endent transformation matrices.</w:t>
      </w:r>
    </w:p>
    <w:p w14:paraId="1459FA8F" w14:textId="77777777" w:rsidR="00155592" w:rsidRPr="006C43F7" w:rsidRDefault="00155592" w:rsidP="006C43F7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</w:p>
    <w:p w14:paraId="6B64D744" w14:textId="7FD88CBC" w:rsidR="00F038B3" w:rsidRDefault="0030684F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  <w:r w:rsidRPr="001870BB">
        <w:rPr>
          <w:rFonts w:eastAsia="Times New Roman"/>
          <w:b/>
          <w:i/>
          <w:color w:val="000000" w:themeColor="text1"/>
        </w:rPr>
        <w:t xml:space="preserve">Observation 1: </w:t>
      </w:r>
      <w:r w:rsidRPr="001870BB">
        <w:rPr>
          <w:rFonts w:eastAsia="Times New Roman"/>
          <w:b/>
          <w:i/>
          <w:noProof/>
          <w:color w:val="000000" w:themeColor="text1"/>
        </w:rPr>
        <w:t>T</w:t>
      </w:r>
      <w:r w:rsidRPr="001870BB">
        <w:rPr>
          <w:rFonts w:eastAsia="Times New Roman"/>
          <w:b/>
          <w:i/>
          <w:noProof/>
          <w:color w:val="000000" w:themeColor="text1"/>
          <w:szCs w:val="22"/>
        </w:rPr>
        <w:t>he delays associated with the delay-domain complex combining coefficients may not be given by integer values</w:t>
      </w:r>
      <w:r w:rsidRPr="001870BB">
        <w:rPr>
          <w:rFonts w:eastAsia="Times New Roman"/>
          <w:b/>
          <w:i/>
          <w:color w:val="000000" w:themeColor="text1"/>
          <w:szCs w:val="22"/>
        </w:rPr>
        <w:t>, and therefore they cannot be associate</w:t>
      </w:r>
      <w:r w:rsidR="001870BB">
        <w:rPr>
          <w:rFonts w:eastAsia="Times New Roman"/>
          <w:b/>
          <w:i/>
          <w:color w:val="000000" w:themeColor="text1"/>
          <w:szCs w:val="22"/>
        </w:rPr>
        <w:t>d with entries of a DFT-matrix.</w:t>
      </w:r>
    </w:p>
    <w:p w14:paraId="319BF47F" w14:textId="21FF316D" w:rsidR="00BA59B4" w:rsidRDefault="00BA59B4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</w:p>
    <w:p w14:paraId="3FD47C85" w14:textId="77777777" w:rsidR="00496299" w:rsidRPr="001870BB" w:rsidRDefault="00496299" w:rsidP="00496299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  <w:r w:rsidRPr="001870BB">
        <w:rPr>
          <w:rFonts w:eastAsia="Times New Roman"/>
          <w:b/>
          <w:i/>
          <w:color w:val="000000" w:themeColor="text1"/>
        </w:rPr>
        <w:t xml:space="preserve">Proposal 2: Consider oversampled DFT-matrices for the frequency-domain codebook for further study in NR.  </w:t>
      </w:r>
    </w:p>
    <w:p w14:paraId="5AEDFCDD" w14:textId="77777777" w:rsidR="00155592" w:rsidRDefault="00155592" w:rsidP="00496299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</w:p>
    <w:p w14:paraId="55B9CF0F" w14:textId="77777777" w:rsidR="00496299" w:rsidRPr="001870BB" w:rsidRDefault="00496299" w:rsidP="00496299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  <w:r w:rsidRPr="001870BB">
        <w:rPr>
          <w:rFonts w:eastAsia="Times New Roman"/>
          <w:b/>
          <w:i/>
          <w:color w:val="000000" w:themeColor="text1"/>
        </w:rPr>
        <w:t xml:space="preserve">Proposal 3: Different values for the first dimension of the frequency-domain codebook can </w:t>
      </w:r>
      <w:r w:rsidRPr="001870BB">
        <w:rPr>
          <w:rFonts w:eastAsia="Times New Roman"/>
          <w:b/>
          <w:i/>
          <w:noProof/>
          <w:color w:val="000000" w:themeColor="text1"/>
        </w:rPr>
        <w:t>be studied</w:t>
      </w:r>
      <w:r w:rsidRPr="001870BB">
        <w:rPr>
          <w:rFonts w:eastAsia="Times New Roman"/>
          <w:b/>
          <w:i/>
          <w:color w:val="000000" w:themeColor="text1"/>
        </w:rPr>
        <w:t xml:space="preserve"> in NR.</w:t>
      </w:r>
    </w:p>
    <w:p w14:paraId="4FAD4891" w14:textId="54495CFF" w:rsidR="00BA59B4" w:rsidRPr="001870BB" w:rsidRDefault="00BA59B4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  <w:szCs w:val="22"/>
        </w:rPr>
      </w:pPr>
    </w:p>
    <w:p w14:paraId="3A0B4025" w14:textId="77777777" w:rsidR="006C43F7" w:rsidRDefault="006C43F7" w:rsidP="006C43F7">
      <w:pPr>
        <w:shd w:val="clear" w:color="auto" w:fill="FFFFFF"/>
        <w:spacing w:after="0" w:line="276" w:lineRule="auto"/>
        <w:jc w:val="both"/>
        <w:rPr>
          <w:b/>
          <w:i/>
        </w:rPr>
      </w:pPr>
      <w:r>
        <w:rPr>
          <w:rFonts w:eastAsia="Times New Roman"/>
          <w:b/>
          <w:i/>
        </w:rPr>
        <w:t>Observation 2: For equal performance, a</w:t>
      </w:r>
      <w:r w:rsidRPr="005F734C">
        <w:rPr>
          <w:b/>
          <w:i/>
        </w:rPr>
        <w:t xml:space="preserve"> significant feedback</w:t>
      </w:r>
      <w:r>
        <w:rPr>
          <w:b/>
          <w:i/>
        </w:rPr>
        <w:t xml:space="preserve"> overhead reduction is</w:t>
      </w:r>
      <w:r w:rsidRPr="005F734C">
        <w:rPr>
          <w:b/>
          <w:i/>
        </w:rPr>
        <w:t xml:space="preserve"> </w:t>
      </w:r>
      <w:r>
        <w:rPr>
          <w:b/>
          <w:i/>
        </w:rPr>
        <w:t>achieved</w:t>
      </w:r>
      <w:r w:rsidRPr="005F734C">
        <w:rPr>
          <w:b/>
          <w:i/>
        </w:rPr>
        <w:t xml:space="preserve"> </w:t>
      </w:r>
      <w:r>
        <w:rPr>
          <w:b/>
          <w:i/>
        </w:rPr>
        <w:t xml:space="preserve">by </w:t>
      </w:r>
      <w:r w:rsidRPr="005F734C">
        <w:rPr>
          <w:b/>
          <w:i/>
        </w:rPr>
        <w:t>space-delay precod</w:t>
      </w:r>
      <w:r>
        <w:rPr>
          <w:b/>
          <w:i/>
        </w:rPr>
        <w:t>ing</w:t>
      </w:r>
      <w:r w:rsidRPr="005F734C">
        <w:rPr>
          <w:b/>
          <w:i/>
        </w:rPr>
        <w:t xml:space="preserve"> </w:t>
      </w:r>
      <w:r>
        <w:rPr>
          <w:b/>
          <w:i/>
        </w:rPr>
        <w:t>over</w:t>
      </w:r>
      <w:r w:rsidRPr="005F734C">
        <w:rPr>
          <w:b/>
          <w:i/>
        </w:rPr>
        <w:t xml:space="preserve"> sub-band based precod</w:t>
      </w:r>
      <w:r>
        <w:rPr>
          <w:b/>
          <w:i/>
        </w:rPr>
        <w:t>ing.</w:t>
      </w:r>
      <w:r w:rsidRPr="005F734C">
        <w:rPr>
          <w:b/>
          <w:i/>
        </w:rPr>
        <w:t xml:space="preserve">  </w:t>
      </w:r>
    </w:p>
    <w:p w14:paraId="6D5B44AD" w14:textId="77777777" w:rsidR="00155592" w:rsidRDefault="006C43F7" w:rsidP="00155592">
      <w:pPr>
        <w:shd w:val="clear" w:color="auto" w:fill="FFFFFF"/>
        <w:spacing w:after="0" w:line="276" w:lineRule="auto"/>
        <w:jc w:val="both"/>
        <w:rPr>
          <w:b/>
          <w:i/>
        </w:rPr>
      </w:pPr>
      <w:r>
        <w:rPr>
          <w:b/>
          <w:i/>
        </w:rPr>
        <w:lastRenderedPageBreak/>
        <w:t xml:space="preserve">Observation 3: For equal feedback overhead, </w:t>
      </w:r>
      <w:r w:rsidR="00155592">
        <w:rPr>
          <w:b/>
          <w:i/>
        </w:rPr>
        <w:t>a performance gain is achieved by space-delay precoding over sub-band based precoding.</w:t>
      </w:r>
    </w:p>
    <w:p w14:paraId="0E9E97E5" w14:textId="770A9DF9" w:rsidR="00F038B3" w:rsidRPr="00012784" w:rsidRDefault="00F038B3" w:rsidP="006F52E3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</w:rPr>
      </w:pPr>
    </w:p>
    <w:p w14:paraId="3D2BE724" w14:textId="4DB7B86A" w:rsidR="00A8374C" w:rsidRDefault="00BC0EA3" w:rsidP="00A8374C">
      <w:pPr>
        <w:shd w:val="clear" w:color="auto" w:fill="FFFFFF"/>
        <w:spacing w:after="0" w:line="276" w:lineRule="auto"/>
        <w:jc w:val="both"/>
        <w:rPr>
          <w:rFonts w:eastAsia="Times New Roman"/>
        </w:rPr>
      </w:pPr>
      <w:r w:rsidRPr="00BC0EA3">
        <w:rPr>
          <w:rFonts w:eastAsia="Times New Roman"/>
          <w:b/>
          <w:i/>
          <w:color w:val="000000" w:themeColor="text1"/>
        </w:rPr>
        <w:t>Proposal 4:</w:t>
      </w:r>
      <w:r w:rsidR="00A8374C" w:rsidRPr="00A8374C">
        <w:rPr>
          <w:b/>
          <w:i/>
        </w:rPr>
        <w:t xml:space="preserve"> </w:t>
      </w:r>
      <w:r w:rsidR="007264FC" w:rsidRPr="007264FC">
        <w:rPr>
          <w:rFonts w:eastAsia="Times New Roman"/>
          <w:b/>
          <w:i/>
          <w:lang w:val="en-US" w:eastAsia="de-DE"/>
        </w:rPr>
        <w:t xml:space="preserve">Further study of performance gain and feedback reduction using delay-domain compression of </w:t>
      </w:r>
      <m:oMath>
        <m:sSub>
          <m:sSubPr>
            <m:ctrlPr>
              <w:rPr>
                <w:rFonts w:ascii="Cambria Math" w:eastAsia="Times New Roman" w:hAnsi="Cambria Math"/>
                <w:b/>
                <w:i/>
                <w:lang w:val="en-US" w:eastAsia="de-D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lang w:val="en-US" w:eastAsia="de-DE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lang w:val="en-US" w:eastAsia="de-DE"/>
              </w:rPr>
              <m:t>2</m:t>
            </m:r>
          </m:sub>
        </m:sSub>
      </m:oMath>
      <w:r w:rsidR="007264FC">
        <w:rPr>
          <w:rFonts w:eastAsia="Times New Roman"/>
          <w:b/>
          <w:i/>
          <w:lang w:val="en-US" w:eastAsia="de-DE"/>
        </w:rPr>
        <w:t xml:space="preserve"> is required in</w:t>
      </w:r>
      <w:r w:rsidR="007264FC" w:rsidRPr="007264FC">
        <w:rPr>
          <w:rFonts w:eastAsia="Times New Roman"/>
          <w:b/>
          <w:i/>
          <w:lang w:val="en-US" w:eastAsia="de-DE"/>
        </w:rPr>
        <w:t xml:space="preserve"> NR.</w:t>
      </w:r>
    </w:p>
    <w:p w14:paraId="02DC64D0" w14:textId="01A88D01" w:rsidR="00BC0EA3" w:rsidRPr="00BC0EA3" w:rsidRDefault="00BC0EA3" w:rsidP="005F67E8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000000" w:themeColor="text1"/>
        </w:rPr>
      </w:pPr>
    </w:p>
    <w:p w14:paraId="37C7DB90" w14:textId="77777777" w:rsidR="005F67E8" w:rsidRPr="005F67E8" w:rsidRDefault="005F67E8" w:rsidP="005F67E8">
      <w:pPr>
        <w:shd w:val="clear" w:color="auto" w:fill="FFFFFF"/>
        <w:spacing w:after="0" w:line="276" w:lineRule="auto"/>
        <w:jc w:val="both"/>
        <w:rPr>
          <w:rFonts w:eastAsia="Times New Roman"/>
          <w:b/>
          <w:i/>
          <w:color w:val="FF0000"/>
        </w:rPr>
      </w:pPr>
    </w:p>
    <w:p w14:paraId="4FBF1BA2" w14:textId="77777777" w:rsidR="0080185C" w:rsidRDefault="0080185C" w:rsidP="006F52E3">
      <w:pPr>
        <w:pStyle w:val="Heading1"/>
        <w:pBdr>
          <w:top w:val="single" w:sz="12" w:space="4" w:color="auto"/>
        </w:pBdr>
        <w:spacing w:line="276" w:lineRule="auto"/>
        <w:ind w:left="0" w:firstLine="0"/>
      </w:pPr>
      <w:r w:rsidRPr="00C75F69">
        <w:rPr>
          <w:rFonts w:cs="Arial"/>
          <w:lang w:val="en-US"/>
        </w:rPr>
        <w:t>References</w:t>
      </w:r>
    </w:p>
    <w:p w14:paraId="7193FAED" w14:textId="77777777" w:rsidR="00B3487A" w:rsidRPr="00B3487A" w:rsidRDefault="00B3487A" w:rsidP="006F52E3">
      <w:pPr>
        <w:pStyle w:val="References"/>
        <w:spacing w:line="276" w:lineRule="auto"/>
        <w:rPr>
          <w:szCs w:val="20"/>
        </w:rPr>
      </w:pPr>
      <w:bookmarkStart w:id="1" w:name="_Ref167612875"/>
      <w:bookmarkStart w:id="2" w:name="_Ref167612671"/>
      <w:r w:rsidRPr="00B3487A">
        <w:rPr>
          <w:szCs w:val="20"/>
        </w:rPr>
        <w:t>“RAN1 Chairman’s Notes”, Spokane, USA, April 3-7, 2017.</w:t>
      </w:r>
    </w:p>
    <w:bookmarkEnd w:id="1"/>
    <w:bookmarkEnd w:id="2"/>
    <w:p w14:paraId="550E5793" w14:textId="4C86FBE4" w:rsidR="00B3487A" w:rsidRDefault="00B3487A" w:rsidP="006F52E3">
      <w:pPr>
        <w:pStyle w:val="References"/>
        <w:spacing w:line="276" w:lineRule="auto"/>
        <w:rPr>
          <w:szCs w:val="20"/>
        </w:rPr>
      </w:pPr>
      <w:r w:rsidRPr="00B3487A">
        <w:rPr>
          <w:szCs w:val="20"/>
        </w:rPr>
        <w:t>“RAN1 Chairman’s Notes”, Hangzhou, China, May 15-19, 2017.</w:t>
      </w:r>
    </w:p>
    <w:p w14:paraId="7C93C85F" w14:textId="77777777" w:rsidR="0041106C" w:rsidRDefault="0041106C" w:rsidP="0041106C">
      <w:pPr>
        <w:pStyle w:val="References"/>
        <w:spacing w:line="276" w:lineRule="auto"/>
        <w:rPr>
          <w:szCs w:val="20"/>
        </w:rPr>
      </w:pPr>
      <w:r>
        <w:rPr>
          <w:szCs w:val="20"/>
        </w:rPr>
        <w:t>NTT DOCOMO, “On Type II codebook enhancement,” R1-1802473, Athens, Greece, Feb. 26 – March 2, 2018.</w:t>
      </w:r>
    </w:p>
    <w:p w14:paraId="286C8CB2" w14:textId="4B922BD6" w:rsidR="00D67A1D" w:rsidRPr="00D67A1D" w:rsidRDefault="00D67A1D" w:rsidP="00D67A1D">
      <w:pPr>
        <w:pStyle w:val="References"/>
        <w:spacing w:line="276" w:lineRule="auto"/>
        <w:rPr>
          <w:szCs w:val="20"/>
        </w:rPr>
      </w:pPr>
      <w:r w:rsidRPr="00D67A1D">
        <w:rPr>
          <w:szCs w:val="20"/>
        </w:rPr>
        <w:t>Huawei, HiSilicon, “Further enhancements on CSI reporting and codebook design</w:t>
      </w:r>
      <w:r w:rsidRPr="00D67A1D">
        <w:rPr>
          <w:noProof/>
          <w:szCs w:val="20"/>
        </w:rPr>
        <w:t>,”</w:t>
      </w:r>
      <w:r w:rsidRPr="00D67A1D">
        <w:rPr>
          <w:szCs w:val="20"/>
        </w:rPr>
        <w:t xml:space="preserve"> R1-1802074, Athens, Greece, Feb. 26 – Mar</w:t>
      </w:r>
      <w:r w:rsidR="0041106C">
        <w:rPr>
          <w:szCs w:val="20"/>
        </w:rPr>
        <w:t>ch</w:t>
      </w:r>
      <w:r w:rsidRPr="00D67A1D">
        <w:rPr>
          <w:szCs w:val="20"/>
        </w:rPr>
        <w:t xml:space="preserve"> 2, 2018. </w:t>
      </w:r>
    </w:p>
    <w:p w14:paraId="42F20572" w14:textId="4900B8C6" w:rsidR="00D67A1D" w:rsidRPr="00DD084E" w:rsidRDefault="00D67A1D" w:rsidP="00D67A1D">
      <w:pPr>
        <w:pStyle w:val="References"/>
        <w:spacing w:line="276" w:lineRule="auto"/>
        <w:rPr>
          <w:szCs w:val="20"/>
        </w:rPr>
      </w:pPr>
      <w:r w:rsidRPr="00DD084E">
        <w:rPr>
          <w:szCs w:val="20"/>
        </w:rPr>
        <w:t>Ericsson, “Frequency parameterization for Type II CSI feedback</w:t>
      </w:r>
      <w:r w:rsidRPr="00DD084E">
        <w:rPr>
          <w:noProof/>
          <w:szCs w:val="20"/>
        </w:rPr>
        <w:t>,”</w:t>
      </w:r>
      <w:r w:rsidR="00DD084E" w:rsidRPr="00DD084E">
        <w:rPr>
          <w:szCs w:val="20"/>
        </w:rPr>
        <w:t xml:space="preserve"> R1-1802748</w:t>
      </w:r>
      <w:r w:rsidRPr="00DD084E">
        <w:rPr>
          <w:szCs w:val="20"/>
        </w:rPr>
        <w:t xml:space="preserve">, </w:t>
      </w:r>
      <w:r w:rsidR="00DD084E" w:rsidRPr="00DD084E">
        <w:rPr>
          <w:szCs w:val="20"/>
        </w:rPr>
        <w:t>Athens, Greece, Feb. 26 – March 2</w:t>
      </w:r>
      <w:r w:rsidRPr="00DD084E">
        <w:rPr>
          <w:szCs w:val="20"/>
        </w:rPr>
        <w:t>,</w:t>
      </w:r>
      <w:r w:rsidR="00DD084E" w:rsidRPr="00DD084E">
        <w:rPr>
          <w:szCs w:val="20"/>
        </w:rPr>
        <w:t xml:space="preserve"> 2018</w:t>
      </w:r>
      <w:r w:rsidRPr="00DD084E">
        <w:rPr>
          <w:szCs w:val="20"/>
        </w:rPr>
        <w:t>.</w:t>
      </w:r>
    </w:p>
    <w:p w14:paraId="20FB79C9" w14:textId="19868638" w:rsidR="0041106C" w:rsidRPr="00D67A1D" w:rsidRDefault="0041106C" w:rsidP="00D67A1D">
      <w:pPr>
        <w:pStyle w:val="References"/>
        <w:spacing w:line="276" w:lineRule="auto"/>
        <w:rPr>
          <w:szCs w:val="20"/>
        </w:rPr>
      </w:pPr>
      <w:r>
        <w:rPr>
          <w:szCs w:val="20"/>
        </w:rPr>
        <w:t xml:space="preserve">LG Electronics, “Discussion on overhead reduction for Type II codebook,” R1-1713144, Prague, Czech Republic, </w:t>
      </w:r>
      <w:r w:rsidR="000601D8">
        <w:rPr>
          <w:szCs w:val="20"/>
        </w:rPr>
        <w:t>August 21 – 25, 2017</w:t>
      </w:r>
      <w:r w:rsidR="00C73B28">
        <w:rPr>
          <w:szCs w:val="20"/>
        </w:rPr>
        <w:t xml:space="preserve">. </w:t>
      </w:r>
    </w:p>
    <w:p w14:paraId="28AC486A" w14:textId="5C557FD4" w:rsidR="00D67A1D" w:rsidRPr="00C422F7" w:rsidRDefault="00D67A1D" w:rsidP="00C422F7">
      <w:pPr>
        <w:pStyle w:val="References"/>
        <w:spacing w:line="276" w:lineRule="auto"/>
        <w:rPr>
          <w:szCs w:val="20"/>
        </w:rPr>
      </w:pPr>
      <w:r w:rsidRPr="00D67A1D">
        <w:rPr>
          <w:szCs w:val="20"/>
        </w:rPr>
        <w:t>Fraunhofer IIS</w:t>
      </w:r>
      <w:r w:rsidR="00C422F7">
        <w:rPr>
          <w:szCs w:val="20"/>
        </w:rPr>
        <w:t>, Fraunhofer HHI</w:t>
      </w:r>
      <w:r w:rsidRPr="00D67A1D">
        <w:rPr>
          <w:szCs w:val="20"/>
        </w:rPr>
        <w:t>, “Space-delay versus sub-band precoding for mmWave channels</w:t>
      </w:r>
      <w:r w:rsidRPr="00D67A1D">
        <w:rPr>
          <w:noProof/>
          <w:szCs w:val="20"/>
        </w:rPr>
        <w:t>,”</w:t>
      </w:r>
      <w:r w:rsidRPr="00D67A1D">
        <w:rPr>
          <w:szCs w:val="20"/>
        </w:rPr>
        <w:t xml:space="preserve"> R1-1800597, Vancouver,</w:t>
      </w:r>
      <w:r w:rsidR="00C422F7">
        <w:rPr>
          <w:szCs w:val="20"/>
        </w:rPr>
        <w:t xml:space="preserve"> </w:t>
      </w:r>
      <w:r w:rsidRPr="00C422F7">
        <w:rPr>
          <w:szCs w:val="20"/>
        </w:rPr>
        <w:t>Canada, Jan. 22-26, 2018.</w:t>
      </w:r>
    </w:p>
    <w:p w14:paraId="6E900BE8" w14:textId="4DB2D290" w:rsidR="002C1DD8" w:rsidRDefault="002C1DD8" w:rsidP="00D67A1D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  <w:r>
        <w:rPr>
          <w:szCs w:val="20"/>
        </w:rPr>
        <w:t xml:space="preserve"> </w:t>
      </w:r>
    </w:p>
    <w:p w14:paraId="648698B4" w14:textId="1A9D1220" w:rsidR="000F4FD1" w:rsidRDefault="000F4FD1" w:rsidP="00D67A1D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</w:p>
    <w:p w14:paraId="1488FBCE" w14:textId="22A060C2" w:rsidR="000F4FD1" w:rsidRDefault="000F4FD1" w:rsidP="000F4FD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Simulation parameters and setup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9"/>
        <w:gridCol w:w="4124"/>
      </w:tblGrid>
      <w:tr w:rsidR="00911BF8" w14:paraId="78BC9CCF" w14:textId="77777777" w:rsidTr="00A650B6">
        <w:trPr>
          <w:trHeight w:val="830"/>
          <w:jc w:val="center"/>
        </w:trPr>
        <w:tc>
          <w:tcPr>
            <w:tcW w:w="3509" w:type="dxa"/>
          </w:tcPr>
          <w:p w14:paraId="55BFFB23" w14:textId="77777777" w:rsidR="00911BF8" w:rsidRDefault="00911BF8" w:rsidP="000F4FD1">
            <w:pPr>
              <w:tabs>
                <w:tab w:val="left" w:pos="2029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Simulation parameters </w:t>
            </w:r>
          </w:p>
        </w:tc>
        <w:tc>
          <w:tcPr>
            <w:tcW w:w="4124" w:type="dxa"/>
          </w:tcPr>
          <w:p w14:paraId="41125E68" w14:textId="16B9F09D" w:rsidR="00911BF8" w:rsidRDefault="00911BF8" w:rsidP="00911BF8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Values </w:t>
            </w:r>
          </w:p>
        </w:tc>
      </w:tr>
      <w:tr w:rsidR="000F4FD1" w14:paraId="46064C6F" w14:textId="77777777" w:rsidTr="000F4FD1">
        <w:trPr>
          <w:jc w:val="center"/>
        </w:trPr>
        <w:tc>
          <w:tcPr>
            <w:tcW w:w="3509" w:type="dxa"/>
          </w:tcPr>
          <w:p w14:paraId="56BDE5A8" w14:textId="77777777" w:rsidR="000F4FD1" w:rsidRDefault="000F4FD1" w:rsidP="000F4FD1">
            <w:pPr>
              <w:tabs>
                <w:tab w:val="left" w:pos="2029"/>
              </w:tabs>
              <w:rPr>
                <w:lang w:val="en-US"/>
              </w:rPr>
            </w:pPr>
            <w:r>
              <w:rPr>
                <w:lang w:val="en-US"/>
              </w:rPr>
              <w:t xml:space="preserve">Channel setup </w:t>
            </w:r>
          </w:p>
        </w:tc>
        <w:tc>
          <w:tcPr>
            <w:tcW w:w="4124" w:type="dxa"/>
          </w:tcPr>
          <w:p w14:paraId="4E203E63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Single user MISO</w:t>
            </w:r>
          </w:p>
        </w:tc>
      </w:tr>
      <w:tr w:rsidR="000F4FD1" w14:paraId="7325D5EE" w14:textId="77777777" w:rsidTr="000F4FD1">
        <w:trPr>
          <w:jc w:val="center"/>
        </w:trPr>
        <w:tc>
          <w:tcPr>
            <w:tcW w:w="3509" w:type="dxa"/>
          </w:tcPr>
          <w:p w14:paraId="7AAF0A73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>Channel scenario</w:t>
            </w:r>
          </w:p>
        </w:tc>
        <w:tc>
          <w:tcPr>
            <w:tcW w:w="4124" w:type="dxa"/>
          </w:tcPr>
          <w:p w14:paraId="2830CC99" w14:textId="746BA52F" w:rsidR="000F4FD1" w:rsidRDefault="0014304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3GPP Urban Macro </w:t>
            </w:r>
            <w:r w:rsidR="000F4FD1">
              <w:rPr>
                <w:lang w:val="en-US"/>
              </w:rPr>
              <w:t>NLOS</w:t>
            </w:r>
          </w:p>
        </w:tc>
      </w:tr>
      <w:tr w:rsidR="000F4FD1" w14:paraId="5FF867F4" w14:textId="77777777" w:rsidTr="000F4FD1">
        <w:trPr>
          <w:jc w:val="center"/>
        </w:trPr>
        <w:tc>
          <w:tcPr>
            <w:tcW w:w="3509" w:type="dxa"/>
          </w:tcPr>
          <w:p w14:paraId="0D8D0F30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Carrier Frequency </w:t>
            </w:r>
          </w:p>
        </w:tc>
        <w:tc>
          <w:tcPr>
            <w:tcW w:w="4124" w:type="dxa"/>
          </w:tcPr>
          <w:p w14:paraId="778C6480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2.6GHz</w:t>
            </w:r>
          </w:p>
        </w:tc>
      </w:tr>
      <w:tr w:rsidR="000F4FD1" w14:paraId="49A16482" w14:textId="77777777" w:rsidTr="000F4FD1">
        <w:trPr>
          <w:jc w:val="center"/>
        </w:trPr>
        <w:tc>
          <w:tcPr>
            <w:tcW w:w="3509" w:type="dxa"/>
          </w:tcPr>
          <w:p w14:paraId="57B8D361" w14:textId="2AFDEDA7" w:rsidR="000F4FD1" w:rsidRDefault="00A650B6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System </w:t>
            </w:r>
            <w:r w:rsidR="000F4FD1">
              <w:rPr>
                <w:lang w:val="en-US"/>
              </w:rPr>
              <w:t>Bandwidth</w:t>
            </w:r>
          </w:p>
        </w:tc>
        <w:tc>
          <w:tcPr>
            <w:tcW w:w="4124" w:type="dxa"/>
          </w:tcPr>
          <w:p w14:paraId="689224F9" w14:textId="05BDB185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10MHz</w:t>
            </w:r>
          </w:p>
        </w:tc>
      </w:tr>
      <w:tr w:rsidR="000F4FD1" w14:paraId="39AA9A7F" w14:textId="77777777" w:rsidTr="000F4FD1">
        <w:trPr>
          <w:jc w:val="center"/>
        </w:trPr>
        <w:tc>
          <w:tcPr>
            <w:tcW w:w="3509" w:type="dxa"/>
          </w:tcPr>
          <w:p w14:paraId="4F99B953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subcarriers </w:t>
            </w:r>
            <w:r w:rsidRPr="00480AEB">
              <w:rPr>
                <w:lang w:val="en-US"/>
              </w:rPr>
              <w:t>(</w:t>
            </w:r>
            <w:r w:rsidRPr="00480AEB">
              <w:rPr>
                <w:i/>
                <w:lang w:val="en-US"/>
              </w:rPr>
              <w:t>Q</w:t>
            </w:r>
            <w:r w:rsidRPr="00480AEB">
              <w:rPr>
                <w:lang w:val="en-US"/>
              </w:rPr>
              <w:t>)</w:t>
            </w:r>
          </w:p>
        </w:tc>
        <w:tc>
          <w:tcPr>
            <w:tcW w:w="4124" w:type="dxa"/>
          </w:tcPr>
          <w:p w14:paraId="576786C8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1024</w:t>
            </w:r>
          </w:p>
        </w:tc>
      </w:tr>
      <w:tr w:rsidR="000F4FD1" w14:paraId="277735E7" w14:textId="77777777" w:rsidTr="000F4FD1">
        <w:trPr>
          <w:jc w:val="center"/>
        </w:trPr>
        <w:tc>
          <w:tcPr>
            <w:tcW w:w="3509" w:type="dxa"/>
          </w:tcPr>
          <w:p w14:paraId="22C0AD20" w14:textId="661D4A30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PRBs </w:t>
            </w:r>
          </w:p>
        </w:tc>
        <w:tc>
          <w:tcPr>
            <w:tcW w:w="4124" w:type="dxa"/>
          </w:tcPr>
          <w:p w14:paraId="54BE66B6" w14:textId="3092C9A6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0F4FD1" w14:paraId="0002AC72" w14:textId="77777777" w:rsidTr="000F4FD1">
        <w:trPr>
          <w:jc w:val="center"/>
        </w:trPr>
        <w:tc>
          <w:tcPr>
            <w:tcW w:w="3509" w:type="dxa"/>
          </w:tcPr>
          <w:p w14:paraId="60F5CCEE" w14:textId="0A615EDD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subbands </w:t>
            </w:r>
            <m:oMath>
              <m:r>
                <w:rPr>
                  <w:rFonts w:ascii="Cambria Math" w:hAnsi="Cambria Math"/>
                  <w:lang w:val="en-US"/>
                </w:rPr>
                <m:t>(S)</m:t>
              </m:r>
            </m:oMath>
          </w:p>
        </w:tc>
        <w:tc>
          <w:tcPr>
            <w:tcW w:w="4124" w:type="dxa"/>
          </w:tcPr>
          <w:p w14:paraId="50C3BBA6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F4FD1" w14:paraId="4A1407DB" w14:textId="77777777" w:rsidTr="000F4FD1">
        <w:trPr>
          <w:jc w:val="center"/>
        </w:trPr>
        <w:tc>
          <w:tcPr>
            <w:tcW w:w="3509" w:type="dxa"/>
          </w:tcPr>
          <w:p w14:paraId="44A4DFF3" w14:textId="502AA92E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Number of delays </w:t>
            </w:r>
            <m:oMath>
              <m:r>
                <w:rPr>
                  <w:rFonts w:ascii="Cambria Math" w:hAnsi="Cambria Math"/>
                  <w:lang w:val="en-US"/>
                </w:rPr>
                <m:t>(L)</m:t>
              </m:r>
            </m:oMath>
          </w:p>
        </w:tc>
        <w:tc>
          <w:tcPr>
            <w:tcW w:w="4124" w:type="dxa"/>
          </w:tcPr>
          <w:p w14:paraId="04304001" w14:textId="2DB14CE2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1-5</w:t>
            </w:r>
          </w:p>
        </w:tc>
      </w:tr>
      <w:tr w:rsidR="000F4FD1" w:rsidRPr="005574A0" w14:paraId="242410A9" w14:textId="77777777" w:rsidTr="000F4FD1">
        <w:trPr>
          <w:jc w:val="center"/>
        </w:trPr>
        <w:tc>
          <w:tcPr>
            <w:tcW w:w="3509" w:type="dxa"/>
          </w:tcPr>
          <w:p w14:paraId="09660CC2" w14:textId="767FCFD9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>BS array antenna</w:t>
            </w:r>
            <w:r w:rsidR="00143041">
              <w:rPr>
                <w:lang w:val="en-US"/>
              </w:rPr>
              <w:t xml:space="preserve"> configuration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(M,N,P)</m:t>
              </m:r>
            </m:oMath>
          </w:p>
        </w:tc>
        <w:tc>
          <w:tcPr>
            <w:tcW w:w="4124" w:type="dxa"/>
          </w:tcPr>
          <w:p w14:paraId="2B04365F" w14:textId="64D378FF" w:rsidR="000F4FD1" w:rsidRPr="007E3559" w:rsidRDefault="00573A79" w:rsidP="000F4FD1">
            <w:pPr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M = 4; N= 4; P = 2</m:t>
                </m:r>
              </m:oMath>
            </m:oMathPara>
          </w:p>
          <w:p w14:paraId="65C6F6D4" w14:textId="1CF800C1" w:rsidR="00143041" w:rsidRDefault="0014304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X-pol (+/-90)</w:t>
            </w:r>
          </w:p>
          <w:p w14:paraId="5BA6AC12" w14:textId="6A2FFBA3" w:rsidR="00143041" w:rsidRDefault="00143041" w:rsidP="000F4FD1">
            <w:pPr>
              <w:jc w:val="center"/>
              <w:rPr>
                <w:rFonts w:ascii="Arial" w:hAnsi="Arial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(dH, dV) = (0.5λ, 0.5λ)</m:t>
                </m:r>
              </m:oMath>
            </m:oMathPara>
          </w:p>
        </w:tc>
      </w:tr>
      <w:tr w:rsidR="000F4FD1" w14:paraId="1AAD96F5" w14:textId="77777777" w:rsidTr="000F4FD1">
        <w:trPr>
          <w:jc w:val="center"/>
        </w:trPr>
        <w:tc>
          <w:tcPr>
            <w:tcW w:w="3509" w:type="dxa"/>
          </w:tcPr>
          <w:p w14:paraId="169FE496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UE antenna </w:t>
            </w:r>
          </w:p>
        </w:tc>
        <w:tc>
          <w:tcPr>
            <w:tcW w:w="4124" w:type="dxa"/>
          </w:tcPr>
          <w:p w14:paraId="0F110305" w14:textId="77777777" w:rsidR="000F4FD1" w:rsidRDefault="000F4FD1" w:rsidP="000F4FD1">
            <w:pPr>
              <w:jc w:val="center"/>
              <w:rPr>
                <w:lang w:val="en-US"/>
              </w:rPr>
            </w:pPr>
            <w:r w:rsidRPr="00850EF2">
              <w:t xml:space="preserve">Isotropic antenna </w:t>
            </w:r>
            <w:r>
              <w:t>with vertical polarization</w:t>
            </w:r>
          </w:p>
        </w:tc>
      </w:tr>
      <w:tr w:rsidR="000F4FD1" w14:paraId="1CCD7956" w14:textId="77777777" w:rsidTr="000F4FD1">
        <w:trPr>
          <w:jc w:val="center"/>
        </w:trPr>
        <w:tc>
          <w:tcPr>
            <w:tcW w:w="3509" w:type="dxa"/>
          </w:tcPr>
          <w:p w14:paraId="1084FB11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Cell radius </w:t>
            </w:r>
          </w:p>
        </w:tc>
        <w:tc>
          <w:tcPr>
            <w:tcW w:w="4124" w:type="dxa"/>
          </w:tcPr>
          <w:p w14:paraId="58A06848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250m</w:t>
            </w:r>
          </w:p>
        </w:tc>
      </w:tr>
      <w:tr w:rsidR="000F4FD1" w14:paraId="24CC53AD" w14:textId="77777777" w:rsidTr="000F4FD1">
        <w:trPr>
          <w:jc w:val="center"/>
        </w:trPr>
        <w:tc>
          <w:tcPr>
            <w:tcW w:w="3509" w:type="dxa"/>
          </w:tcPr>
          <w:p w14:paraId="11B4904B" w14:textId="77777777" w:rsidR="000F4FD1" w:rsidRDefault="000F4FD1" w:rsidP="000F4FD1">
            <w:pPr>
              <w:rPr>
                <w:lang w:val="en-US"/>
              </w:rPr>
            </w:pPr>
            <w:r>
              <w:rPr>
                <w:lang w:val="en-US"/>
              </w:rPr>
              <w:t xml:space="preserve">Base station height </w:t>
            </w:r>
          </w:p>
        </w:tc>
        <w:tc>
          <w:tcPr>
            <w:tcW w:w="4124" w:type="dxa"/>
          </w:tcPr>
          <w:p w14:paraId="57103BA0" w14:textId="77777777" w:rsidR="000F4FD1" w:rsidRDefault="000F4FD1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25m </w:t>
            </w:r>
          </w:p>
        </w:tc>
      </w:tr>
      <w:tr w:rsidR="008867A3" w14:paraId="09D89628" w14:textId="77777777" w:rsidTr="000F4FD1">
        <w:trPr>
          <w:jc w:val="center"/>
        </w:trPr>
        <w:tc>
          <w:tcPr>
            <w:tcW w:w="3509" w:type="dxa"/>
          </w:tcPr>
          <w:p w14:paraId="4263CC1F" w14:textId="15C526A4" w:rsidR="008867A3" w:rsidRDefault="004B3F87" w:rsidP="000F4FD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UE speed </w:t>
            </w:r>
          </w:p>
        </w:tc>
        <w:tc>
          <w:tcPr>
            <w:tcW w:w="4124" w:type="dxa"/>
          </w:tcPr>
          <w:p w14:paraId="099A91D0" w14:textId="7096242A" w:rsidR="008867A3" w:rsidRDefault="004B3F87" w:rsidP="000F4FD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3Km/h</w:t>
            </w:r>
          </w:p>
        </w:tc>
      </w:tr>
    </w:tbl>
    <w:p w14:paraId="16CD1C36" w14:textId="77777777" w:rsidR="000F4FD1" w:rsidRPr="00A40FD5" w:rsidRDefault="000F4FD1" w:rsidP="00D67A1D">
      <w:pPr>
        <w:pStyle w:val="References"/>
        <w:numPr>
          <w:ilvl w:val="0"/>
          <w:numId w:val="0"/>
        </w:numPr>
        <w:spacing w:line="276" w:lineRule="auto"/>
        <w:rPr>
          <w:szCs w:val="20"/>
        </w:rPr>
      </w:pPr>
    </w:p>
    <w:sectPr w:rsidR="000F4FD1" w:rsidRPr="00A40F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05152"/>
    <w:multiLevelType w:val="hybridMultilevel"/>
    <w:tmpl w:val="E6F60336"/>
    <w:lvl w:ilvl="0" w:tplc="534853C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exMDE3NzM1M7SwMDZT0lEKTi0uzszPAykwNKwFAMAlZBItAAAA"/>
  </w:docVars>
  <w:rsids>
    <w:rsidRoot w:val="0080185C"/>
    <w:rsid w:val="00012784"/>
    <w:rsid w:val="000238A4"/>
    <w:rsid w:val="00026BE8"/>
    <w:rsid w:val="00027C1D"/>
    <w:rsid w:val="00027D49"/>
    <w:rsid w:val="00046220"/>
    <w:rsid w:val="000601D8"/>
    <w:rsid w:val="00087366"/>
    <w:rsid w:val="00093723"/>
    <w:rsid w:val="0009725A"/>
    <w:rsid w:val="000A0ECC"/>
    <w:rsid w:val="000B3E11"/>
    <w:rsid w:val="000D05FA"/>
    <w:rsid w:val="000D2DF8"/>
    <w:rsid w:val="000F4FD1"/>
    <w:rsid w:val="000F77B2"/>
    <w:rsid w:val="001130C7"/>
    <w:rsid w:val="00114182"/>
    <w:rsid w:val="001212F1"/>
    <w:rsid w:val="001276E7"/>
    <w:rsid w:val="0013663A"/>
    <w:rsid w:val="00143041"/>
    <w:rsid w:val="001456CB"/>
    <w:rsid w:val="00155534"/>
    <w:rsid w:val="00155592"/>
    <w:rsid w:val="001639EC"/>
    <w:rsid w:val="00170763"/>
    <w:rsid w:val="00170E20"/>
    <w:rsid w:val="001814EA"/>
    <w:rsid w:val="001870BB"/>
    <w:rsid w:val="00197575"/>
    <w:rsid w:val="001A0EC2"/>
    <w:rsid w:val="001C668A"/>
    <w:rsid w:val="001E7ACD"/>
    <w:rsid w:val="002016BC"/>
    <w:rsid w:val="00221DD0"/>
    <w:rsid w:val="00230341"/>
    <w:rsid w:val="00251698"/>
    <w:rsid w:val="002665BC"/>
    <w:rsid w:val="0027121B"/>
    <w:rsid w:val="0027716E"/>
    <w:rsid w:val="00280321"/>
    <w:rsid w:val="00280439"/>
    <w:rsid w:val="00280D3E"/>
    <w:rsid w:val="00287D67"/>
    <w:rsid w:val="002955BA"/>
    <w:rsid w:val="002A0648"/>
    <w:rsid w:val="002A640F"/>
    <w:rsid w:val="002A70DD"/>
    <w:rsid w:val="002B60F0"/>
    <w:rsid w:val="002C1DD8"/>
    <w:rsid w:val="002D1D02"/>
    <w:rsid w:val="002D4CC8"/>
    <w:rsid w:val="0030684F"/>
    <w:rsid w:val="003121B9"/>
    <w:rsid w:val="003121CF"/>
    <w:rsid w:val="00322793"/>
    <w:rsid w:val="00331DE9"/>
    <w:rsid w:val="00333287"/>
    <w:rsid w:val="003531FA"/>
    <w:rsid w:val="00353656"/>
    <w:rsid w:val="003629C4"/>
    <w:rsid w:val="00372E85"/>
    <w:rsid w:val="003766C5"/>
    <w:rsid w:val="00383315"/>
    <w:rsid w:val="003B7ADA"/>
    <w:rsid w:val="003D5FD3"/>
    <w:rsid w:val="003D6659"/>
    <w:rsid w:val="003E2C79"/>
    <w:rsid w:val="003F0F2B"/>
    <w:rsid w:val="003F1766"/>
    <w:rsid w:val="0041106C"/>
    <w:rsid w:val="0041446A"/>
    <w:rsid w:val="004432D7"/>
    <w:rsid w:val="00481559"/>
    <w:rsid w:val="00490341"/>
    <w:rsid w:val="00496299"/>
    <w:rsid w:val="004A40EA"/>
    <w:rsid w:val="004B3F87"/>
    <w:rsid w:val="004B5A54"/>
    <w:rsid w:val="004B7E39"/>
    <w:rsid w:val="004C49BD"/>
    <w:rsid w:val="004F2570"/>
    <w:rsid w:val="00507294"/>
    <w:rsid w:val="00513FAC"/>
    <w:rsid w:val="005154DD"/>
    <w:rsid w:val="00517B87"/>
    <w:rsid w:val="0052103C"/>
    <w:rsid w:val="00524FED"/>
    <w:rsid w:val="00535B80"/>
    <w:rsid w:val="00536388"/>
    <w:rsid w:val="00542818"/>
    <w:rsid w:val="005439F9"/>
    <w:rsid w:val="00546D97"/>
    <w:rsid w:val="00552ADC"/>
    <w:rsid w:val="005602D6"/>
    <w:rsid w:val="00573A79"/>
    <w:rsid w:val="00591021"/>
    <w:rsid w:val="005A0B94"/>
    <w:rsid w:val="005A4E0F"/>
    <w:rsid w:val="005B5CE2"/>
    <w:rsid w:val="005B6F4A"/>
    <w:rsid w:val="005F411F"/>
    <w:rsid w:val="005F67E8"/>
    <w:rsid w:val="00611F4C"/>
    <w:rsid w:val="00625D7C"/>
    <w:rsid w:val="00633FAB"/>
    <w:rsid w:val="00643208"/>
    <w:rsid w:val="006555BD"/>
    <w:rsid w:val="00655999"/>
    <w:rsid w:val="00662CAD"/>
    <w:rsid w:val="006678FC"/>
    <w:rsid w:val="00681D4A"/>
    <w:rsid w:val="00683E81"/>
    <w:rsid w:val="006964EC"/>
    <w:rsid w:val="006A7195"/>
    <w:rsid w:val="006B22B1"/>
    <w:rsid w:val="006C43F7"/>
    <w:rsid w:val="006C7CB6"/>
    <w:rsid w:val="006D4199"/>
    <w:rsid w:val="006E0BB1"/>
    <w:rsid w:val="006F52E3"/>
    <w:rsid w:val="007018CE"/>
    <w:rsid w:val="00707AAF"/>
    <w:rsid w:val="00710357"/>
    <w:rsid w:val="00715639"/>
    <w:rsid w:val="00716A2E"/>
    <w:rsid w:val="007213BE"/>
    <w:rsid w:val="007264FC"/>
    <w:rsid w:val="007417ED"/>
    <w:rsid w:val="00746EF8"/>
    <w:rsid w:val="00756986"/>
    <w:rsid w:val="007B0D21"/>
    <w:rsid w:val="007B3D6F"/>
    <w:rsid w:val="007B3F4D"/>
    <w:rsid w:val="007B6192"/>
    <w:rsid w:val="007D388B"/>
    <w:rsid w:val="007E07E1"/>
    <w:rsid w:val="007F3CA5"/>
    <w:rsid w:val="007F494D"/>
    <w:rsid w:val="0080185C"/>
    <w:rsid w:val="00804F66"/>
    <w:rsid w:val="00814784"/>
    <w:rsid w:val="00821768"/>
    <w:rsid w:val="00823D6B"/>
    <w:rsid w:val="00827240"/>
    <w:rsid w:val="0083513E"/>
    <w:rsid w:val="00861620"/>
    <w:rsid w:val="00863062"/>
    <w:rsid w:val="00882CA8"/>
    <w:rsid w:val="008867A3"/>
    <w:rsid w:val="00886C33"/>
    <w:rsid w:val="008905D0"/>
    <w:rsid w:val="008A6828"/>
    <w:rsid w:val="008D08B7"/>
    <w:rsid w:val="00901909"/>
    <w:rsid w:val="00911BF8"/>
    <w:rsid w:val="009319F7"/>
    <w:rsid w:val="009322C1"/>
    <w:rsid w:val="0093502B"/>
    <w:rsid w:val="009447A0"/>
    <w:rsid w:val="009717FF"/>
    <w:rsid w:val="009744FD"/>
    <w:rsid w:val="00980938"/>
    <w:rsid w:val="00997D26"/>
    <w:rsid w:val="009A0FCA"/>
    <w:rsid w:val="009A5181"/>
    <w:rsid w:val="009A773A"/>
    <w:rsid w:val="009D19F9"/>
    <w:rsid w:val="009D4682"/>
    <w:rsid w:val="009E0C3E"/>
    <w:rsid w:val="009F26CA"/>
    <w:rsid w:val="00A00F03"/>
    <w:rsid w:val="00A05CF7"/>
    <w:rsid w:val="00A05F3F"/>
    <w:rsid w:val="00A1620E"/>
    <w:rsid w:val="00A32EF0"/>
    <w:rsid w:val="00A33D3E"/>
    <w:rsid w:val="00A37082"/>
    <w:rsid w:val="00A37D41"/>
    <w:rsid w:val="00A40FD5"/>
    <w:rsid w:val="00A528D1"/>
    <w:rsid w:val="00A56ECB"/>
    <w:rsid w:val="00A64DFD"/>
    <w:rsid w:val="00A650B6"/>
    <w:rsid w:val="00A677E9"/>
    <w:rsid w:val="00A7072B"/>
    <w:rsid w:val="00A76E7C"/>
    <w:rsid w:val="00A8374C"/>
    <w:rsid w:val="00A91106"/>
    <w:rsid w:val="00AC0171"/>
    <w:rsid w:val="00AC27C5"/>
    <w:rsid w:val="00AC7B79"/>
    <w:rsid w:val="00AD1350"/>
    <w:rsid w:val="00AF020C"/>
    <w:rsid w:val="00B05D26"/>
    <w:rsid w:val="00B203C6"/>
    <w:rsid w:val="00B25DA2"/>
    <w:rsid w:val="00B336DC"/>
    <w:rsid w:val="00B3487A"/>
    <w:rsid w:val="00B3686A"/>
    <w:rsid w:val="00B42C03"/>
    <w:rsid w:val="00B4324A"/>
    <w:rsid w:val="00B53447"/>
    <w:rsid w:val="00B703BC"/>
    <w:rsid w:val="00B7660B"/>
    <w:rsid w:val="00B77EAC"/>
    <w:rsid w:val="00B95447"/>
    <w:rsid w:val="00B97AD5"/>
    <w:rsid w:val="00BA59B4"/>
    <w:rsid w:val="00BA69C6"/>
    <w:rsid w:val="00BB06E7"/>
    <w:rsid w:val="00BC0EA3"/>
    <w:rsid w:val="00BE05B6"/>
    <w:rsid w:val="00BF5BA5"/>
    <w:rsid w:val="00BF692B"/>
    <w:rsid w:val="00C01450"/>
    <w:rsid w:val="00C016B3"/>
    <w:rsid w:val="00C0583B"/>
    <w:rsid w:val="00C13460"/>
    <w:rsid w:val="00C21033"/>
    <w:rsid w:val="00C22CD5"/>
    <w:rsid w:val="00C27388"/>
    <w:rsid w:val="00C329B0"/>
    <w:rsid w:val="00C365B1"/>
    <w:rsid w:val="00C422F7"/>
    <w:rsid w:val="00C5032A"/>
    <w:rsid w:val="00C555F5"/>
    <w:rsid w:val="00C6657A"/>
    <w:rsid w:val="00C73B28"/>
    <w:rsid w:val="00C80A99"/>
    <w:rsid w:val="00CA3C82"/>
    <w:rsid w:val="00CA7616"/>
    <w:rsid w:val="00CC4939"/>
    <w:rsid w:val="00CC68F1"/>
    <w:rsid w:val="00CC7AD9"/>
    <w:rsid w:val="00CE35D7"/>
    <w:rsid w:val="00CF42E1"/>
    <w:rsid w:val="00D10405"/>
    <w:rsid w:val="00D27B1D"/>
    <w:rsid w:val="00D40EBF"/>
    <w:rsid w:val="00D456A9"/>
    <w:rsid w:val="00D463F1"/>
    <w:rsid w:val="00D5115F"/>
    <w:rsid w:val="00D56557"/>
    <w:rsid w:val="00D661C5"/>
    <w:rsid w:val="00D67A1D"/>
    <w:rsid w:val="00D86DEF"/>
    <w:rsid w:val="00D943F7"/>
    <w:rsid w:val="00D977D4"/>
    <w:rsid w:val="00DB57EC"/>
    <w:rsid w:val="00DB6AA0"/>
    <w:rsid w:val="00DD04E6"/>
    <w:rsid w:val="00DD04F2"/>
    <w:rsid w:val="00DD084E"/>
    <w:rsid w:val="00DF1419"/>
    <w:rsid w:val="00E00BAA"/>
    <w:rsid w:val="00E201B9"/>
    <w:rsid w:val="00E249A6"/>
    <w:rsid w:val="00E27972"/>
    <w:rsid w:val="00E27EB8"/>
    <w:rsid w:val="00E50556"/>
    <w:rsid w:val="00E542A1"/>
    <w:rsid w:val="00E73AB1"/>
    <w:rsid w:val="00E82D8B"/>
    <w:rsid w:val="00E908B6"/>
    <w:rsid w:val="00EB1391"/>
    <w:rsid w:val="00EB5456"/>
    <w:rsid w:val="00EB5A52"/>
    <w:rsid w:val="00EB6C61"/>
    <w:rsid w:val="00ED3E7F"/>
    <w:rsid w:val="00EF17CE"/>
    <w:rsid w:val="00EF3AC2"/>
    <w:rsid w:val="00F01FC4"/>
    <w:rsid w:val="00F038B3"/>
    <w:rsid w:val="00F058A2"/>
    <w:rsid w:val="00F20DF2"/>
    <w:rsid w:val="00F22F89"/>
    <w:rsid w:val="00F244F0"/>
    <w:rsid w:val="00F2709F"/>
    <w:rsid w:val="00F37E65"/>
    <w:rsid w:val="00F43104"/>
    <w:rsid w:val="00F50785"/>
    <w:rsid w:val="00F5789D"/>
    <w:rsid w:val="00F70DB7"/>
    <w:rsid w:val="00FA20FB"/>
    <w:rsid w:val="00FB3CE8"/>
    <w:rsid w:val="00FB3D83"/>
    <w:rsid w:val="00FE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49CF"/>
  <w15:docId w15:val="{F4CC0300-492A-438A-954C-BDD1BC28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18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01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185C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59"/>
    <w:rsid w:val="008018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link w:val="RAN1bullet1Char"/>
    <w:qFormat/>
    <w:rsid w:val="0080185C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80185C"/>
    <w:rPr>
      <w:rFonts w:ascii="Times" w:eastAsia="Batang" w:hAnsi="Times" w:cs="Times New Roman"/>
      <w:sz w:val="20"/>
      <w:szCs w:val="24"/>
      <w:lang w:val="en-GB"/>
    </w:rPr>
  </w:style>
  <w:style w:type="paragraph" w:customStyle="1" w:styleId="References">
    <w:name w:val="References"/>
    <w:basedOn w:val="Normal"/>
    <w:rsid w:val="0080185C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85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85C"/>
    <w:rPr>
      <w:rFonts w:ascii="Tahoma" w:eastAsia="SimSu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B3487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3487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244F0"/>
    <w:rPr>
      <w:color w:val="80808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0D05F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322793"/>
    <w:rPr>
      <w:rFonts w:ascii="Times New Roman" w:eastAsia="SimSun" w:hAnsi="Times New Roman" w:cs="Times New Roman"/>
      <w:i/>
      <w:iCs/>
      <w:color w:val="1F497D" w:themeColor="text2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82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C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CA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CA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6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grm\AppData\Local\Temp\R1-1709232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de-DE" sz="1050" b="0" i="0"/>
              <a:t>SB - Subband precoder</a:t>
            </a:r>
          </a:p>
          <a:p>
            <a:pPr algn="l"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de-DE" sz="1050" b="0" i="0"/>
              <a:t>SD</a:t>
            </a:r>
            <a:r>
              <a:rPr lang="de-DE" sz="1050" b="0" i="0" baseline="0"/>
              <a:t> - Space-delay precoder</a:t>
            </a:r>
            <a:endParaRPr lang="de-DE" sz="1050" b="0" i="0"/>
          </a:p>
        </c:rich>
      </c:tx>
      <c:layout>
        <c:manualLayout>
          <c:xMode val="edge"/>
          <c:yMode val="edge"/>
          <c:x val="0.17586111111111111"/>
          <c:y val="4.1876046901172533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Sheet1!$A$3</c:f>
              <c:strCache>
                <c:ptCount val="1"/>
                <c:pt idx="0">
                  <c:v>SB  (S=6) 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Sheet1!$B$3</c:f>
              <c:numCache>
                <c:formatCode>_(* #,##0.00_);_(* \(#,##0.00\);_(* "-"??_);_(@_)</c:formatCode>
                <c:ptCount val="1"/>
                <c:pt idx="0">
                  <c:v>13.64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3EB-4FFE-806E-7D4AC888C8C0}"/>
            </c:ext>
          </c:extLst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SD (L=2)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Sheet1!$B$4</c:f>
              <c:numCache>
                <c:formatCode>_(* #,##0.00_);_(* \(#,##0.00\);_(* "-"??_);_(@_)</c:formatCode>
                <c:ptCount val="1"/>
                <c:pt idx="0">
                  <c:v>10.27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3EB-4FFE-806E-7D4AC888C8C0}"/>
            </c:ext>
          </c:extLst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SD (L=3)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Sheet1!$B$5</c:f>
              <c:numCache>
                <c:formatCode>_(* #,##0.00_);_(* \(#,##0.00\);_(* "-"??_);_(@_)</c:formatCode>
                <c:ptCount val="1"/>
                <c:pt idx="0">
                  <c:v>14.52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3EB-4FFE-806E-7D4AC888C8C0}"/>
            </c:ext>
          </c:extLst>
        </c:ser>
        <c:ser>
          <c:idx val="3"/>
          <c:order val="3"/>
          <c:tx>
            <c:strRef>
              <c:f>Sheet1!$A$6</c:f>
              <c:strCache>
                <c:ptCount val="1"/>
                <c:pt idx="0">
                  <c:v>SD (L=4)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3EB-4FFE-806E-7D4AC888C8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Sheet1!$B$6</c:f>
              <c:numCache>
                <c:formatCode>_(* #,##0.00_);_(* \(#,##0.00\);_(* "-"??_);_(@_)</c:formatCode>
                <c:ptCount val="1"/>
                <c:pt idx="0">
                  <c:v>16.79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3EB-4FFE-806E-7D4AC888C8C0}"/>
            </c:ext>
          </c:extLst>
        </c:ser>
        <c:ser>
          <c:idx val="4"/>
          <c:order val="4"/>
          <c:tx>
            <c:strRef>
              <c:f>Sheet1!$A$7</c:f>
              <c:strCache>
                <c:ptCount val="1"/>
                <c:pt idx="0">
                  <c:v>SD (L=5)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Sheet1!$B$7</c:f>
              <c:numCache>
                <c:formatCode>_(* #,##0.00_);_(* \(#,##0.00\);_(* "-"??_);_(@_)</c:formatCode>
                <c:ptCount val="1"/>
                <c:pt idx="0">
                  <c:v>18.260000000000002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3EB-4FFE-806E-7D4AC888C8C0}"/>
            </c:ext>
          </c:extLst>
        </c:ser>
        <c:ser>
          <c:idx val="5"/>
          <c:order val="5"/>
          <c:tx>
            <c:strRef>
              <c:f>Sheet1!$A$8</c:f>
              <c:strCache>
                <c:ptCount val="1"/>
                <c:pt idx="0">
                  <c:v>MRT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val>
            <c:numRef>
              <c:f>Sheet1!$B$8</c:f>
              <c:numCache>
                <c:formatCode>_(* #,##0.00_);_(* \(#,##0.00\);_(* "-"??_);_(@_)</c:formatCode>
                <c:ptCount val="1"/>
                <c:pt idx="0">
                  <c:v>25.86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3EB-4FFE-806E-7D4AC888C8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378961280"/>
        <c:axId val="378983936"/>
      </c:barChart>
      <c:catAx>
        <c:axId val="378961280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0"/>
                  <a:t>Subbands</a:t>
                </a:r>
                <a:r>
                  <a:rPr lang="en-US"/>
                  <a:t>/</a:t>
                </a:r>
                <a:r>
                  <a:rPr lang="en-US" b="0"/>
                  <a:t>Delays</a:t>
                </a:r>
                <a:r>
                  <a:rPr lang="en-US"/>
                  <a:t>/</a:t>
                </a:r>
                <a:r>
                  <a:rPr lang="en-US" b="0"/>
                  <a:t>PRBs</a:t>
                </a:r>
              </a:p>
            </c:rich>
          </c:tx>
          <c:layout>
            <c:manualLayout>
              <c:xMode val="edge"/>
              <c:yMode val="edge"/>
              <c:x val="0.41621412948381453"/>
              <c:y val="0.81633099882615179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crossAx val="378983936"/>
        <c:crosses val="autoZero"/>
        <c:auto val="1"/>
        <c:lblAlgn val="ctr"/>
        <c:lblOffset val="100"/>
        <c:noMultiLvlLbl val="0"/>
      </c:catAx>
      <c:valAx>
        <c:axId val="378983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 b="0">
                    <a:latin typeface="Cambria Math" panose="02040503050406030204" pitchFamily="18" charset="0"/>
                    <a:ea typeface="Cambria Math" panose="02040503050406030204" pitchFamily="18" charset="0"/>
                  </a:rPr>
                  <a:t>𝞰[%]</a:t>
                </a:r>
                <a:endParaRPr lang="de-DE" b="0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;[Red]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3789612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4719685039370078"/>
          <c:y val="0.8678543636819267"/>
          <c:w val="0.7667171916010499"/>
          <c:h val="7.066632374470779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6EBDD-552F-4282-955C-8C1610D2F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2074</Words>
  <Characters>13069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15113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Marcus Grossmann</dc:creator>
  <cp:lastModifiedBy>Ramireddy, Venkatesh</cp:lastModifiedBy>
  <cp:revision>2</cp:revision>
  <dcterms:created xsi:type="dcterms:W3CDTF">2018-05-11T21:58:00Z</dcterms:created>
  <dcterms:modified xsi:type="dcterms:W3CDTF">2018-05-11T21:58:00Z</dcterms:modified>
</cp:coreProperties>
</file>