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C3" w:rsidRPr="009D3E29" w:rsidRDefault="00B77D6E" w:rsidP="005550C3">
      <w:pPr>
        <w:pStyle w:val="a6"/>
        <w:tabs>
          <w:tab w:val="left" w:pos="1800"/>
        </w:tabs>
        <w:ind w:left="1800" w:hanging="1800"/>
        <w:rPr>
          <w:bCs/>
          <w:sz w:val="24"/>
          <w:szCs w:val="24"/>
        </w:rPr>
      </w:pPr>
      <w:r>
        <w:rPr>
          <w:bCs/>
          <w:sz w:val="24"/>
          <w:szCs w:val="24"/>
        </w:rPr>
        <w:t>3GPP TSG RAN WG1 Meeting #89</w:t>
      </w:r>
      <w:r w:rsidR="005550C3" w:rsidRPr="009D3E29">
        <w:rPr>
          <w:rFonts w:hint="eastAsia"/>
          <w:bCs/>
          <w:sz w:val="24"/>
          <w:szCs w:val="24"/>
        </w:rPr>
        <w:t xml:space="preserve">                                            </w:t>
      </w:r>
      <w:r w:rsidR="005550C3" w:rsidRPr="009D3E29">
        <w:rPr>
          <w:bCs/>
          <w:sz w:val="24"/>
          <w:szCs w:val="24"/>
        </w:rPr>
        <w:tab/>
      </w:r>
      <w:r w:rsidR="005550C3">
        <w:rPr>
          <w:bCs/>
          <w:sz w:val="24"/>
          <w:szCs w:val="24"/>
        </w:rPr>
        <w:tab/>
      </w:r>
      <w:r w:rsidR="005550C3">
        <w:rPr>
          <w:bCs/>
          <w:sz w:val="24"/>
          <w:szCs w:val="24"/>
        </w:rPr>
        <w:tab/>
      </w:r>
      <w:r w:rsidR="005550C3">
        <w:rPr>
          <w:bCs/>
          <w:sz w:val="24"/>
          <w:szCs w:val="24"/>
        </w:rPr>
        <w:tab/>
      </w:r>
      <w:r w:rsidR="00455F8B">
        <w:rPr>
          <w:bCs/>
          <w:sz w:val="24"/>
          <w:szCs w:val="24"/>
        </w:rPr>
        <w:tab/>
      </w:r>
      <w:r w:rsidR="00455F8B">
        <w:rPr>
          <w:bCs/>
          <w:sz w:val="24"/>
          <w:szCs w:val="24"/>
        </w:rPr>
        <w:tab/>
      </w:r>
      <w:r w:rsidR="005550C3" w:rsidRPr="009D3E29">
        <w:rPr>
          <w:bCs/>
          <w:sz w:val="24"/>
          <w:szCs w:val="24"/>
        </w:rPr>
        <w:t>R1-1</w:t>
      </w:r>
      <w:r>
        <w:rPr>
          <w:bCs/>
          <w:sz w:val="24"/>
          <w:szCs w:val="24"/>
        </w:rPr>
        <w:t>707527</w:t>
      </w:r>
    </w:p>
    <w:p w:rsidR="005550C3" w:rsidRPr="009D3E29" w:rsidRDefault="00B77D6E" w:rsidP="005550C3">
      <w:pPr>
        <w:pStyle w:val="a6"/>
        <w:tabs>
          <w:tab w:val="left" w:pos="1800"/>
        </w:tabs>
        <w:ind w:left="1800" w:hanging="1800"/>
        <w:rPr>
          <w:bCs/>
          <w:sz w:val="24"/>
          <w:szCs w:val="24"/>
        </w:rPr>
      </w:pPr>
      <w:r>
        <w:rPr>
          <w:bCs/>
          <w:sz w:val="24"/>
          <w:szCs w:val="24"/>
        </w:rPr>
        <w:t>Hangzhou</w:t>
      </w:r>
      <w:r w:rsidR="005550C3"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005550C3" w:rsidRPr="009D3E29">
        <w:rPr>
          <w:bCs/>
          <w:sz w:val="24"/>
          <w:szCs w:val="24"/>
        </w:rPr>
        <w:t xml:space="preserve">- </w:t>
      </w:r>
      <w:r>
        <w:rPr>
          <w:bCs/>
          <w:sz w:val="24"/>
          <w:szCs w:val="24"/>
        </w:rPr>
        <w:t>19</w:t>
      </w:r>
      <w:r w:rsidR="005550C3" w:rsidRPr="009D3E29">
        <w:rPr>
          <w:bCs/>
          <w:sz w:val="24"/>
          <w:szCs w:val="24"/>
          <w:vertAlign w:val="superscript"/>
        </w:rPr>
        <w:t>th</w:t>
      </w:r>
      <w:r w:rsidR="005550C3" w:rsidRPr="009D3E29">
        <w:rPr>
          <w:bCs/>
          <w:sz w:val="24"/>
          <w:szCs w:val="24"/>
        </w:rPr>
        <w:t xml:space="preserve"> </w:t>
      </w:r>
      <w:r>
        <w:rPr>
          <w:bCs/>
          <w:sz w:val="24"/>
          <w:szCs w:val="24"/>
        </w:rPr>
        <w:t>May</w:t>
      </w:r>
      <w:r w:rsidR="005550C3" w:rsidRPr="009D3E29">
        <w:rPr>
          <w:bCs/>
          <w:sz w:val="24"/>
          <w:szCs w:val="24"/>
        </w:rPr>
        <w:t xml:space="preserve"> 201</w:t>
      </w:r>
      <w:r w:rsidR="005550C3" w:rsidRPr="009D3E29">
        <w:rPr>
          <w:rFonts w:hint="eastAsia"/>
          <w:bCs/>
          <w:sz w:val="24"/>
          <w:szCs w:val="24"/>
        </w:rPr>
        <w:t>7</w:t>
      </w: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6"/>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B77D6E">
        <w:rPr>
          <w:rFonts w:ascii="Arial" w:hAnsi="Arial"/>
          <w:sz w:val="24"/>
        </w:rPr>
        <w:tab/>
        <w:t>7</w:t>
      </w:r>
      <w:r w:rsidR="0054647B">
        <w:rPr>
          <w:rFonts w:ascii="Arial" w:hAnsi="Arial"/>
          <w:sz w:val="24"/>
        </w:rPr>
        <w:t>.1.</w:t>
      </w:r>
      <w:r w:rsidR="00D3717D">
        <w:rPr>
          <w:rFonts w:ascii="Arial" w:hAnsi="Arial"/>
          <w:sz w:val="24"/>
        </w:rPr>
        <w:t>7</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 xml:space="preserve">NR </w:t>
      </w:r>
      <w:r w:rsidR="0054647B" w:rsidRPr="0054647B">
        <w:rPr>
          <w:rFonts w:ascii="Arial" w:hAnsi="Arial"/>
          <w:sz w:val="24"/>
          <w:szCs w:val="24"/>
        </w:rPr>
        <w:t>wider bandwidth operation up to 1GHz</w:t>
      </w:r>
      <w:r w:rsidR="0002668B" w:rsidRPr="0002668B">
        <w:rPr>
          <w:rFonts w:ascii="Arial" w:hAnsi="Arial"/>
          <w:sz w:val="24"/>
          <w:szCs w:val="24"/>
        </w:rPr>
        <w:t xml:space="preserve"> </w:t>
      </w:r>
    </w:p>
    <w:p w:rsidR="00DF1CB7" w:rsidRDefault="00DF1CB7" w:rsidP="00DF1CB7">
      <w:pPr>
        <w:pStyle w:val="af6"/>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6"/>
        <w:pBdr>
          <w:bottom w:val="single" w:sz="4" w:space="1" w:color="auto"/>
        </w:pBdr>
        <w:tabs>
          <w:tab w:val="left" w:pos="709"/>
        </w:tabs>
        <w:spacing w:after="0"/>
        <w:jc w:val="left"/>
        <w:rPr>
          <w:rFonts w:cs="Arial"/>
          <w:lang w:val="en-GB"/>
        </w:rPr>
      </w:pPr>
    </w:p>
    <w:p w:rsidR="00AF4B60" w:rsidRPr="00191719" w:rsidRDefault="00AF4B60" w:rsidP="00DF1CB7">
      <w:pPr>
        <w:pStyle w:val="af6"/>
        <w:jc w:val="left"/>
        <w:rPr>
          <w:lang w:val="en-GB"/>
        </w:rPr>
      </w:pPr>
    </w:p>
    <w:p w:rsidR="004876AA" w:rsidRDefault="00454947" w:rsidP="004876AA">
      <w:pPr>
        <w:pStyle w:val="1"/>
      </w:pPr>
      <w:r w:rsidRPr="00061DA0">
        <w:t>Introduction</w:t>
      </w:r>
    </w:p>
    <w:p w:rsidR="00F746F4" w:rsidRDefault="00F746F4" w:rsidP="00F746F4">
      <w:pPr>
        <w:spacing w:beforeLines="50"/>
        <w:jc w:val="both"/>
      </w:pPr>
      <w:r>
        <w:rPr>
          <w:rFonts w:eastAsia="宋体"/>
          <w:lang w:eastAsia="zh-CN"/>
        </w:rPr>
        <w:t>In RAN1#88</w:t>
      </w:r>
      <w:r w:rsidR="00966B9E">
        <w:rPr>
          <w:rFonts w:eastAsia="宋体"/>
          <w:lang w:eastAsia="zh-CN"/>
        </w:rPr>
        <w:t>bis</w:t>
      </w:r>
      <w:r>
        <w:rPr>
          <w:rFonts w:eastAsia="宋体"/>
          <w:lang w:eastAsia="zh-CN"/>
        </w:rPr>
        <w:t xml:space="preserve">, </w:t>
      </w:r>
      <w:r>
        <w:t>t</w:t>
      </w:r>
      <w:r w:rsidRPr="00F90E88">
        <w:t xml:space="preserve">he maximum </w:t>
      </w:r>
      <w:r>
        <w:t>carrier bandwidth for single carrier and carrier aggregation operation were discussed with the agreements and working assumption made as follows,</w:t>
      </w:r>
    </w:p>
    <w:p w:rsidR="00F746F4" w:rsidRPr="00744F45" w:rsidRDefault="00F746F4" w:rsidP="00F746F4">
      <w:pPr>
        <w:rPr>
          <w:rFonts w:hint="eastAsia"/>
        </w:rPr>
      </w:pPr>
      <w:r w:rsidRPr="00F746F4">
        <w:rPr>
          <w:rFonts w:hint="eastAsia"/>
          <w:highlight w:val="green"/>
        </w:rPr>
        <w:t>Agreement:</w:t>
      </w:r>
    </w:p>
    <w:p w:rsidR="00F746F4" w:rsidRPr="00F535BD" w:rsidRDefault="00F746F4" w:rsidP="00F746F4">
      <w:pPr>
        <w:numPr>
          <w:ilvl w:val="0"/>
          <w:numId w:val="48"/>
        </w:numPr>
        <w:spacing w:after="0"/>
      </w:pPr>
      <w:r w:rsidRPr="00F535BD">
        <w:t>For single-carrier operation</w:t>
      </w:r>
      <w:r w:rsidRPr="00F535BD">
        <w:rPr>
          <w:rFonts w:hint="eastAsia"/>
        </w:rPr>
        <w:t>,</w:t>
      </w:r>
    </w:p>
    <w:p w:rsidR="00F746F4" w:rsidRPr="00F535BD" w:rsidRDefault="00F746F4" w:rsidP="00F746F4">
      <w:pPr>
        <w:numPr>
          <w:ilvl w:val="1"/>
          <w:numId w:val="48"/>
        </w:numPr>
        <w:spacing w:after="0"/>
        <w:rPr>
          <w:rFonts w:hint="eastAsia"/>
        </w:rPr>
      </w:pPr>
      <w:r w:rsidRPr="00F535BD">
        <w:t xml:space="preserve">UE </w:t>
      </w:r>
      <w:r w:rsidRPr="00F535BD">
        <w:rPr>
          <w:rFonts w:hint="eastAsia"/>
        </w:rPr>
        <w:t xml:space="preserve">is not required to </w:t>
      </w:r>
      <w:r w:rsidRPr="00F535BD">
        <w:t xml:space="preserve">receive </w:t>
      </w:r>
      <w:r w:rsidRPr="00F535BD">
        <w:rPr>
          <w:rFonts w:hint="eastAsia"/>
        </w:rPr>
        <w:t xml:space="preserve">any </w:t>
      </w:r>
      <w:r w:rsidRPr="00F535BD">
        <w:t>DL signals</w:t>
      </w:r>
      <w:r w:rsidRPr="00F535BD">
        <w:rPr>
          <w:rFonts w:hint="eastAsia"/>
        </w:rPr>
        <w:t xml:space="preserve"> outside</w:t>
      </w:r>
      <w:r w:rsidRPr="00F535BD">
        <w:t xml:space="preserve"> a frequency r</w:t>
      </w:r>
      <w:r w:rsidRPr="00F535BD">
        <w:rPr>
          <w:rFonts w:hint="eastAsia"/>
        </w:rPr>
        <w:t>ange</w:t>
      </w:r>
      <w:r w:rsidRPr="00F535BD">
        <w:t xml:space="preserve"> A</w:t>
      </w:r>
      <w:r w:rsidRPr="00F535BD">
        <w:rPr>
          <w:rFonts w:hint="eastAsia"/>
        </w:rPr>
        <w:t xml:space="preserve"> which is configured to the UE</w:t>
      </w:r>
    </w:p>
    <w:p w:rsidR="00F746F4" w:rsidRPr="00F535BD" w:rsidRDefault="00F746F4" w:rsidP="00F746F4">
      <w:pPr>
        <w:numPr>
          <w:ilvl w:val="2"/>
          <w:numId w:val="48"/>
        </w:numPr>
        <w:spacing w:after="0"/>
        <w:rPr>
          <w:rFonts w:hint="eastAsia"/>
        </w:rPr>
      </w:pPr>
      <w:r w:rsidRPr="00F535BD">
        <w:rPr>
          <w:rFonts w:hint="eastAsia"/>
        </w:rPr>
        <w:t xml:space="preserve">The </w:t>
      </w:r>
      <w:r w:rsidRPr="00F535BD">
        <w:t>interruption</w:t>
      </w:r>
      <w:r w:rsidRPr="00F535BD">
        <w:rPr>
          <w:rFonts w:hint="eastAsia"/>
        </w:rPr>
        <w:t xml:space="preserve"> time needed for frequency range change from frequency range A to a frequency range B is TBD</w:t>
      </w:r>
    </w:p>
    <w:p w:rsidR="00F746F4" w:rsidRPr="00F535BD" w:rsidRDefault="00F746F4" w:rsidP="00F746F4">
      <w:pPr>
        <w:numPr>
          <w:ilvl w:val="2"/>
          <w:numId w:val="48"/>
        </w:numPr>
        <w:spacing w:after="0"/>
        <w:rPr>
          <w:rFonts w:hint="eastAsia"/>
        </w:rPr>
      </w:pPr>
      <w:r w:rsidRPr="00F535BD">
        <w:rPr>
          <w:rFonts w:hint="eastAsia"/>
        </w:rPr>
        <w:t>F</w:t>
      </w:r>
      <w:r w:rsidRPr="00F535BD">
        <w:t xml:space="preserve">requency </w:t>
      </w:r>
      <w:r w:rsidRPr="00F535BD">
        <w:rPr>
          <w:rFonts w:hint="eastAsia"/>
        </w:rPr>
        <w:t>ranges</w:t>
      </w:r>
      <w:r w:rsidRPr="00F535BD">
        <w:t xml:space="preserve"> A &amp; B</w:t>
      </w:r>
      <w:r w:rsidRPr="00F535BD">
        <w:rPr>
          <w:rFonts w:hint="eastAsia"/>
        </w:rPr>
        <w:t xml:space="preserve"> </w:t>
      </w:r>
      <w:r w:rsidRPr="00F535BD">
        <w:t xml:space="preserve">may be different in </w:t>
      </w:r>
      <w:r w:rsidRPr="00F535BD">
        <w:rPr>
          <w:rFonts w:hint="eastAsia"/>
        </w:rPr>
        <w:t xml:space="preserve">BW and </w:t>
      </w:r>
      <w:proofErr w:type="spellStart"/>
      <w:r w:rsidRPr="00F535BD">
        <w:rPr>
          <w:rFonts w:hint="eastAsia"/>
        </w:rPr>
        <w:t>center</w:t>
      </w:r>
      <w:proofErr w:type="spellEnd"/>
      <w:r w:rsidRPr="00F535BD">
        <w:rPr>
          <w:rFonts w:hint="eastAsia"/>
        </w:rPr>
        <w:t xml:space="preserve"> frequency in a single carrier operation</w:t>
      </w:r>
    </w:p>
    <w:p w:rsidR="00F746F4" w:rsidRDefault="00F746F4" w:rsidP="00F746F4">
      <w:pPr>
        <w:rPr>
          <w:rFonts w:hint="eastAsia"/>
          <w:lang w:val="en-US"/>
        </w:rPr>
      </w:pPr>
    </w:p>
    <w:p w:rsidR="00F746F4" w:rsidRPr="00051988" w:rsidRDefault="00F746F4" w:rsidP="00F746F4">
      <w:pPr>
        <w:outlineLvl w:val="0"/>
        <w:rPr>
          <w:rFonts w:hint="eastAsia"/>
          <w:b/>
          <w:u w:val="single"/>
          <w:lang w:val="en-US"/>
        </w:rPr>
      </w:pPr>
      <w:r w:rsidRPr="00020306">
        <w:rPr>
          <w:rFonts w:hint="eastAsia"/>
          <w:b/>
          <w:highlight w:val="darkYellow"/>
          <w:u w:val="single"/>
          <w:lang w:val="en-US"/>
        </w:rPr>
        <w:t>Working assumption:</w:t>
      </w:r>
    </w:p>
    <w:p w:rsidR="00F746F4" w:rsidRPr="00051988" w:rsidRDefault="00F746F4" w:rsidP="00F746F4">
      <w:pPr>
        <w:numPr>
          <w:ilvl w:val="0"/>
          <w:numId w:val="50"/>
        </w:numPr>
        <w:spacing w:after="0"/>
        <w:rPr>
          <w:lang w:val="en-US"/>
        </w:rPr>
      </w:pPr>
      <w:r>
        <w:rPr>
          <w:rFonts w:hint="eastAsia"/>
          <w:lang w:val="en-US"/>
        </w:rPr>
        <w:t>O</w:t>
      </w:r>
      <w:r w:rsidRPr="00051988">
        <w:t xml:space="preserve">ne </w:t>
      </w:r>
      <w:r>
        <w:rPr>
          <w:rFonts w:hint="eastAsia"/>
        </w:rPr>
        <w:t xml:space="preserve">or multiple </w:t>
      </w:r>
      <w:r w:rsidRPr="00051988">
        <w:t>bandwidth part configurations for each component carrier can be semi-statically signalled to a UE</w:t>
      </w:r>
    </w:p>
    <w:p w:rsidR="00F746F4" w:rsidRPr="00027A5C" w:rsidRDefault="00F746F4" w:rsidP="00F746F4">
      <w:pPr>
        <w:numPr>
          <w:ilvl w:val="1"/>
          <w:numId w:val="50"/>
        </w:numPr>
        <w:spacing w:after="0"/>
        <w:rPr>
          <w:rFonts w:hint="eastAsia"/>
          <w:lang w:val="en-US"/>
        </w:rPr>
      </w:pPr>
      <w:r w:rsidRPr="00051988">
        <w:t>A bandwidth part consists of a group of contiguous PRBs</w:t>
      </w:r>
    </w:p>
    <w:p w:rsidR="00F746F4" w:rsidRPr="00051988" w:rsidRDefault="00F746F4" w:rsidP="00F746F4">
      <w:pPr>
        <w:numPr>
          <w:ilvl w:val="2"/>
          <w:numId w:val="50"/>
        </w:numPr>
        <w:spacing w:after="0"/>
        <w:rPr>
          <w:lang w:val="en-US"/>
        </w:rPr>
      </w:pPr>
      <w:r>
        <w:rPr>
          <w:rFonts w:hint="eastAsia"/>
        </w:rPr>
        <w:t>Reserved resources can be configured within the bandwidth part</w:t>
      </w:r>
    </w:p>
    <w:p w:rsidR="00F746F4" w:rsidRPr="00051988" w:rsidRDefault="00F746F4" w:rsidP="00F746F4">
      <w:pPr>
        <w:numPr>
          <w:ilvl w:val="1"/>
          <w:numId w:val="50"/>
        </w:numPr>
        <w:spacing w:after="0"/>
        <w:rPr>
          <w:lang w:val="en-US"/>
        </w:rPr>
      </w:pPr>
      <w:r w:rsidRPr="00051988">
        <w:t>The bandwidth of a bandwidth part equals to or is smaller than the maximal bandwidth capability supported by a UE</w:t>
      </w:r>
    </w:p>
    <w:p w:rsidR="00F746F4" w:rsidRPr="00051988" w:rsidRDefault="00F746F4" w:rsidP="00F746F4">
      <w:pPr>
        <w:numPr>
          <w:ilvl w:val="1"/>
          <w:numId w:val="50"/>
        </w:numPr>
        <w:spacing w:after="0"/>
        <w:rPr>
          <w:lang w:val="en-US"/>
        </w:rPr>
      </w:pPr>
      <w:r w:rsidRPr="00051988">
        <w:t xml:space="preserve">The bandwidth of a bandwidth part is at least </w:t>
      </w:r>
      <w:r>
        <w:rPr>
          <w:rFonts w:hint="eastAsia"/>
        </w:rPr>
        <w:t xml:space="preserve">as </w:t>
      </w:r>
      <w:r>
        <w:t>large</w:t>
      </w:r>
      <w:r>
        <w:rPr>
          <w:rFonts w:hint="eastAsia"/>
        </w:rPr>
        <w:t xml:space="preserve"> as</w:t>
      </w:r>
      <w:r w:rsidRPr="00051988">
        <w:t xml:space="preserve"> </w:t>
      </w:r>
      <w:r>
        <w:rPr>
          <w:rFonts w:hint="eastAsia"/>
        </w:rPr>
        <w:t>the</w:t>
      </w:r>
      <w:r w:rsidRPr="00051988">
        <w:t xml:space="preserve"> SS block bandwidth</w:t>
      </w:r>
    </w:p>
    <w:p w:rsidR="00F746F4" w:rsidRPr="00A32F50" w:rsidRDefault="00F746F4" w:rsidP="00F746F4">
      <w:pPr>
        <w:numPr>
          <w:ilvl w:val="2"/>
          <w:numId w:val="50"/>
        </w:numPr>
        <w:spacing w:after="0"/>
        <w:rPr>
          <w:rFonts w:hint="eastAsia"/>
          <w:lang w:val="en-US"/>
        </w:rPr>
      </w:pPr>
      <w:r>
        <w:rPr>
          <w:rFonts w:hint="eastAsia"/>
          <w:lang w:val="en-US"/>
        </w:rPr>
        <w:t>The bandwidth part may or may not contain the SS block</w:t>
      </w:r>
    </w:p>
    <w:p w:rsidR="00F746F4" w:rsidRPr="00051988" w:rsidRDefault="00F746F4" w:rsidP="00F746F4">
      <w:pPr>
        <w:numPr>
          <w:ilvl w:val="1"/>
          <w:numId w:val="50"/>
        </w:numPr>
        <w:spacing w:after="0"/>
        <w:rPr>
          <w:lang w:val="en-US"/>
        </w:rPr>
      </w:pPr>
      <w:r w:rsidRPr="00051988">
        <w:t>Configuration of a bandwidth part may include the following properties</w:t>
      </w:r>
    </w:p>
    <w:p w:rsidR="00F746F4" w:rsidRPr="00051988" w:rsidRDefault="00F746F4" w:rsidP="00F746F4">
      <w:pPr>
        <w:numPr>
          <w:ilvl w:val="2"/>
          <w:numId w:val="50"/>
        </w:numPr>
        <w:spacing w:after="0"/>
        <w:rPr>
          <w:lang w:val="en-US"/>
        </w:rPr>
      </w:pPr>
      <w:r w:rsidRPr="00051988">
        <w:t>Numerology</w:t>
      </w:r>
    </w:p>
    <w:p w:rsidR="00F746F4" w:rsidRPr="00051988" w:rsidRDefault="00F746F4" w:rsidP="00F746F4">
      <w:pPr>
        <w:numPr>
          <w:ilvl w:val="2"/>
          <w:numId w:val="50"/>
        </w:numPr>
        <w:spacing w:after="0"/>
        <w:rPr>
          <w:lang w:val="en-US"/>
        </w:rPr>
      </w:pPr>
      <w:r w:rsidRPr="00051988">
        <w:rPr>
          <w:lang w:val="en-US"/>
        </w:rPr>
        <w:t xml:space="preserve">Frequency </w:t>
      </w:r>
      <w:r w:rsidRPr="00051988">
        <w:t xml:space="preserve">location (e.g. </w:t>
      </w:r>
      <w:proofErr w:type="spellStart"/>
      <w:r w:rsidRPr="00051988">
        <w:t>center</w:t>
      </w:r>
      <w:proofErr w:type="spellEnd"/>
      <w:r w:rsidRPr="00051988">
        <w:t xml:space="preserve"> frequency)</w:t>
      </w:r>
    </w:p>
    <w:p w:rsidR="00F746F4" w:rsidRPr="00051988" w:rsidRDefault="00F746F4" w:rsidP="00F746F4">
      <w:pPr>
        <w:numPr>
          <w:ilvl w:val="2"/>
          <w:numId w:val="50"/>
        </w:numPr>
        <w:spacing w:after="0"/>
        <w:rPr>
          <w:lang w:val="en-US"/>
        </w:rPr>
      </w:pPr>
      <w:r w:rsidRPr="00051988">
        <w:t>Bandwidth (e.g. number of PRBs)</w:t>
      </w:r>
    </w:p>
    <w:p w:rsidR="00F746F4" w:rsidRPr="00EF6AA0" w:rsidRDefault="00F746F4" w:rsidP="00F746F4">
      <w:pPr>
        <w:numPr>
          <w:ilvl w:val="1"/>
          <w:numId w:val="50"/>
        </w:numPr>
        <w:spacing w:after="0"/>
        <w:rPr>
          <w:rFonts w:hint="eastAsia"/>
          <w:lang w:val="en-US"/>
        </w:rPr>
      </w:pPr>
      <w:r>
        <w:rPr>
          <w:rFonts w:hint="eastAsia"/>
        </w:rPr>
        <w:t>Note that it is for RRC connected mode UE</w:t>
      </w:r>
    </w:p>
    <w:p w:rsidR="00F746F4" w:rsidRPr="00EF6AA0" w:rsidRDefault="00F746F4" w:rsidP="00F746F4">
      <w:pPr>
        <w:numPr>
          <w:ilvl w:val="1"/>
          <w:numId w:val="50"/>
        </w:numPr>
        <w:spacing w:after="0"/>
        <w:rPr>
          <w:rFonts w:hint="eastAsia"/>
          <w:lang w:val="en-US"/>
        </w:rPr>
      </w:pPr>
      <w:r w:rsidRPr="00051988">
        <w:t>FFS how to indicate to the UE which bandwidth part configuration (if multiple) should be assumed for resource allocation at a given time</w:t>
      </w:r>
    </w:p>
    <w:p w:rsidR="00F746F4" w:rsidRPr="00F26241" w:rsidRDefault="00F746F4" w:rsidP="00F746F4">
      <w:pPr>
        <w:numPr>
          <w:ilvl w:val="1"/>
          <w:numId w:val="50"/>
        </w:numPr>
        <w:spacing w:after="0"/>
        <w:rPr>
          <w:rFonts w:hint="eastAsia"/>
          <w:lang w:val="en-US"/>
        </w:rPr>
      </w:pPr>
      <w:r>
        <w:rPr>
          <w:rFonts w:hint="eastAsia"/>
        </w:rPr>
        <w:t xml:space="preserve">FFS </w:t>
      </w:r>
      <w:r>
        <w:t>neighbour</w:t>
      </w:r>
      <w:r>
        <w:rPr>
          <w:rFonts w:hint="eastAsia"/>
        </w:rPr>
        <w:t xml:space="preserve"> cell RRM</w:t>
      </w:r>
    </w:p>
    <w:p w:rsidR="00F746F4" w:rsidRDefault="00F746F4" w:rsidP="00F746F4">
      <w:pPr>
        <w:rPr>
          <w:rFonts w:hint="eastAsia"/>
        </w:rPr>
      </w:pPr>
    </w:p>
    <w:p w:rsidR="00F746F4" w:rsidRPr="00484950" w:rsidRDefault="00F746F4" w:rsidP="00F746F4">
      <w:pPr>
        <w:outlineLvl w:val="0"/>
        <w:rPr>
          <w:rFonts w:hint="eastAsia"/>
          <w:b/>
          <w:u w:val="single"/>
        </w:rPr>
      </w:pPr>
      <w:r w:rsidRPr="00484950">
        <w:rPr>
          <w:rFonts w:hint="eastAsia"/>
          <w:b/>
          <w:highlight w:val="green"/>
          <w:u w:val="single"/>
        </w:rPr>
        <w:t>Agreement:</w:t>
      </w:r>
    </w:p>
    <w:p w:rsidR="00F746F4" w:rsidRPr="00183432" w:rsidRDefault="00F746F4" w:rsidP="00F746F4">
      <w:pPr>
        <w:numPr>
          <w:ilvl w:val="0"/>
          <w:numId w:val="49"/>
        </w:numPr>
        <w:spacing w:after="0"/>
        <w:rPr>
          <w:lang w:val="en-US"/>
        </w:rPr>
      </w:pPr>
      <w:r w:rsidRPr="00183432">
        <w:rPr>
          <w:lang w:val="en-US"/>
        </w:rPr>
        <w:t xml:space="preserve">Support the following: </w:t>
      </w:r>
    </w:p>
    <w:p w:rsidR="00F746F4" w:rsidRPr="00183432" w:rsidRDefault="00F746F4" w:rsidP="00F746F4">
      <w:pPr>
        <w:numPr>
          <w:ilvl w:val="1"/>
          <w:numId w:val="49"/>
        </w:numPr>
        <w:spacing w:after="0"/>
        <w:rPr>
          <w:lang w:val="en-US"/>
        </w:rPr>
      </w:pPr>
      <w:r w:rsidRPr="00183432">
        <w:rPr>
          <w:lang w:val="en-US"/>
        </w:rPr>
        <w:t>A gNB can operate simultaneously as wideband CC for some UEs and as a set of intra-band contiguous CCs with CA for other UEs</w:t>
      </w:r>
      <w:r w:rsidRPr="00183432">
        <w:rPr>
          <w:rFonts w:hint="eastAsia"/>
          <w:lang w:val="en-US"/>
        </w:rPr>
        <w:t xml:space="preserve"> </w:t>
      </w:r>
    </w:p>
    <w:p w:rsidR="00F746F4" w:rsidRPr="00183432" w:rsidRDefault="00F746F4" w:rsidP="00F746F4">
      <w:pPr>
        <w:numPr>
          <w:ilvl w:val="2"/>
          <w:numId w:val="49"/>
        </w:numPr>
        <w:spacing w:after="0"/>
        <w:rPr>
          <w:rFonts w:hint="eastAsia"/>
          <w:lang w:val="en-US"/>
        </w:rPr>
      </w:pPr>
      <w:r w:rsidRPr="00183432">
        <w:rPr>
          <w:rFonts w:hint="eastAsia"/>
          <w:lang w:val="en-US"/>
        </w:rPr>
        <w:t>RAN1 believes that it is beneficial to allow z</w:t>
      </w:r>
      <w:r w:rsidRPr="00183432">
        <w:rPr>
          <w:lang w:val="en-US"/>
        </w:rPr>
        <w:t xml:space="preserve">ero </w:t>
      </w:r>
      <w:proofErr w:type="spellStart"/>
      <w:r w:rsidRPr="00183432">
        <w:rPr>
          <w:lang w:val="en-US"/>
        </w:rPr>
        <w:t>guardband</w:t>
      </w:r>
      <w:proofErr w:type="spellEnd"/>
      <w:r w:rsidRPr="00183432">
        <w:rPr>
          <w:lang w:val="en-US"/>
        </w:rPr>
        <w:t xml:space="preserve"> between CCs within wideband CC</w:t>
      </w:r>
      <w:r w:rsidRPr="00183432">
        <w:rPr>
          <w:rFonts w:hint="eastAsia"/>
          <w:lang w:val="en-US"/>
        </w:rPr>
        <w:t xml:space="preserve"> and asks RAN4 to take it into account when discussing channel raster</w:t>
      </w:r>
    </w:p>
    <w:p w:rsidR="00F746F4" w:rsidRPr="00183432" w:rsidRDefault="00F746F4" w:rsidP="00F746F4">
      <w:pPr>
        <w:numPr>
          <w:ilvl w:val="3"/>
          <w:numId w:val="49"/>
        </w:numPr>
        <w:spacing w:after="0"/>
        <w:rPr>
          <w:rFonts w:hint="eastAsia"/>
          <w:lang w:val="en-US"/>
        </w:rPr>
      </w:pPr>
      <w:r w:rsidRPr="00183432">
        <w:rPr>
          <w:rFonts w:hint="eastAsia"/>
          <w:lang w:val="en-US"/>
        </w:rPr>
        <w:t xml:space="preserve">If there are scenarios where guard band is </w:t>
      </w:r>
      <w:r w:rsidRPr="00183432">
        <w:rPr>
          <w:lang w:val="en-US"/>
        </w:rPr>
        <w:t>considered</w:t>
      </w:r>
      <w:r w:rsidRPr="00183432">
        <w:rPr>
          <w:rFonts w:hint="eastAsia"/>
          <w:lang w:val="en-US"/>
        </w:rPr>
        <w:t xml:space="preserve"> necessary, strive to minimize the number of subcarriers for </w:t>
      </w:r>
      <w:r w:rsidRPr="00183432">
        <w:rPr>
          <w:lang w:val="en-US"/>
        </w:rPr>
        <w:t>guard</w:t>
      </w:r>
      <w:r w:rsidRPr="00183432">
        <w:rPr>
          <w:rFonts w:hint="eastAsia"/>
          <w:lang w:val="en-US"/>
        </w:rPr>
        <w:t>-</w:t>
      </w:r>
      <w:r w:rsidRPr="00183432">
        <w:rPr>
          <w:lang w:val="en-US"/>
        </w:rPr>
        <w:t>band between CCs within wideband CC</w:t>
      </w:r>
    </w:p>
    <w:p w:rsidR="00F746F4" w:rsidRPr="00183432" w:rsidRDefault="00F746F4" w:rsidP="00F746F4">
      <w:pPr>
        <w:numPr>
          <w:ilvl w:val="3"/>
          <w:numId w:val="49"/>
        </w:numPr>
        <w:spacing w:after="0"/>
        <w:rPr>
          <w:rFonts w:hint="eastAsia"/>
          <w:lang w:val="en-US"/>
        </w:rPr>
      </w:pPr>
      <w:r w:rsidRPr="00183432">
        <w:rPr>
          <w:rFonts w:hint="eastAsia"/>
          <w:lang w:val="en-US"/>
        </w:rPr>
        <w:t xml:space="preserve">It is RAN1 understanding that guard band might be supported by RAN4 </w:t>
      </w:r>
    </w:p>
    <w:p w:rsidR="00F746F4" w:rsidRPr="00183432" w:rsidRDefault="00F746F4" w:rsidP="00F746F4">
      <w:pPr>
        <w:numPr>
          <w:ilvl w:val="2"/>
          <w:numId w:val="49"/>
        </w:numPr>
        <w:spacing w:after="0"/>
        <w:rPr>
          <w:lang w:val="en-US"/>
        </w:rPr>
      </w:pPr>
      <w:r w:rsidRPr="00183432">
        <w:rPr>
          <w:lang w:val="en-US"/>
        </w:rPr>
        <w:t xml:space="preserve">Allow </w:t>
      </w:r>
      <w:r w:rsidRPr="00183432">
        <w:rPr>
          <w:rFonts w:hint="eastAsia"/>
          <w:lang w:val="en-US"/>
        </w:rPr>
        <w:t xml:space="preserve">single or </w:t>
      </w:r>
      <w:r w:rsidRPr="00183432">
        <w:rPr>
          <w:lang w:val="en-US"/>
        </w:rPr>
        <w:t>multiple Sync signal locations in wideband CC</w:t>
      </w:r>
    </w:p>
    <w:p w:rsidR="00F746F4" w:rsidRPr="00183432" w:rsidRDefault="00F746F4" w:rsidP="00F746F4">
      <w:pPr>
        <w:numPr>
          <w:ilvl w:val="0"/>
          <w:numId w:val="49"/>
        </w:numPr>
        <w:spacing w:after="0"/>
        <w:rPr>
          <w:lang w:val="en-US"/>
        </w:rPr>
      </w:pPr>
      <w:r w:rsidRPr="00183432">
        <w:rPr>
          <w:lang w:val="en-US"/>
        </w:rPr>
        <w:lastRenderedPageBreak/>
        <w:t xml:space="preserve">Consider further impact on design for: </w:t>
      </w:r>
    </w:p>
    <w:p w:rsidR="00F746F4" w:rsidRPr="00183432" w:rsidRDefault="00F746F4" w:rsidP="00F746F4">
      <w:pPr>
        <w:numPr>
          <w:ilvl w:val="1"/>
          <w:numId w:val="49"/>
        </w:numPr>
        <w:spacing w:after="0"/>
        <w:rPr>
          <w:lang w:val="en-US"/>
        </w:rPr>
      </w:pPr>
      <w:r w:rsidRPr="00183432">
        <w:rPr>
          <w:lang w:val="en-US"/>
        </w:rPr>
        <w:t>Reference signals</w:t>
      </w:r>
    </w:p>
    <w:p w:rsidR="00F746F4" w:rsidRPr="00F746F4" w:rsidRDefault="00F746F4" w:rsidP="00F746F4">
      <w:pPr>
        <w:numPr>
          <w:ilvl w:val="1"/>
          <w:numId w:val="49"/>
        </w:numPr>
        <w:spacing w:after="0"/>
        <w:rPr>
          <w:lang w:val="en-US"/>
        </w:rPr>
      </w:pPr>
      <w:r w:rsidRPr="00183432">
        <w:rPr>
          <w:lang w:val="en-US"/>
        </w:rPr>
        <w:t xml:space="preserve">Resource Block Group design and CSI </w:t>
      </w:r>
      <w:proofErr w:type="spellStart"/>
      <w:r w:rsidRPr="00183432">
        <w:rPr>
          <w:lang w:val="en-US"/>
        </w:rPr>
        <w:t>subbands</w:t>
      </w:r>
      <w:proofErr w:type="spellEnd"/>
    </w:p>
    <w:p w:rsidR="00E72298" w:rsidRDefault="009D76BC" w:rsidP="00B77D6E">
      <w:pPr>
        <w:spacing w:beforeLines="50"/>
        <w:jc w:val="both"/>
      </w:pPr>
      <w:r>
        <w:rPr>
          <w:rFonts w:eastAsia="宋体"/>
          <w:lang w:eastAsia="zh-CN"/>
        </w:rPr>
        <w:t>In RAN1#88</w:t>
      </w:r>
      <w:r w:rsidR="005F347F">
        <w:rPr>
          <w:rFonts w:eastAsia="宋体"/>
          <w:lang w:eastAsia="zh-CN"/>
        </w:rPr>
        <w:t xml:space="preserve">, </w:t>
      </w:r>
      <w:r w:rsidR="005F347F">
        <w:t>t</w:t>
      </w:r>
      <w:r w:rsidR="005F347F" w:rsidRPr="00F90E88">
        <w:t xml:space="preserve">he maximum </w:t>
      </w:r>
      <w:r w:rsidR="005F347F">
        <w:t>carrier bandwidth with operation bandwidth of 1GHz and carrier aggregation were discussed with the agreements as follows,</w:t>
      </w:r>
    </w:p>
    <w:p w:rsidR="009D76BC" w:rsidRPr="007D1620" w:rsidRDefault="009D76BC" w:rsidP="009D76BC">
      <w:pPr>
        <w:outlineLvl w:val="0"/>
        <w:rPr>
          <w:b/>
          <w:u w:val="single"/>
        </w:rPr>
      </w:pPr>
      <w:r w:rsidRPr="0054242E">
        <w:rPr>
          <w:rFonts w:hint="eastAsia"/>
          <w:b/>
          <w:highlight w:val="green"/>
          <w:u w:val="single"/>
        </w:rPr>
        <w:t>Agreements:</w:t>
      </w:r>
    </w:p>
    <w:p w:rsidR="009D76BC" w:rsidRPr="007D1620" w:rsidRDefault="009D76BC" w:rsidP="009D76BC">
      <w:pPr>
        <w:numPr>
          <w:ilvl w:val="0"/>
          <w:numId w:val="45"/>
        </w:numPr>
        <w:spacing w:after="0"/>
        <w:rPr>
          <w:lang w:val="en-US"/>
        </w:rPr>
      </w:pPr>
      <w:r w:rsidRPr="007D1620">
        <w:rPr>
          <w:lang w:val="en-US"/>
        </w:rPr>
        <w:t>From RAN1 specification perspective, maximum channel bandwidth per NR carrier is 400 MHz in Rel-15</w:t>
      </w:r>
    </w:p>
    <w:p w:rsidR="009D76BC" w:rsidRPr="007D1620" w:rsidRDefault="009D76BC" w:rsidP="009D76BC">
      <w:pPr>
        <w:numPr>
          <w:ilvl w:val="1"/>
          <w:numId w:val="45"/>
        </w:numPr>
        <w:spacing w:after="0"/>
        <w:rPr>
          <w:lang w:val="en-US"/>
        </w:rPr>
      </w:pPr>
      <w:r w:rsidRPr="007D1620">
        <w:rPr>
          <w:lang w:val="en-US"/>
        </w:rPr>
        <w:t>Note:  final decision on the value  is up to RAN4</w:t>
      </w:r>
    </w:p>
    <w:p w:rsidR="009D76BC" w:rsidRPr="007D1620" w:rsidRDefault="009D76BC" w:rsidP="009D76BC">
      <w:pPr>
        <w:numPr>
          <w:ilvl w:val="0"/>
          <w:numId w:val="45"/>
        </w:numPr>
        <w:spacing w:after="0"/>
        <w:rPr>
          <w:lang w:val="en-US"/>
        </w:rPr>
      </w:pPr>
      <w:r>
        <w:rPr>
          <w:rFonts w:hint="eastAsia"/>
          <w:lang w:val="en-US"/>
        </w:rPr>
        <w:t xml:space="preserve">From RAN1 specification perspective, at least for single numerology case, candidates of the </w:t>
      </w:r>
      <w:r w:rsidRPr="007D1620">
        <w:rPr>
          <w:lang w:val="en-US"/>
        </w:rPr>
        <w:t xml:space="preserve">maximum number of subcarriers per NR carrier is </w:t>
      </w:r>
      <w:r w:rsidRPr="00C359B7">
        <w:rPr>
          <w:lang w:val="en-US"/>
        </w:rPr>
        <w:t>3300</w:t>
      </w:r>
      <w:r w:rsidRPr="00C359B7">
        <w:rPr>
          <w:rFonts w:hint="eastAsia"/>
          <w:lang w:val="en-US"/>
        </w:rPr>
        <w:t xml:space="preserve"> or 6600 </w:t>
      </w:r>
      <w:r>
        <w:rPr>
          <w:rFonts w:hint="eastAsia"/>
          <w:lang w:val="en-US"/>
        </w:rPr>
        <w:t xml:space="preserve"> </w:t>
      </w:r>
      <w:r w:rsidRPr="007D1620">
        <w:rPr>
          <w:lang w:val="en-US"/>
        </w:rPr>
        <w:t>in Rel-15</w:t>
      </w:r>
    </w:p>
    <w:p w:rsidR="009D76BC" w:rsidRPr="007D1620" w:rsidRDefault="009D76BC" w:rsidP="009D76BC">
      <w:pPr>
        <w:numPr>
          <w:ilvl w:val="1"/>
          <w:numId w:val="45"/>
        </w:numPr>
        <w:spacing w:after="0"/>
        <w:rPr>
          <w:lang w:val="en-US"/>
        </w:rPr>
      </w:pPr>
      <w:r>
        <w:rPr>
          <w:rFonts w:hint="eastAsia"/>
          <w:lang w:val="en-US"/>
        </w:rPr>
        <w:t xml:space="preserve">FFS: </w:t>
      </w:r>
      <w:r w:rsidRPr="007D1620">
        <w:rPr>
          <w:lang w:val="en-US"/>
        </w:rPr>
        <w:t>For mixed numerology case, the above applies to the lowest subcarrier spacing</w:t>
      </w:r>
    </w:p>
    <w:p w:rsidR="009D76BC" w:rsidRPr="00C359B7" w:rsidRDefault="009D76BC" w:rsidP="009D76BC">
      <w:pPr>
        <w:numPr>
          <w:ilvl w:val="1"/>
          <w:numId w:val="45"/>
        </w:numPr>
        <w:spacing w:after="0"/>
        <w:rPr>
          <w:lang w:val="en-US"/>
        </w:rPr>
      </w:pPr>
      <w:r w:rsidRPr="007D1620">
        <w:rPr>
          <w:lang w:val="en-US"/>
        </w:rPr>
        <w:t>Note: final value for a given channel BW is up to RAN4 decision</w:t>
      </w:r>
    </w:p>
    <w:p w:rsidR="009D76BC" w:rsidRPr="007D1620" w:rsidRDefault="009D76BC" w:rsidP="009D76BC">
      <w:pPr>
        <w:numPr>
          <w:ilvl w:val="0"/>
          <w:numId w:val="45"/>
        </w:numPr>
        <w:spacing w:after="0"/>
        <w:rPr>
          <w:lang w:val="en-US"/>
        </w:rPr>
      </w:pPr>
      <w:r w:rsidRPr="007D1620">
        <w:rPr>
          <w:lang w:val="en-US"/>
        </w:rPr>
        <w:t>From RAN1 specification perspective, the maximum number of NR carriers for CA and DC is 16</w:t>
      </w:r>
    </w:p>
    <w:p w:rsidR="009D76BC" w:rsidRPr="007D1620" w:rsidRDefault="009D76BC" w:rsidP="009D76BC">
      <w:pPr>
        <w:numPr>
          <w:ilvl w:val="1"/>
          <w:numId w:val="45"/>
        </w:numPr>
        <w:spacing w:after="0"/>
        <w:rPr>
          <w:lang w:val="en-US"/>
        </w:rPr>
      </w:pPr>
      <w:r w:rsidRPr="007D1620">
        <w:rPr>
          <w:lang w:val="en-US"/>
        </w:rPr>
        <w:t>Note that 32 is considered from RAN2 specification perspective</w:t>
      </w:r>
    </w:p>
    <w:p w:rsidR="009D76BC" w:rsidRPr="007D1620" w:rsidRDefault="009D76BC" w:rsidP="009D76BC">
      <w:pPr>
        <w:numPr>
          <w:ilvl w:val="1"/>
          <w:numId w:val="45"/>
        </w:numPr>
        <w:spacing w:after="0"/>
        <w:rPr>
          <w:lang w:val="en-US"/>
        </w:rPr>
      </w:pPr>
      <w:r w:rsidRPr="007D1620">
        <w:rPr>
          <w:lang w:val="en-US"/>
        </w:rPr>
        <w:t xml:space="preserve">The number of NR CCs in any aggregation is independently configured for downlink and uplink </w:t>
      </w:r>
    </w:p>
    <w:p w:rsidR="009D76BC" w:rsidRDefault="009D76BC" w:rsidP="009D76BC">
      <w:pPr>
        <w:numPr>
          <w:ilvl w:val="0"/>
          <w:numId w:val="45"/>
        </w:numPr>
        <w:spacing w:after="0"/>
        <w:rPr>
          <w:lang w:val="en-US"/>
        </w:rPr>
      </w:pPr>
      <w:r w:rsidRPr="007D1620">
        <w:rPr>
          <w:lang w:val="en-US"/>
        </w:rPr>
        <w:t xml:space="preserve">NR channel designs should consider </w:t>
      </w:r>
      <w:r>
        <w:rPr>
          <w:rFonts w:hint="eastAsia"/>
          <w:lang w:val="en-US"/>
        </w:rPr>
        <w:t xml:space="preserve">potential </w:t>
      </w:r>
      <w:r w:rsidRPr="007D1620">
        <w:rPr>
          <w:lang w:val="en-US"/>
        </w:rPr>
        <w:t>future extension of the above parameters in later releases, allowing Rel-15 UE to have access to NR network on the same frequency band in later releases</w:t>
      </w:r>
    </w:p>
    <w:p w:rsidR="009D76BC" w:rsidRPr="00C5206F" w:rsidRDefault="009D76BC" w:rsidP="009D76BC">
      <w:pPr>
        <w:rPr>
          <w:lang w:val="en-US"/>
        </w:rPr>
      </w:pPr>
    </w:p>
    <w:p w:rsidR="005F46DA" w:rsidRPr="00D97B94" w:rsidRDefault="005F46DA" w:rsidP="00B77D6E">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F62717">
        <w:rPr>
          <w:rFonts w:eastAsia="宋体"/>
          <w:lang w:eastAsia="zh-CN"/>
        </w:rPr>
        <w:t>consideration of operation over 1GHz spectrum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AB2D82" w:rsidP="00BA7C9E">
      <w:pPr>
        <w:pStyle w:val="1"/>
        <w:rPr>
          <w:lang w:eastAsia="ja-JP"/>
        </w:rPr>
      </w:pPr>
      <w:r>
        <w:rPr>
          <w:lang w:eastAsia="ja-JP"/>
        </w:rPr>
        <w:t xml:space="preserve">Consideration of </w:t>
      </w:r>
      <w:r w:rsidR="00EE08E0">
        <w:rPr>
          <w:lang w:eastAsia="ja-JP"/>
        </w:rPr>
        <w:t xml:space="preserve">Maximum </w:t>
      </w:r>
      <w:r>
        <w:rPr>
          <w:lang w:eastAsia="ja-JP"/>
        </w:rPr>
        <w:t>Number of Subcarriers</w:t>
      </w:r>
    </w:p>
    <w:p w:rsidR="005224A2" w:rsidRDefault="005224A2" w:rsidP="000E5984">
      <w:pPr>
        <w:pStyle w:val="maintext"/>
        <w:spacing w:before="0" w:after="0" w:line="240" w:lineRule="auto"/>
        <w:ind w:firstLineChars="0" w:firstLine="0"/>
        <w:rPr>
          <w:lang w:val="en-US"/>
        </w:rPr>
      </w:pPr>
    </w:p>
    <w:p w:rsidR="00151B83" w:rsidRDefault="005F347F" w:rsidP="00DF1E14">
      <w:pPr>
        <w:pStyle w:val="maintext"/>
        <w:spacing w:before="0" w:after="0" w:line="240" w:lineRule="auto"/>
        <w:ind w:firstLineChars="0" w:firstLine="0"/>
        <w:rPr>
          <w:bCs/>
          <w:lang w:val="en-US"/>
        </w:rPr>
      </w:pPr>
      <w:r>
        <w:rPr>
          <w:lang w:val="en-US"/>
        </w:rPr>
        <w:t xml:space="preserve">NR system supports </w:t>
      </w:r>
      <w:r w:rsidR="00F3578F">
        <w:rPr>
          <w:lang w:val="en-US"/>
        </w:rPr>
        <w:t xml:space="preserve">maximum system bandwidth of 400 MHz and up to 16 carriers in aggregation </w:t>
      </w:r>
      <w:r>
        <w:rPr>
          <w:lang w:val="en-US"/>
        </w:rPr>
        <w:t xml:space="preserve">for </w:t>
      </w:r>
      <w:r w:rsidR="005F1DB2">
        <w:rPr>
          <w:lang w:val="en-US"/>
        </w:rPr>
        <w:t>operation with spectrum over</w:t>
      </w:r>
      <w:r w:rsidR="000D20E0">
        <w:rPr>
          <w:lang w:val="en-US"/>
        </w:rPr>
        <w:t xml:space="preserve"> 1 GHz</w:t>
      </w:r>
      <w:r w:rsidR="00F3578F">
        <w:rPr>
          <w:lang w:val="en-US"/>
        </w:rPr>
        <w:t xml:space="preserve"> based on the agreements in RAN1#88</w:t>
      </w:r>
      <w:r w:rsidR="00BD7CBC">
        <w:rPr>
          <w:lang w:val="en-US"/>
        </w:rPr>
        <w:t xml:space="preserve">.   </w:t>
      </w:r>
      <w:r w:rsidR="00C832DA">
        <w:rPr>
          <w:bCs/>
          <w:lang w:val="en-US"/>
        </w:rPr>
        <w:t>A carrier with</w:t>
      </w:r>
      <w:r w:rsidR="00BD7CBC">
        <w:rPr>
          <w:bCs/>
          <w:lang w:val="en-US"/>
        </w:rPr>
        <w:t xml:space="preserve"> </w:t>
      </w:r>
      <w:r w:rsidR="00C832DA">
        <w:rPr>
          <w:bCs/>
          <w:lang w:val="en-US"/>
        </w:rPr>
        <w:t>large</w:t>
      </w:r>
      <w:r w:rsidR="005F1DB2">
        <w:rPr>
          <w:bCs/>
          <w:lang w:val="en-US"/>
        </w:rPr>
        <w:t xml:space="preserve"> system bandwidth</w:t>
      </w:r>
      <w:r w:rsidR="00C832DA">
        <w:rPr>
          <w:bCs/>
          <w:lang w:val="en-US"/>
        </w:rPr>
        <w:t xml:space="preserve"> would provide better trunking efficiency.   However, large system bandwidth would demand higher processing speed in implementation.   Thus, the determination of maximum system bandwidth </w:t>
      </w:r>
      <w:r w:rsidR="005F1DB2">
        <w:rPr>
          <w:bCs/>
          <w:lang w:val="en-US"/>
        </w:rPr>
        <w:t>should consider the practical implementation limitation, such as sampling rate and FFT engine</w:t>
      </w:r>
      <w:r w:rsidR="00BD7CBC">
        <w:rPr>
          <w:bCs/>
          <w:lang w:val="en-US"/>
        </w:rPr>
        <w:t>.   In LTE, the maximum sampling rate is 3</w:t>
      </w:r>
      <w:r w:rsidR="009A2E98">
        <w:rPr>
          <w:bCs/>
          <w:lang w:val="en-US"/>
        </w:rPr>
        <w:t xml:space="preserve">0.72 </w:t>
      </w:r>
      <w:proofErr w:type="spellStart"/>
      <w:r w:rsidR="009A2E98">
        <w:rPr>
          <w:bCs/>
          <w:lang w:val="en-US"/>
        </w:rPr>
        <w:t>Msps</w:t>
      </w:r>
      <w:proofErr w:type="spellEnd"/>
      <w:r w:rsidR="00BD7CBC">
        <w:rPr>
          <w:bCs/>
          <w:lang w:val="en-US"/>
        </w:rPr>
        <w:t xml:space="preserve"> for 20 MHz maximum system bandwidth</w:t>
      </w:r>
      <w:r w:rsidR="009A2E98">
        <w:rPr>
          <w:bCs/>
          <w:lang w:val="en-US"/>
        </w:rPr>
        <w:t xml:space="preserve"> with 15 kHz subcarrier spacing</w:t>
      </w:r>
      <w:r w:rsidR="00E02434">
        <w:rPr>
          <w:bCs/>
          <w:lang w:val="en-US"/>
        </w:rPr>
        <w:t xml:space="preserve"> and FFT size 2048</w:t>
      </w:r>
      <w:r w:rsidR="00BD7CBC">
        <w:rPr>
          <w:bCs/>
          <w:lang w:val="en-US"/>
        </w:rPr>
        <w:t>.   The sampling interval is 32.5 ns</w:t>
      </w:r>
      <w:r w:rsidR="00F3578F">
        <w:rPr>
          <w:bCs/>
          <w:lang w:val="en-US"/>
        </w:rPr>
        <w:t>.  When</w:t>
      </w:r>
      <w:r w:rsidR="009A2E98">
        <w:rPr>
          <w:bCs/>
          <w:lang w:val="en-US"/>
        </w:rPr>
        <w:t xml:space="preserve"> the maximum system b</w:t>
      </w:r>
      <w:r w:rsidR="00F3578F">
        <w:rPr>
          <w:bCs/>
          <w:lang w:val="en-US"/>
        </w:rPr>
        <w:t>andwidth increases to 400</w:t>
      </w:r>
      <w:r w:rsidR="009A2E98">
        <w:rPr>
          <w:bCs/>
          <w:lang w:val="en-US"/>
        </w:rPr>
        <w:t xml:space="preserve"> MHz, the samplin</w:t>
      </w:r>
      <w:r w:rsidR="00133867">
        <w:rPr>
          <w:bCs/>
          <w:lang w:val="en-US"/>
        </w:rPr>
        <w:t xml:space="preserve">g rate would increase to 491.52 </w:t>
      </w:r>
      <w:proofErr w:type="spellStart"/>
      <w:r w:rsidR="009A2E98">
        <w:rPr>
          <w:bCs/>
          <w:lang w:val="en-US"/>
        </w:rPr>
        <w:t>Msps</w:t>
      </w:r>
      <w:proofErr w:type="spellEnd"/>
      <w:r w:rsidR="009A2E98">
        <w:rPr>
          <w:bCs/>
          <w:lang w:val="en-US"/>
        </w:rPr>
        <w:t xml:space="preserve"> and t</w:t>
      </w:r>
      <w:r w:rsidR="00F3578F">
        <w:rPr>
          <w:bCs/>
          <w:lang w:val="en-US"/>
        </w:rPr>
        <w:t xml:space="preserve">he sampling interval is around 2 ns. </w:t>
      </w:r>
      <w:r w:rsidR="003469F1">
        <w:rPr>
          <w:bCs/>
          <w:lang w:val="en-US"/>
        </w:rPr>
        <w:t xml:space="preserve"> </w:t>
      </w:r>
      <w:r w:rsidR="00EE08E0">
        <w:rPr>
          <w:bCs/>
          <w:lang w:val="en-US"/>
        </w:rPr>
        <w:t>This sampling rate would apply to single numerology or mixed numerologies.   For 400 MHz system bandwidth, maximum</w:t>
      </w:r>
      <w:r w:rsidR="00AA7FA8">
        <w:rPr>
          <w:bCs/>
          <w:lang w:val="en-US"/>
        </w:rPr>
        <w:t xml:space="preserve"> number of subcarriers of 3300 or</w:t>
      </w:r>
      <w:r w:rsidR="00EE08E0">
        <w:rPr>
          <w:bCs/>
          <w:lang w:val="en-US"/>
        </w:rPr>
        <w:t xml:space="preserve"> 6600 implies s</w:t>
      </w:r>
      <w:r w:rsidR="00AA7FA8">
        <w:rPr>
          <w:bCs/>
          <w:lang w:val="en-US"/>
        </w:rPr>
        <w:t>ubcarrier spacing of 120 kHz or</w:t>
      </w:r>
      <w:r w:rsidR="00EE08E0">
        <w:rPr>
          <w:bCs/>
          <w:lang w:val="en-US"/>
        </w:rPr>
        <w:t xml:space="preserve"> 60 kHz respectively.  </w:t>
      </w:r>
      <w:r w:rsidR="00AA7FA8">
        <w:rPr>
          <w:bCs/>
          <w:lang w:val="en-US"/>
        </w:rPr>
        <w:t xml:space="preserve">The FFT size would be 4096 and 8192 for 3300 and 6600 subcarriers respectively.  </w:t>
      </w:r>
      <w:r w:rsidR="00EE08E0">
        <w:rPr>
          <w:bCs/>
          <w:lang w:val="en-US"/>
        </w:rPr>
        <w:t xml:space="preserve"> </w:t>
      </w:r>
      <w:r w:rsidR="00AA7FA8">
        <w:rPr>
          <w:bCs/>
          <w:lang w:val="en-US"/>
        </w:rPr>
        <w:t xml:space="preserve">The number of subcarriers is defined to partition the radio resources in frequency for resource allocation.  For large number of subcarriers, the system is partitioned to finer granularity in radio resource but potential of resource fragmentation in reducing the effective trunking efficiency.    Large number of subcarriers would increase the complexity of resource allocation and the processing power.   </w:t>
      </w:r>
      <w:r w:rsidR="00151B83">
        <w:rPr>
          <w:bCs/>
          <w:lang w:val="en-US"/>
        </w:rPr>
        <w:t xml:space="preserve">Thus, maximum number of subcarriers should not be more than 3300 for single numerology.  </w:t>
      </w:r>
    </w:p>
    <w:p w:rsidR="00151B83" w:rsidRDefault="00151B83" w:rsidP="00DF1E14">
      <w:pPr>
        <w:pStyle w:val="maintext"/>
        <w:spacing w:before="0" w:after="0" w:line="240" w:lineRule="auto"/>
        <w:ind w:firstLineChars="0" w:firstLine="0"/>
        <w:rPr>
          <w:bCs/>
          <w:lang w:val="en-US"/>
        </w:rPr>
      </w:pPr>
    </w:p>
    <w:p w:rsidR="00151B83" w:rsidRDefault="00151B83" w:rsidP="00151B83">
      <w:pPr>
        <w:pStyle w:val="maintext"/>
        <w:spacing w:before="0" w:after="0" w:line="240" w:lineRule="auto"/>
        <w:ind w:firstLineChars="0" w:firstLine="0"/>
        <w:rPr>
          <w:b/>
          <w:bCs/>
          <w:lang w:val="en-US"/>
        </w:rPr>
      </w:pPr>
      <w:r>
        <w:rPr>
          <w:b/>
          <w:bCs/>
          <w:lang w:val="en-US"/>
        </w:rPr>
        <w:t xml:space="preserve">Proposal 1: Maximum number of subcarriers should not be more than 3300 for single numerology case.  </w:t>
      </w:r>
    </w:p>
    <w:p w:rsidR="00151B83" w:rsidRDefault="00151B83" w:rsidP="00151B83">
      <w:pPr>
        <w:pStyle w:val="maintext"/>
        <w:spacing w:before="0" w:after="0" w:line="240" w:lineRule="auto"/>
        <w:ind w:firstLineChars="0" w:firstLine="0"/>
        <w:rPr>
          <w:bCs/>
          <w:lang w:val="en-US"/>
        </w:rPr>
      </w:pPr>
    </w:p>
    <w:p w:rsidR="00151B83" w:rsidRDefault="00151B83" w:rsidP="00DF1E14">
      <w:pPr>
        <w:pStyle w:val="maintext"/>
        <w:spacing w:before="0" w:after="0" w:line="240" w:lineRule="auto"/>
        <w:ind w:firstLineChars="0" w:firstLine="0"/>
        <w:rPr>
          <w:bCs/>
          <w:lang w:val="en-US"/>
        </w:rPr>
      </w:pPr>
    </w:p>
    <w:p w:rsidR="00EE08E0" w:rsidRDefault="00151B83" w:rsidP="00DF1E14">
      <w:pPr>
        <w:pStyle w:val="maintext"/>
        <w:spacing w:before="0" w:after="0" w:line="240" w:lineRule="auto"/>
        <w:ind w:firstLineChars="0" w:firstLine="0"/>
        <w:rPr>
          <w:bCs/>
          <w:lang w:val="en-US"/>
        </w:rPr>
      </w:pPr>
      <w:r>
        <w:rPr>
          <w:bCs/>
          <w:lang w:val="en-US"/>
        </w:rPr>
        <w:t>The purpose of having additional numerologies on top of the baseline numerologies in the mixed numerologies deployment is to improve the eff</w:t>
      </w:r>
      <w:r w:rsidR="003A5DDA">
        <w:rPr>
          <w:bCs/>
          <w:lang w:val="en-US"/>
        </w:rPr>
        <w:t xml:space="preserve">iciency of network operation customized for </w:t>
      </w:r>
      <w:r>
        <w:rPr>
          <w:bCs/>
          <w:lang w:val="en-US"/>
        </w:rPr>
        <w:t>different requirements or deployment scenarios, such as low latency, high speed or</w:t>
      </w:r>
      <w:r w:rsidR="003A5DDA">
        <w:rPr>
          <w:bCs/>
          <w:lang w:val="en-US"/>
        </w:rPr>
        <w:t xml:space="preserve"> broadcast services.  The deployments of mixed numerologies in either TDM or FDM increase the complexity in signal processing at both the UE and gNB.   The su</w:t>
      </w:r>
      <w:r>
        <w:rPr>
          <w:bCs/>
          <w:lang w:val="en-US"/>
        </w:rPr>
        <w:t>bcarrier spacing</w:t>
      </w:r>
      <w:r w:rsidR="003A5DDA">
        <w:rPr>
          <w:bCs/>
          <w:lang w:val="en-US"/>
        </w:rPr>
        <w:t xml:space="preserve"> customized for low latency or high speed deployment scenarios</w:t>
      </w:r>
      <w:r>
        <w:rPr>
          <w:bCs/>
          <w:lang w:val="en-US"/>
        </w:rPr>
        <w:t xml:space="preserve"> should only increase from the baseline </w:t>
      </w:r>
      <w:r w:rsidR="003A5DDA">
        <w:rPr>
          <w:bCs/>
          <w:lang w:val="en-US"/>
        </w:rPr>
        <w:t xml:space="preserve">subcarrier spacing to reduce the latency or minimize the inter-channel interference caused by frequency error.  There is barely any deployment scenario demand further reducing the subcarrier spacing.  </w:t>
      </w:r>
      <w:r w:rsidR="001B0960">
        <w:rPr>
          <w:bCs/>
          <w:lang w:val="en-US"/>
        </w:rPr>
        <w:t xml:space="preserve">Thus, maximum number of subcarriers should not be more than 3300 for mixed numerologies with maximum system bandwidth of 400 </w:t>
      </w:r>
      <w:proofErr w:type="spellStart"/>
      <w:r w:rsidR="001B0960">
        <w:rPr>
          <w:bCs/>
          <w:lang w:val="en-US"/>
        </w:rPr>
        <w:t>MHz.</w:t>
      </w:r>
      <w:proofErr w:type="spellEnd"/>
      <w:r w:rsidR="001B0960">
        <w:rPr>
          <w:bCs/>
          <w:lang w:val="en-US"/>
        </w:rPr>
        <w:t xml:space="preserve">  </w:t>
      </w:r>
    </w:p>
    <w:p w:rsidR="00EE08E0" w:rsidRDefault="00EE08E0" w:rsidP="00DF1E14">
      <w:pPr>
        <w:pStyle w:val="maintext"/>
        <w:spacing w:before="0" w:after="0" w:line="240" w:lineRule="auto"/>
        <w:ind w:firstLineChars="0" w:firstLine="0"/>
        <w:rPr>
          <w:bCs/>
          <w:lang w:val="en-US"/>
        </w:rPr>
      </w:pPr>
    </w:p>
    <w:p w:rsidR="001B0960" w:rsidRPr="001B0960" w:rsidRDefault="00151B83" w:rsidP="001B0960">
      <w:pPr>
        <w:pStyle w:val="maintext"/>
        <w:spacing w:before="0" w:after="0" w:line="240" w:lineRule="auto"/>
        <w:ind w:firstLineChars="0" w:firstLine="0"/>
        <w:rPr>
          <w:b/>
          <w:bCs/>
          <w:lang w:val="en-US"/>
        </w:rPr>
      </w:pPr>
      <w:r>
        <w:rPr>
          <w:b/>
          <w:bCs/>
          <w:lang w:val="en-US"/>
        </w:rPr>
        <w:t>Proposal 2: M</w:t>
      </w:r>
      <w:r w:rsidR="001C1622">
        <w:rPr>
          <w:b/>
          <w:bCs/>
          <w:lang w:val="en-US"/>
        </w:rPr>
        <w:t xml:space="preserve">aximum </w:t>
      </w:r>
      <w:r>
        <w:rPr>
          <w:b/>
          <w:bCs/>
          <w:lang w:val="en-US"/>
        </w:rPr>
        <w:t>number of subcarriers should n</w:t>
      </w:r>
      <w:r w:rsidR="003A5DDA">
        <w:rPr>
          <w:b/>
          <w:bCs/>
          <w:lang w:val="en-US"/>
        </w:rPr>
        <w:t xml:space="preserve">ot be more than 3300 for mixed </w:t>
      </w:r>
      <w:r>
        <w:rPr>
          <w:b/>
          <w:bCs/>
          <w:lang w:val="en-US"/>
        </w:rPr>
        <w:t>numerology case</w:t>
      </w:r>
      <w:r w:rsidR="001B0960" w:rsidRPr="001B0960">
        <w:rPr>
          <w:bCs/>
          <w:lang w:val="en-US"/>
        </w:rPr>
        <w:t xml:space="preserve"> </w:t>
      </w:r>
      <w:r w:rsidR="001B0960" w:rsidRPr="001B0960">
        <w:rPr>
          <w:b/>
          <w:bCs/>
          <w:lang w:val="en-US"/>
        </w:rPr>
        <w:t xml:space="preserve">with maximum system bandwidth of 400 </w:t>
      </w:r>
      <w:proofErr w:type="spellStart"/>
      <w:r w:rsidR="001B0960" w:rsidRPr="001B0960">
        <w:rPr>
          <w:b/>
          <w:bCs/>
          <w:lang w:val="en-US"/>
        </w:rPr>
        <w:t>MHz.</w:t>
      </w:r>
      <w:proofErr w:type="spellEnd"/>
      <w:r w:rsidR="001B0960" w:rsidRPr="001B0960">
        <w:rPr>
          <w:b/>
          <w:bCs/>
          <w:lang w:val="en-US"/>
        </w:rPr>
        <w:t xml:space="preserve">  </w:t>
      </w:r>
    </w:p>
    <w:p w:rsidR="001C1622" w:rsidRDefault="001C1622"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D76BC" w:rsidRDefault="009D76BC" w:rsidP="00200DCD">
      <w:pPr>
        <w:pStyle w:val="1"/>
      </w:pPr>
      <w:r>
        <w:lastRenderedPageBreak/>
        <w:t>UE Operation in Wider System Bandwidth</w:t>
      </w:r>
    </w:p>
    <w:p w:rsidR="009D76BC" w:rsidRDefault="009D76BC" w:rsidP="009D76BC">
      <w:pPr>
        <w:rPr>
          <w:lang w:eastAsia="en-US"/>
        </w:rPr>
      </w:pPr>
    </w:p>
    <w:p w:rsidR="00966B9E" w:rsidRPr="00966B9E" w:rsidRDefault="00F3578F" w:rsidP="00966B9E">
      <w:pPr>
        <w:pStyle w:val="maintext"/>
        <w:ind w:firstLineChars="0"/>
        <w:rPr>
          <w:bCs/>
          <w:lang w:val="en-US"/>
        </w:rPr>
      </w:pPr>
      <w:r>
        <w:rPr>
          <w:bCs/>
          <w:lang w:val="en-US"/>
        </w:rPr>
        <w:t xml:space="preserve">A carrier with </w:t>
      </w:r>
      <w:r w:rsidR="001B0960">
        <w:rPr>
          <w:bCs/>
          <w:lang w:val="en-US"/>
        </w:rPr>
        <w:t xml:space="preserve">maximum </w:t>
      </w:r>
      <w:r>
        <w:rPr>
          <w:bCs/>
          <w:lang w:val="en-US"/>
        </w:rPr>
        <w:t xml:space="preserve">system bandwidth </w:t>
      </w:r>
      <w:r w:rsidR="001B0960">
        <w:rPr>
          <w:bCs/>
          <w:lang w:val="en-US"/>
        </w:rPr>
        <w:t xml:space="preserve">of 400 MHz </w:t>
      </w:r>
      <w:r>
        <w:rPr>
          <w:bCs/>
          <w:lang w:val="en-US"/>
        </w:rPr>
        <w:t xml:space="preserve">would provide better </w:t>
      </w:r>
      <w:r w:rsidR="001B0960">
        <w:rPr>
          <w:bCs/>
          <w:lang w:val="en-US"/>
        </w:rPr>
        <w:t>trunking efficiency.   L</w:t>
      </w:r>
      <w:r>
        <w:rPr>
          <w:bCs/>
          <w:lang w:val="en-US"/>
        </w:rPr>
        <w:t xml:space="preserve">arge system bandwidth would demand higher processing speed in implementation.   </w:t>
      </w:r>
      <w:r w:rsidR="001B0960">
        <w:rPr>
          <w:bCs/>
          <w:lang w:val="en-US"/>
        </w:rPr>
        <w:t>The sampling interval for 40</w:t>
      </w:r>
      <w:r>
        <w:rPr>
          <w:bCs/>
          <w:lang w:val="en-US"/>
        </w:rPr>
        <w:t>0 M</w:t>
      </w:r>
      <w:r w:rsidR="001B0960">
        <w:rPr>
          <w:bCs/>
          <w:lang w:val="en-US"/>
        </w:rPr>
        <w:t>Hz system bandwidth would be around</w:t>
      </w:r>
      <w:r>
        <w:rPr>
          <w:bCs/>
          <w:lang w:val="en-US"/>
        </w:rPr>
        <w:t xml:space="preserve"> ns.    This requires very fast clock speed for both baseband and RF signal processing.   This requirement of hardware processing with h</w:t>
      </w:r>
      <w:r w:rsidR="001B0960">
        <w:rPr>
          <w:bCs/>
          <w:lang w:val="en-US"/>
        </w:rPr>
        <w:t xml:space="preserve">igh clock speed </w:t>
      </w:r>
      <w:r>
        <w:rPr>
          <w:bCs/>
          <w:lang w:val="en-US"/>
        </w:rPr>
        <w:t>would be beyond today’s hardware limit.  The fast clock speed would drive cost of signal processing dramatically.   One possible solution for t</w:t>
      </w:r>
      <w:r w:rsidR="001B0960">
        <w:rPr>
          <w:bCs/>
          <w:lang w:val="en-US"/>
        </w:rPr>
        <w:t xml:space="preserve">he large system bandwidth is for UE to support smaller operating bandwidth, such as 100 MHz, </w:t>
      </w:r>
      <w:r>
        <w:rPr>
          <w:bCs/>
          <w:lang w:val="en-US"/>
        </w:rPr>
        <w:t>with multiple parallel processors.  This parallelism would reduce the processing speed and ha</w:t>
      </w:r>
      <w:r w:rsidR="001B0960">
        <w:rPr>
          <w:bCs/>
          <w:lang w:val="en-US"/>
        </w:rPr>
        <w:t xml:space="preserve">rdware clock cycle.   </w:t>
      </w:r>
      <w:r w:rsidR="00966B9E">
        <w:rPr>
          <w:bCs/>
          <w:lang w:val="en-US"/>
        </w:rPr>
        <w:t>In RAN1#88bis, it was agreed to s</w:t>
      </w:r>
      <w:r w:rsidR="00966B9E" w:rsidRPr="00966B9E">
        <w:rPr>
          <w:bCs/>
          <w:lang w:val="en-US"/>
        </w:rPr>
        <w:t xml:space="preserve">upport the following: </w:t>
      </w:r>
    </w:p>
    <w:p w:rsidR="00966B9E" w:rsidRPr="00966B9E" w:rsidRDefault="00966B9E" w:rsidP="00966B9E">
      <w:pPr>
        <w:pStyle w:val="maintext"/>
        <w:numPr>
          <w:ilvl w:val="0"/>
          <w:numId w:val="49"/>
        </w:numPr>
        <w:ind w:firstLineChars="0"/>
        <w:jc w:val="left"/>
        <w:rPr>
          <w:bCs/>
          <w:lang w:val="en-US"/>
        </w:rPr>
      </w:pPr>
      <w:r w:rsidRPr="00966B9E">
        <w:rPr>
          <w:bCs/>
          <w:lang w:val="en-US"/>
        </w:rPr>
        <w:t>A gNB can operate simultaneously as wideband CC for some UEs and as a set of intra-band contiguous CCs with CA for other UEs</w:t>
      </w:r>
      <w:r w:rsidRPr="00966B9E">
        <w:rPr>
          <w:rFonts w:hint="eastAsia"/>
          <w:bCs/>
          <w:lang w:val="en-US"/>
        </w:rPr>
        <w:t xml:space="preserve"> </w:t>
      </w:r>
    </w:p>
    <w:p w:rsidR="00966B9E" w:rsidRPr="00966B9E" w:rsidRDefault="00966B9E" w:rsidP="00966B9E">
      <w:pPr>
        <w:pStyle w:val="maintext"/>
        <w:numPr>
          <w:ilvl w:val="1"/>
          <w:numId w:val="49"/>
        </w:numPr>
        <w:ind w:firstLineChars="0"/>
        <w:jc w:val="left"/>
        <w:rPr>
          <w:rFonts w:hint="eastAsia"/>
          <w:bCs/>
          <w:lang w:val="en-US"/>
        </w:rPr>
      </w:pPr>
      <w:r w:rsidRPr="00966B9E">
        <w:rPr>
          <w:rFonts w:hint="eastAsia"/>
          <w:bCs/>
          <w:lang w:val="en-US"/>
        </w:rPr>
        <w:t>RAN1 believes that it is beneficial to allow z</w:t>
      </w:r>
      <w:r w:rsidRPr="00966B9E">
        <w:rPr>
          <w:bCs/>
          <w:lang w:val="en-US"/>
        </w:rPr>
        <w:t xml:space="preserve">ero </w:t>
      </w:r>
      <w:proofErr w:type="spellStart"/>
      <w:r w:rsidRPr="00966B9E">
        <w:rPr>
          <w:bCs/>
          <w:lang w:val="en-US"/>
        </w:rPr>
        <w:t>guardband</w:t>
      </w:r>
      <w:proofErr w:type="spellEnd"/>
      <w:r w:rsidRPr="00966B9E">
        <w:rPr>
          <w:bCs/>
          <w:lang w:val="en-US"/>
        </w:rPr>
        <w:t xml:space="preserve"> between CCs within wideband CC</w:t>
      </w:r>
      <w:r w:rsidRPr="00966B9E">
        <w:rPr>
          <w:rFonts w:hint="eastAsia"/>
          <w:bCs/>
          <w:lang w:val="en-US"/>
        </w:rPr>
        <w:t xml:space="preserve"> and asks RAN4 to take it into account when discussing channel raster</w:t>
      </w:r>
    </w:p>
    <w:p w:rsidR="00966B9E" w:rsidRPr="00966B9E" w:rsidRDefault="00966B9E" w:rsidP="00966B9E">
      <w:pPr>
        <w:pStyle w:val="maintext"/>
        <w:numPr>
          <w:ilvl w:val="2"/>
          <w:numId w:val="49"/>
        </w:numPr>
        <w:ind w:firstLineChars="0"/>
        <w:jc w:val="left"/>
        <w:rPr>
          <w:rFonts w:hint="eastAsia"/>
          <w:bCs/>
          <w:lang w:val="en-US"/>
        </w:rPr>
      </w:pPr>
      <w:r w:rsidRPr="00966B9E">
        <w:rPr>
          <w:rFonts w:hint="eastAsia"/>
          <w:bCs/>
          <w:lang w:val="en-US"/>
        </w:rPr>
        <w:t xml:space="preserve">If there are scenarios where guard band is </w:t>
      </w:r>
      <w:r w:rsidRPr="00966B9E">
        <w:rPr>
          <w:bCs/>
          <w:lang w:val="en-US"/>
        </w:rPr>
        <w:t>considered</w:t>
      </w:r>
      <w:r w:rsidRPr="00966B9E">
        <w:rPr>
          <w:rFonts w:hint="eastAsia"/>
          <w:bCs/>
          <w:lang w:val="en-US"/>
        </w:rPr>
        <w:t xml:space="preserve"> necessary, strive to minimize the number of subcarriers for </w:t>
      </w:r>
      <w:r w:rsidRPr="00966B9E">
        <w:rPr>
          <w:bCs/>
          <w:lang w:val="en-US"/>
        </w:rPr>
        <w:t>guard</w:t>
      </w:r>
      <w:r w:rsidRPr="00966B9E">
        <w:rPr>
          <w:rFonts w:hint="eastAsia"/>
          <w:bCs/>
          <w:lang w:val="en-US"/>
        </w:rPr>
        <w:t>-</w:t>
      </w:r>
      <w:r w:rsidRPr="00966B9E">
        <w:rPr>
          <w:bCs/>
          <w:lang w:val="en-US"/>
        </w:rPr>
        <w:t>band between CCs within wideband CC</w:t>
      </w:r>
    </w:p>
    <w:p w:rsidR="00966B9E" w:rsidRPr="00966B9E" w:rsidRDefault="00966B9E" w:rsidP="00966B9E">
      <w:pPr>
        <w:pStyle w:val="maintext"/>
        <w:numPr>
          <w:ilvl w:val="2"/>
          <w:numId w:val="49"/>
        </w:numPr>
        <w:ind w:firstLineChars="0"/>
        <w:jc w:val="left"/>
        <w:rPr>
          <w:rFonts w:hint="eastAsia"/>
          <w:bCs/>
          <w:lang w:val="en-US"/>
        </w:rPr>
      </w:pPr>
      <w:r w:rsidRPr="00966B9E">
        <w:rPr>
          <w:rFonts w:hint="eastAsia"/>
          <w:bCs/>
          <w:lang w:val="en-US"/>
        </w:rPr>
        <w:t xml:space="preserve">It is RAN1 understanding that guard band might be supported by RAN4 </w:t>
      </w:r>
    </w:p>
    <w:p w:rsidR="00966B9E" w:rsidRPr="00966B9E" w:rsidRDefault="00966B9E" w:rsidP="00966B9E">
      <w:pPr>
        <w:pStyle w:val="maintext"/>
        <w:numPr>
          <w:ilvl w:val="1"/>
          <w:numId w:val="49"/>
        </w:numPr>
        <w:ind w:firstLineChars="0"/>
        <w:jc w:val="left"/>
        <w:rPr>
          <w:bCs/>
          <w:lang w:val="en-US"/>
        </w:rPr>
      </w:pPr>
      <w:r w:rsidRPr="00966B9E">
        <w:rPr>
          <w:bCs/>
          <w:lang w:val="en-US"/>
        </w:rPr>
        <w:t xml:space="preserve">Allow </w:t>
      </w:r>
      <w:r w:rsidRPr="00966B9E">
        <w:rPr>
          <w:rFonts w:hint="eastAsia"/>
          <w:bCs/>
          <w:lang w:val="en-US"/>
        </w:rPr>
        <w:t xml:space="preserve">single or </w:t>
      </w:r>
      <w:r w:rsidRPr="00966B9E">
        <w:rPr>
          <w:bCs/>
          <w:lang w:val="en-US"/>
        </w:rPr>
        <w:t>multiple Sync signal locations in wideband CC</w:t>
      </w:r>
    </w:p>
    <w:p w:rsidR="00966B9E" w:rsidRPr="00966B9E" w:rsidRDefault="00966B9E" w:rsidP="00966B9E">
      <w:pPr>
        <w:pStyle w:val="maintext"/>
        <w:numPr>
          <w:ilvl w:val="0"/>
          <w:numId w:val="49"/>
        </w:numPr>
        <w:ind w:firstLineChars="0"/>
        <w:jc w:val="left"/>
        <w:rPr>
          <w:bCs/>
          <w:lang w:val="en-US"/>
        </w:rPr>
      </w:pPr>
      <w:r w:rsidRPr="00966B9E">
        <w:rPr>
          <w:bCs/>
          <w:lang w:val="en-US"/>
        </w:rPr>
        <w:t xml:space="preserve">Consider further impact on design for: </w:t>
      </w:r>
    </w:p>
    <w:p w:rsidR="00966B9E" w:rsidRPr="00966B9E" w:rsidRDefault="00966B9E" w:rsidP="00966B9E">
      <w:pPr>
        <w:pStyle w:val="maintext"/>
        <w:numPr>
          <w:ilvl w:val="1"/>
          <w:numId w:val="49"/>
        </w:numPr>
        <w:ind w:firstLineChars="0"/>
        <w:jc w:val="left"/>
        <w:rPr>
          <w:bCs/>
          <w:lang w:val="en-US"/>
        </w:rPr>
      </w:pPr>
      <w:r w:rsidRPr="00966B9E">
        <w:rPr>
          <w:bCs/>
          <w:lang w:val="en-US"/>
        </w:rPr>
        <w:t>Reference signals</w:t>
      </w:r>
    </w:p>
    <w:p w:rsidR="00966B9E" w:rsidRPr="00966B9E" w:rsidRDefault="00966B9E" w:rsidP="00966B9E">
      <w:pPr>
        <w:pStyle w:val="maintext"/>
        <w:numPr>
          <w:ilvl w:val="1"/>
          <w:numId w:val="49"/>
        </w:numPr>
        <w:ind w:firstLineChars="0"/>
        <w:jc w:val="left"/>
        <w:rPr>
          <w:bCs/>
          <w:lang w:val="en-US"/>
        </w:rPr>
      </w:pPr>
      <w:r w:rsidRPr="00966B9E">
        <w:rPr>
          <w:bCs/>
          <w:lang w:val="en-US"/>
        </w:rPr>
        <w:t xml:space="preserve">Resource Block Group design and CSI </w:t>
      </w:r>
      <w:proofErr w:type="spellStart"/>
      <w:r w:rsidRPr="00966B9E">
        <w:rPr>
          <w:bCs/>
          <w:lang w:val="en-US"/>
        </w:rPr>
        <w:t>subbands</w:t>
      </w:r>
      <w:proofErr w:type="spellEnd"/>
    </w:p>
    <w:p w:rsidR="00F92090" w:rsidRPr="00F92090" w:rsidRDefault="00F92090" w:rsidP="00966B9E">
      <w:pPr>
        <w:pStyle w:val="maintext"/>
        <w:spacing w:before="0" w:after="0" w:line="240" w:lineRule="auto"/>
        <w:ind w:firstLineChars="0" w:firstLine="0"/>
        <w:rPr>
          <w:b/>
          <w:lang w:val="en-US" w:eastAsia="en-US"/>
        </w:rPr>
      </w:pPr>
    </w:p>
    <w:p w:rsidR="009D76BC" w:rsidRPr="009D76BC" w:rsidRDefault="00966B9E" w:rsidP="009D76BC">
      <w:pPr>
        <w:rPr>
          <w:lang w:eastAsia="en-US"/>
        </w:rPr>
      </w:pPr>
      <w:r>
        <w:rPr>
          <w:lang w:eastAsia="en-US"/>
        </w:rPr>
        <w:t>The reference signals design is based on PRB in frequency domain and slot/mini-slot in time domain.   PRB bundling was supported for better channel estimation.   When UE indicated the maximum supported operating bandwidth is smaller than that of system bandwidth, gNB needs to allocate the resource based on maximum supported operating bandwidth.   If gNB needs to allocate the w</w:t>
      </w:r>
      <w:r w:rsidR="00832329">
        <w:rPr>
          <w:lang w:eastAsia="en-US"/>
        </w:rPr>
        <w:t>hole system bandwidth to the UE as intra-band contiguous CCs with CA, the intra-band CA</w:t>
      </w:r>
      <w:r w:rsidR="00832329" w:rsidRPr="00832329">
        <w:rPr>
          <w:lang w:eastAsia="en-US"/>
        </w:rPr>
        <w:t xml:space="preserve"> </w:t>
      </w:r>
      <w:r w:rsidR="00832329">
        <w:rPr>
          <w:lang w:eastAsia="en-US"/>
        </w:rPr>
        <w:t xml:space="preserve">and cross carrier scheduling should be semi-statically configured by higher layer.   </w:t>
      </w:r>
    </w:p>
    <w:p w:rsidR="001B0960" w:rsidRDefault="001B0960" w:rsidP="001B0960">
      <w:pPr>
        <w:keepNext/>
        <w:jc w:val="center"/>
      </w:pPr>
    </w:p>
    <w:p w:rsidR="00832329" w:rsidRPr="00832329" w:rsidRDefault="00832329" w:rsidP="00832329">
      <w:pPr>
        <w:rPr>
          <w:b/>
          <w:lang w:eastAsia="en-US"/>
        </w:rPr>
      </w:pPr>
      <w:r>
        <w:rPr>
          <w:b/>
          <w:lang w:eastAsia="en-US"/>
        </w:rPr>
        <w:t xml:space="preserve">Proposal 3: </w:t>
      </w:r>
      <w:r w:rsidRPr="00832329">
        <w:rPr>
          <w:b/>
          <w:lang w:eastAsia="en-US"/>
        </w:rPr>
        <w:t xml:space="preserve">If gNB needs to allocate the whole system bandwidth to the UE as intra-band contiguous CCs with CA, the intra-band CA and cross carrier scheduling should be semi-statically configured by higher layer.   </w:t>
      </w:r>
    </w:p>
    <w:p w:rsidR="009D76BC" w:rsidRPr="00832329" w:rsidRDefault="009D76BC" w:rsidP="009D76BC">
      <w:pPr>
        <w:rPr>
          <w:b/>
          <w:lang w:eastAsia="en-US"/>
        </w:rPr>
      </w:pPr>
    </w:p>
    <w:p w:rsidR="00966B9E" w:rsidRPr="009D76BC" w:rsidRDefault="00966B9E" w:rsidP="009D76BC">
      <w:pPr>
        <w:rPr>
          <w:lang w:eastAsia="en-US"/>
        </w:rPr>
      </w:pPr>
    </w:p>
    <w:p w:rsidR="000859B2" w:rsidRPr="001D1EC3" w:rsidRDefault="000859B2" w:rsidP="00200DCD">
      <w:pPr>
        <w:pStyle w:val="1"/>
      </w:pPr>
      <w:r>
        <w:t>Conclusion</w:t>
      </w:r>
    </w:p>
    <w:p w:rsidR="00E42762" w:rsidRDefault="00380740" w:rsidP="00E42762">
      <w:r>
        <w:t>Thi</w:t>
      </w:r>
      <w:r w:rsidR="00E42762">
        <w:t>s paper discusse</w:t>
      </w:r>
      <w:r w:rsidR="00E47430">
        <w:t>s the consideration of maximum system b</w:t>
      </w:r>
      <w:r w:rsidR="005746F8">
        <w:t>andwidth</w:t>
      </w:r>
      <w:r w:rsidR="00E47430">
        <w:t xml:space="preserve"> supported by NR and the operation of 1GHz contiguous spectrum in different deployment scenarios.   We propose the following, </w:t>
      </w:r>
      <w:r w:rsidR="00E42762">
        <w:t xml:space="preserve"> </w:t>
      </w:r>
      <w:r w:rsidR="00D42529">
        <w:t xml:space="preserve"> </w:t>
      </w:r>
    </w:p>
    <w:p w:rsidR="001B0960" w:rsidRPr="001B0960" w:rsidRDefault="001B0960" w:rsidP="001B0960">
      <w:pPr>
        <w:pStyle w:val="maintext"/>
        <w:numPr>
          <w:ilvl w:val="0"/>
          <w:numId w:val="38"/>
        </w:numPr>
        <w:spacing w:before="0" w:after="0" w:line="240" w:lineRule="auto"/>
        <w:ind w:firstLineChars="0"/>
        <w:rPr>
          <w:bCs/>
          <w:lang w:val="en-US"/>
        </w:rPr>
      </w:pPr>
      <w:r w:rsidRPr="001B0960">
        <w:rPr>
          <w:bCs/>
          <w:lang w:val="en-US"/>
        </w:rPr>
        <w:t xml:space="preserve">Proposal 1: Maximum number of subcarriers should not be more than 3300 for single numerology case.  </w:t>
      </w:r>
    </w:p>
    <w:p w:rsidR="001B0960" w:rsidRPr="001B0960" w:rsidRDefault="001B0960" w:rsidP="001B0960">
      <w:pPr>
        <w:pStyle w:val="maintext"/>
        <w:numPr>
          <w:ilvl w:val="0"/>
          <w:numId w:val="38"/>
        </w:numPr>
        <w:spacing w:before="0" w:after="0" w:line="240" w:lineRule="auto"/>
        <w:ind w:firstLineChars="0"/>
        <w:rPr>
          <w:bCs/>
          <w:lang w:val="en-US"/>
        </w:rPr>
      </w:pPr>
      <w:r w:rsidRPr="001B0960">
        <w:rPr>
          <w:bCs/>
          <w:lang w:val="en-US"/>
        </w:rPr>
        <w:t xml:space="preserve">Proposal 2: Maximum number of subcarriers should not be more than 3300 for mixed numerology case with maximum system bandwidth of 400 </w:t>
      </w:r>
      <w:proofErr w:type="spellStart"/>
      <w:r w:rsidRPr="001B0960">
        <w:rPr>
          <w:bCs/>
          <w:lang w:val="en-US"/>
        </w:rPr>
        <w:t>MHz.</w:t>
      </w:r>
      <w:proofErr w:type="spellEnd"/>
      <w:r w:rsidRPr="001B0960">
        <w:rPr>
          <w:bCs/>
          <w:lang w:val="en-US"/>
        </w:rPr>
        <w:t xml:space="preserve">  </w:t>
      </w:r>
    </w:p>
    <w:p w:rsidR="00832329" w:rsidRPr="00832329" w:rsidRDefault="00832329" w:rsidP="00832329">
      <w:pPr>
        <w:pStyle w:val="a"/>
        <w:numPr>
          <w:ilvl w:val="0"/>
          <w:numId w:val="38"/>
        </w:numPr>
        <w:rPr>
          <w:lang w:eastAsia="en-US"/>
        </w:rPr>
      </w:pPr>
      <w:r w:rsidRPr="00832329">
        <w:rPr>
          <w:lang w:eastAsia="en-US"/>
        </w:rPr>
        <w:t xml:space="preserve">Proposal 3: If gNB needs to allocate the whole system bandwidth to the UE as intra-band contiguous CCs with CA, the intra-band CA and cross carrier scheduling should be semi-statically configured by higher layer.   </w:t>
      </w:r>
    </w:p>
    <w:p w:rsidR="00017155" w:rsidRPr="00A4102F" w:rsidRDefault="00017155" w:rsidP="00415673">
      <w:pPr>
        <w:pStyle w:val="8"/>
      </w:pPr>
      <w:r>
        <w:t>Reference</w:t>
      </w:r>
    </w:p>
    <w:p w:rsidR="0066736A" w:rsidRPr="009D76BC" w:rsidRDefault="0072107C" w:rsidP="009D76BC">
      <w:pPr>
        <w:pStyle w:val="a"/>
      </w:pPr>
      <w:bookmarkStart w:id="0" w:name="_Ref430885014"/>
      <w:r w:rsidRPr="009D76BC">
        <w:t>RP-160671, “Study on New Radio Access Technology”</w:t>
      </w:r>
      <w:r w:rsidR="00ED418A" w:rsidRPr="009D76BC">
        <w:t xml:space="preserve">, </w:t>
      </w:r>
      <w:proofErr w:type="spellStart"/>
      <w:r w:rsidR="00ED418A" w:rsidRPr="009D76BC">
        <w:t>DoCoMo</w:t>
      </w:r>
      <w:proofErr w:type="spellEnd"/>
    </w:p>
    <w:p w:rsidR="00ED418A" w:rsidRPr="009D76BC" w:rsidRDefault="00ED418A" w:rsidP="009D76BC">
      <w:pPr>
        <w:pStyle w:val="a"/>
      </w:pPr>
      <w:bookmarkStart w:id="1" w:name="_Ref446581113"/>
      <w:r w:rsidRPr="009D76BC">
        <w:t>TR38.913v0.2.1, “Study on Scenarios and Requirements for Next Generation Access Technologies”, CMCC</w:t>
      </w:r>
      <w:bookmarkEnd w:id="1"/>
    </w:p>
    <w:p w:rsidR="00F746F4" w:rsidRPr="00F746F4" w:rsidRDefault="00F746F4" w:rsidP="00F746F4">
      <w:pPr>
        <w:pStyle w:val="a"/>
      </w:pPr>
      <w:r w:rsidRPr="00F746F4">
        <w:rPr>
          <w:rFonts w:eastAsia="MS Mincho" w:hint="eastAsia"/>
        </w:rPr>
        <w:t>R1-1706427</w:t>
      </w:r>
      <w:r>
        <w:t>, “</w:t>
      </w:r>
      <w:r w:rsidRPr="00F746F4">
        <w:t>Way Forward on UE-specific RF bandwidth adaptation in NR</w:t>
      </w:r>
      <w:r>
        <w:t xml:space="preserve">”, </w:t>
      </w:r>
      <w:r w:rsidRPr="00F746F4">
        <w:rPr>
          <w:rFonts w:hint="eastAsia"/>
        </w:rPr>
        <w:tab/>
      </w:r>
      <w:r w:rsidRPr="00F746F4">
        <w:t>MediaTek, AT&amp;T, ITRI</w:t>
      </w:r>
      <w:r w:rsidRPr="00F746F4">
        <w:rPr>
          <w:rFonts w:hint="eastAsia"/>
        </w:rPr>
        <w:t xml:space="preserve">, </w:t>
      </w:r>
      <w:proofErr w:type="spellStart"/>
      <w:r w:rsidRPr="00F746F4">
        <w:rPr>
          <w:rFonts w:hint="eastAsia"/>
        </w:rPr>
        <w:t>InterDigital</w:t>
      </w:r>
      <w:proofErr w:type="spellEnd"/>
    </w:p>
    <w:p w:rsidR="00F746F4" w:rsidRPr="00F746F4" w:rsidRDefault="00F746F4" w:rsidP="00F746F4">
      <w:pPr>
        <w:pStyle w:val="a"/>
      </w:pPr>
      <w:r w:rsidRPr="00F746F4">
        <w:rPr>
          <w:rFonts w:eastAsia="MS Mincho" w:hint="eastAsia"/>
        </w:rPr>
        <w:lastRenderedPageBreak/>
        <w:t>R1-1706745</w:t>
      </w:r>
      <w:r>
        <w:t>, “</w:t>
      </w:r>
      <w:r w:rsidRPr="00F746F4">
        <w:t>Way Forward on bandwidth part in NR</w:t>
      </w:r>
      <w:r>
        <w:t xml:space="preserve">”, </w:t>
      </w:r>
      <w:r w:rsidRPr="00F746F4">
        <w:t xml:space="preserve">MediaTek, Huawei, </w:t>
      </w:r>
      <w:proofErr w:type="spellStart"/>
      <w:r w:rsidRPr="00F746F4">
        <w:t>HiSilicon</w:t>
      </w:r>
      <w:proofErr w:type="spellEnd"/>
      <w:r w:rsidRPr="00F746F4">
        <w:t>, Ericsson, Nokia</w:t>
      </w:r>
    </w:p>
    <w:p w:rsidR="00F746F4" w:rsidRPr="00F746F4" w:rsidRDefault="00F746F4" w:rsidP="00F746F4">
      <w:pPr>
        <w:pStyle w:val="a"/>
        <w:rPr>
          <w:rFonts w:hint="eastAsia"/>
        </w:rPr>
      </w:pPr>
      <w:r w:rsidRPr="00F746F4">
        <w:rPr>
          <w:rFonts w:eastAsia="MS Mincho" w:hint="eastAsia"/>
        </w:rPr>
        <w:t>R1-1706227</w:t>
      </w:r>
      <w:r>
        <w:rPr>
          <w:rFonts w:eastAsia="MS Mincho"/>
        </w:rPr>
        <w:t>, “</w:t>
      </w:r>
      <w:r w:rsidRPr="00F746F4">
        <w:t>WF on Wideband Operating Options</w:t>
      </w:r>
      <w:r>
        <w:t xml:space="preserve">”, </w:t>
      </w:r>
      <w:r w:rsidRPr="00F746F4">
        <w:t xml:space="preserve">Qualcomm, Panasonic, Ericsson, Huawei  </w:t>
      </w:r>
    </w:p>
    <w:p w:rsidR="009D76BC" w:rsidRPr="009D76BC" w:rsidRDefault="009D76BC" w:rsidP="009D76BC">
      <w:pPr>
        <w:pStyle w:val="a"/>
      </w:pPr>
      <w:r w:rsidRPr="009D76BC">
        <w:rPr>
          <w:rFonts w:hint="eastAsia"/>
        </w:rPr>
        <w:t>R1-1703685</w:t>
      </w:r>
      <w:r>
        <w:t>, “</w:t>
      </w:r>
      <w:r w:rsidRPr="009D76BC">
        <w:t>WF on wider BW operations</w:t>
      </w:r>
      <w:r>
        <w:t xml:space="preserve">”, </w:t>
      </w:r>
      <w:r w:rsidRPr="009D76BC">
        <w:rPr>
          <w:rFonts w:hint="eastAsia"/>
        </w:rPr>
        <w:tab/>
        <w:t>NTT DOCOMO</w:t>
      </w:r>
    </w:p>
    <w:p w:rsidR="009D76BC" w:rsidRPr="009D76BC" w:rsidRDefault="009D76BC" w:rsidP="009D76BC">
      <w:pPr>
        <w:pStyle w:val="a"/>
      </w:pPr>
      <w:bookmarkStart w:id="2" w:name="_Ref478045231"/>
      <w:r w:rsidRPr="009D76BC">
        <w:rPr>
          <w:rFonts w:hint="eastAsia"/>
        </w:rPr>
        <w:t>R1-1703773</w:t>
      </w:r>
      <w:r>
        <w:rPr>
          <w:b/>
        </w:rPr>
        <w:t>, “</w:t>
      </w:r>
      <w:r w:rsidRPr="00B551F7">
        <w:t>WF on Wideband Operating Options</w:t>
      </w:r>
      <w:r w:rsidRPr="00B551F7">
        <w:rPr>
          <w:rFonts w:hint="eastAsia"/>
        </w:rPr>
        <w:tab/>
      </w:r>
      <w:r w:rsidRPr="009D76BC">
        <w:t>Qualcomm, Panasonic</w:t>
      </w:r>
      <w:bookmarkEnd w:id="2"/>
    </w:p>
    <w:p w:rsidR="00BE4B62" w:rsidRPr="009D76BC" w:rsidRDefault="00F746F4" w:rsidP="009D76BC">
      <w:pPr>
        <w:pStyle w:val="a"/>
      </w:pPr>
      <w:r>
        <w:t>R1-1704597</w:t>
      </w:r>
      <w:r w:rsidR="00630AEB" w:rsidRPr="009D76BC">
        <w:t>, “</w:t>
      </w:r>
      <w:r w:rsidR="00BE4B62" w:rsidRPr="009D76BC">
        <w:t>NR wider bandwidth operation up to 1GHz</w:t>
      </w:r>
      <w:r w:rsidR="00630AEB" w:rsidRPr="009D76BC">
        <w:t xml:space="preserve">”, </w:t>
      </w:r>
      <w:r w:rsidR="00BE4B62" w:rsidRPr="009D76BC">
        <w:tab/>
        <w:t>CATT</w:t>
      </w:r>
    </w:p>
    <w:bookmarkEnd w:id="0"/>
    <w:p w:rsidR="00E42E42" w:rsidRPr="00BE4B62" w:rsidRDefault="00E42E42" w:rsidP="00056576">
      <w:pPr>
        <w:pStyle w:val="a"/>
        <w:numPr>
          <w:ilvl w:val="0"/>
          <w:numId w:val="0"/>
        </w:numPr>
        <w:ind w:left="720"/>
      </w:pPr>
    </w:p>
    <w:sectPr w:rsidR="00E42E42" w:rsidRPr="00BE4B62"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81C" w:rsidRDefault="00DB581C" w:rsidP="00086ACB">
      <w:r>
        <w:separator/>
      </w:r>
    </w:p>
  </w:endnote>
  <w:endnote w:type="continuationSeparator" w:id="0">
    <w:p w:rsidR="00DB581C" w:rsidRDefault="00DB581C"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A511E"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A511E"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separate"/>
    </w:r>
    <w:r w:rsidR="00832329">
      <w:rPr>
        <w:rStyle w:val="af7"/>
      </w:rPr>
      <w:t>3</w:t>
    </w:r>
    <w:r>
      <w:rPr>
        <w:rStyle w:val="af7"/>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81C" w:rsidRDefault="00DB581C" w:rsidP="00086ACB">
      <w:r>
        <w:separator/>
      </w:r>
    </w:p>
  </w:footnote>
  <w:footnote w:type="continuationSeparator" w:id="0">
    <w:p w:rsidR="00DB581C" w:rsidRDefault="00DB581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8">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0">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1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910F32"/>
    <w:multiLevelType w:val="hybridMultilevel"/>
    <w:tmpl w:val="D540A16E"/>
    <w:lvl w:ilvl="0" w:tplc="A080B676">
      <w:start w:val="1"/>
      <w:numFmt w:val="decimal"/>
      <w:pStyle w:val="a"/>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FC78F3"/>
    <w:multiLevelType w:val="hybridMultilevel"/>
    <w:tmpl w:val="1D22E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4">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4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45">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46">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9">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38"/>
  </w:num>
  <w:num w:numId="3">
    <w:abstractNumId w:val="36"/>
  </w:num>
  <w:num w:numId="4">
    <w:abstractNumId w:val="15"/>
  </w:num>
  <w:num w:numId="5">
    <w:abstractNumId w:val="26"/>
  </w:num>
  <w:num w:numId="6">
    <w:abstractNumId w:val="18"/>
  </w:num>
  <w:num w:numId="7">
    <w:abstractNumId w:val="40"/>
  </w:num>
  <w:num w:numId="8">
    <w:abstractNumId w:val="41"/>
  </w:num>
  <w:num w:numId="9">
    <w:abstractNumId w:val="20"/>
  </w:num>
  <w:num w:numId="10">
    <w:abstractNumId w:val="24"/>
  </w:num>
  <w:num w:numId="11">
    <w:abstractNumId w:val="22"/>
  </w:num>
  <w:num w:numId="12">
    <w:abstractNumId w:val="10"/>
  </w:num>
  <w:num w:numId="13">
    <w:abstractNumId w:val="29"/>
  </w:num>
  <w:num w:numId="14">
    <w:abstractNumId w:val="19"/>
  </w:num>
  <w:num w:numId="15">
    <w:abstractNumId w:val="47"/>
  </w:num>
  <w:num w:numId="16">
    <w:abstractNumId w:val="8"/>
  </w:num>
  <w:num w:numId="17">
    <w:abstractNumId w:val="30"/>
  </w:num>
  <w:num w:numId="18">
    <w:abstractNumId w:val="9"/>
  </w:num>
  <w:num w:numId="19">
    <w:abstractNumId w:val="0"/>
  </w:num>
  <w:num w:numId="20">
    <w:abstractNumId w:val="2"/>
  </w:num>
  <w:num w:numId="21">
    <w:abstractNumId w:val="31"/>
  </w:num>
  <w:num w:numId="22">
    <w:abstractNumId w:val="34"/>
  </w:num>
  <w:num w:numId="23">
    <w:abstractNumId w:val="11"/>
  </w:num>
  <w:num w:numId="24">
    <w:abstractNumId w:val="7"/>
  </w:num>
  <w:num w:numId="25">
    <w:abstractNumId w:val="21"/>
  </w:num>
  <w:num w:numId="26">
    <w:abstractNumId w:val="33"/>
  </w:num>
  <w:num w:numId="27">
    <w:abstractNumId w:val="17"/>
  </w:num>
  <w:num w:numId="28">
    <w:abstractNumId w:val="6"/>
  </w:num>
  <w:num w:numId="29">
    <w:abstractNumId w:val="14"/>
  </w:num>
  <w:num w:numId="30">
    <w:abstractNumId w:val="42"/>
  </w:num>
  <w:num w:numId="31">
    <w:abstractNumId w:val="5"/>
  </w:num>
  <w:num w:numId="32">
    <w:abstractNumId w:val="46"/>
  </w:num>
  <w:num w:numId="33">
    <w:abstractNumId w:val="32"/>
  </w:num>
  <w:num w:numId="34">
    <w:abstractNumId w:val="23"/>
  </w:num>
  <w:num w:numId="35">
    <w:abstractNumId w:val="1"/>
  </w:num>
  <w:num w:numId="36">
    <w:abstractNumId w:val="37"/>
  </w:num>
  <w:num w:numId="37">
    <w:abstractNumId w:val="3"/>
  </w:num>
  <w:num w:numId="38">
    <w:abstractNumId w:val="43"/>
  </w:num>
  <w:num w:numId="39">
    <w:abstractNumId w:val="27"/>
  </w:num>
  <w:num w:numId="40">
    <w:abstractNumId w:val="39"/>
  </w:num>
  <w:num w:numId="41">
    <w:abstractNumId w:val="28"/>
  </w:num>
  <w:num w:numId="42">
    <w:abstractNumId w:val="4"/>
  </w:num>
  <w:num w:numId="43">
    <w:abstractNumId w:val="12"/>
  </w:num>
  <w:num w:numId="44">
    <w:abstractNumId w:val="44"/>
  </w:num>
  <w:num w:numId="45">
    <w:abstractNumId w:val="16"/>
  </w:num>
  <w:num w:numId="46">
    <w:abstractNumId w:val="13"/>
  </w:num>
  <w:num w:numId="47">
    <w:abstractNumId w:val="25"/>
  </w:num>
  <w:num w:numId="48">
    <w:abstractNumId w:val="45"/>
  </w:num>
  <w:num w:numId="49">
    <w:abstractNumId w:val="35"/>
  </w:num>
  <w:num w:numId="50">
    <w:abstractNumId w:val="4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numRestart w:val="eachSect"/>
    <w:footnote w:id="-1"/>
    <w:footnote w:id="0"/>
  </w:footnotePr>
  <w:endnotePr>
    <w:endnote w:id="-1"/>
    <w:endnote w:id="0"/>
  </w:endnotePr>
  <w:compat>
    <w:useFELayout/>
  </w:compat>
  <w:rsids>
    <w:rsidRoot w:val="00174C61"/>
    <w:rsid w:val="0000086D"/>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032"/>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576"/>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75B"/>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0E0"/>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867"/>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1B83"/>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67D4F"/>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3EFD"/>
    <w:rsid w:val="001A45B6"/>
    <w:rsid w:val="001A4E98"/>
    <w:rsid w:val="001A552F"/>
    <w:rsid w:val="001A6612"/>
    <w:rsid w:val="001A6F0F"/>
    <w:rsid w:val="001A72E2"/>
    <w:rsid w:val="001B0960"/>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7F8"/>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59E"/>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1C41"/>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5C9"/>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66"/>
    <w:rsid w:val="002F4F9A"/>
    <w:rsid w:val="002F6EE1"/>
    <w:rsid w:val="002F7854"/>
    <w:rsid w:val="003001FD"/>
    <w:rsid w:val="00300739"/>
    <w:rsid w:val="00304063"/>
    <w:rsid w:val="003058B2"/>
    <w:rsid w:val="00306429"/>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18D9"/>
    <w:rsid w:val="0034226F"/>
    <w:rsid w:val="00342659"/>
    <w:rsid w:val="0034329A"/>
    <w:rsid w:val="00343326"/>
    <w:rsid w:val="00345354"/>
    <w:rsid w:val="003453A6"/>
    <w:rsid w:val="003467BC"/>
    <w:rsid w:val="00346975"/>
    <w:rsid w:val="003469F1"/>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2C5C"/>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5DDA"/>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4B3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1A76"/>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F8B"/>
    <w:rsid w:val="004568D5"/>
    <w:rsid w:val="00456BF9"/>
    <w:rsid w:val="00457503"/>
    <w:rsid w:val="0045777B"/>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206"/>
    <w:rsid w:val="004844EF"/>
    <w:rsid w:val="00484E0A"/>
    <w:rsid w:val="0048519B"/>
    <w:rsid w:val="00485D8A"/>
    <w:rsid w:val="00485FFC"/>
    <w:rsid w:val="00486309"/>
    <w:rsid w:val="0048764B"/>
    <w:rsid w:val="004876AA"/>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0C3"/>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11E"/>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DB2"/>
    <w:rsid w:val="005F2765"/>
    <w:rsid w:val="005F347F"/>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AEB"/>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025"/>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2FDD"/>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BB3"/>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329"/>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0994"/>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08E"/>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6B9E"/>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A2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D76BC"/>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47ACC"/>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7B8"/>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A7FA8"/>
    <w:rsid w:val="00AB087D"/>
    <w:rsid w:val="00AB08CB"/>
    <w:rsid w:val="00AB0A7B"/>
    <w:rsid w:val="00AB0B9E"/>
    <w:rsid w:val="00AB14B6"/>
    <w:rsid w:val="00AB163D"/>
    <w:rsid w:val="00AB1F3D"/>
    <w:rsid w:val="00AB1FF3"/>
    <w:rsid w:val="00AB2759"/>
    <w:rsid w:val="00AB2B65"/>
    <w:rsid w:val="00AB2D82"/>
    <w:rsid w:val="00AB32D7"/>
    <w:rsid w:val="00AB3733"/>
    <w:rsid w:val="00AB3A7D"/>
    <w:rsid w:val="00AB4C19"/>
    <w:rsid w:val="00AB52B5"/>
    <w:rsid w:val="00AB52FB"/>
    <w:rsid w:val="00AB769D"/>
    <w:rsid w:val="00AB7B54"/>
    <w:rsid w:val="00AC18C4"/>
    <w:rsid w:val="00AC2C1E"/>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6C4C"/>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157"/>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0EE8"/>
    <w:rsid w:val="00B71401"/>
    <w:rsid w:val="00B720D2"/>
    <w:rsid w:val="00B72235"/>
    <w:rsid w:val="00B741FF"/>
    <w:rsid w:val="00B74CBE"/>
    <w:rsid w:val="00B74DA8"/>
    <w:rsid w:val="00B757DE"/>
    <w:rsid w:val="00B75DA2"/>
    <w:rsid w:val="00B7683E"/>
    <w:rsid w:val="00B776F7"/>
    <w:rsid w:val="00B77A29"/>
    <w:rsid w:val="00B77D6E"/>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4B62"/>
    <w:rsid w:val="00BE6942"/>
    <w:rsid w:val="00BE7D3C"/>
    <w:rsid w:val="00BF009E"/>
    <w:rsid w:val="00BF0ECE"/>
    <w:rsid w:val="00BF21A4"/>
    <w:rsid w:val="00BF288B"/>
    <w:rsid w:val="00BF2AD7"/>
    <w:rsid w:val="00BF318D"/>
    <w:rsid w:val="00BF34AF"/>
    <w:rsid w:val="00BF4DE9"/>
    <w:rsid w:val="00BF5953"/>
    <w:rsid w:val="00BF5E24"/>
    <w:rsid w:val="00BF761B"/>
    <w:rsid w:val="00BF784A"/>
    <w:rsid w:val="00BF7EB2"/>
    <w:rsid w:val="00C00732"/>
    <w:rsid w:val="00C0211E"/>
    <w:rsid w:val="00C02329"/>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06A9"/>
    <w:rsid w:val="00C34241"/>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2DA"/>
    <w:rsid w:val="00C834BE"/>
    <w:rsid w:val="00C83EB9"/>
    <w:rsid w:val="00C8453B"/>
    <w:rsid w:val="00C84749"/>
    <w:rsid w:val="00C848BB"/>
    <w:rsid w:val="00C84E5C"/>
    <w:rsid w:val="00C84FB9"/>
    <w:rsid w:val="00C85807"/>
    <w:rsid w:val="00C87416"/>
    <w:rsid w:val="00C87656"/>
    <w:rsid w:val="00C87E97"/>
    <w:rsid w:val="00C87EC8"/>
    <w:rsid w:val="00C91CB1"/>
    <w:rsid w:val="00C91D15"/>
    <w:rsid w:val="00C92854"/>
    <w:rsid w:val="00C93FA1"/>
    <w:rsid w:val="00C94363"/>
    <w:rsid w:val="00C94470"/>
    <w:rsid w:val="00C9535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29B1"/>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17D"/>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CF5"/>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581C"/>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1E14"/>
    <w:rsid w:val="00DF2522"/>
    <w:rsid w:val="00DF4684"/>
    <w:rsid w:val="00DF54A7"/>
    <w:rsid w:val="00E0012A"/>
    <w:rsid w:val="00E006B8"/>
    <w:rsid w:val="00E02434"/>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298"/>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9C8"/>
    <w:rsid w:val="00ED7090"/>
    <w:rsid w:val="00EE00BA"/>
    <w:rsid w:val="00EE08E0"/>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4D8F"/>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26F"/>
    <w:rsid w:val="00F243C7"/>
    <w:rsid w:val="00F24763"/>
    <w:rsid w:val="00F24E8A"/>
    <w:rsid w:val="00F27096"/>
    <w:rsid w:val="00F27361"/>
    <w:rsid w:val="00F30DE3"/>
    <w:rsid w:val="00F32B46"/>
    <w:rsid w:val="00F32C16"/>
    <w:rsid w:val="00F33E7C"/>
    <w:rsid w:val="00F340FD"/>
    <w:rsid w:val="00F344A2"/>
    <w:rsid w:val="00F352B8"/>
    <w:rsid w:val="00F3578F"/>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F4"/>
    <w:rsid w:val="00F74A60"/>
    <w:rsid w:val="00F75FBE"/>
    <w:rsid w:val="00F766A3"/>
    <w:rsid w:val="00F80D60"/>
    <w:rsid w:val="00F80F57"/>
    <w:rsid w:val="00F82559"/>
    <w:rsid w:val="00F834F9"/>
    <w:rsid w:val="00F839D3"/>
    <w:rsid w:val="00F84060"/>
    <w:rsid w:val="00F842EA"/>
    <w:rsid w:val="00F87D29"/>
    <w:rsid w:val="00F914BE"/>
    <w:rsid w:val="00F91C24"/>
    <w:rsid w:val="00F92090"/>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0C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
    <w:next w:val="a0"/>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0"/>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0"/>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0"/>
    <w:qFormat/>
    <w:rsid w:val="002D51E6"/>
    <w:pPr>
      <w:ind w:left="1418" w:hanging="1418"/>
      <w:outlineLvl w:val="3"/>
    </w:pPr>
    <w:rPr>
      <w:sz w:val="24"/>
    </w:rPr>
  </w:style>
  <w:style w:type="paragraph" w:styleId="5">
    <w:name w:val="heading 5"/>
    <w:basedOn w:val="4"/>
    <w:next w:val="a0"/>
    <w:qFormat/>
    <w:rsid w:val="002D51E6"/>
    <w:pPr>
      <w:ind w:left="1701" w:hanging="1701"/>
      <w:outlineLvl w:val="4"/>
    </w:pPr>
    <w:rPr>
      <w:sz w:val="22"/>
    </w:rPr>
  </w:style>
  <w:style w:type="paragraph" w:styleId="6">
    <w:name w:val="heading 6"/>
    <w:basedOn w:val="H6"/>
    <w:next w:val="a0"/>
    <w:qFormat/>
    <w:rsid w:val="002D51E6"/>
    <w:pPr>
      <w:outlineLvl w:val="5"/>
    </w:pPr>
  </w:style>
  <w:style w:type="paragraph" w:styleId="7">
    <w:name w:val="heading 7"/>
    <w:basedOn w:val="H6"/>
    <w:next w:val="a0"/>
    <w:qFormat/>
    <w:rsid w:val="002D51E6"/>
    <w:pPr>
      <w:outlineLvl w:val="6"/>
    </w:pPr>
  </w:style>
  <w:style w:type="paragraph" w:styleId="8">
    <w:name w:val="heading 8"/>
    <w:basedOn w:val="1"/>
    <w:next w:val="a0"/>
    <w:qFormat/>
    <w:rsid w:val="002D51E6"/>
    <w:pPr>
      <w:ind w:left="0" w:firstLine="0"/>
      <w:outlineLvl w:val="7"/>
    </w:pPr>
  </w:style>
  <w:style w:type="paragraph" w:styleId="9">
    <w:name w:val="heading 9"/>
    <w:basedOn w:val="8"/>
    <w:next w:val="a0"/>
    <w:qFormat/>
    <w:rsid w:val="002D51E6"/>
    <w:p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0"/>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semiHidden/>
    <w:rsid w:val="002D51E6"/>
    <w:pPr>
      <w:ind w:left="1985" w:hanging="1985"/>
    </w:pPr>
  </w:style>
  <w:style w:type="paragraph" w:styleId="70">
    <w:name w:val="toc 7"/>
    <w:basedOn w:val="60"/>
    <w:next w:val="a0"/>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0"/>
    <w:semiHidden/>
    <w:rsid w:val="002D51E6"/>
  </w:style>
  <w:style w:type="character" w:styleId="ae">
    <w:name w:val="FollowedHyperlink"/>
    <w:rsid w:val="002D51E6"/>
    <w:rPr>
      <w:color w:val="800080"/>
      <w:u w:val="single"/>
    </w:rPr>
  </w:style>
  <w:style w:type="paragraph" w:styleId="af">
    <w:name w:val="Document Map"/>
    <w:basedOn w:val="a0"/>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0"/>
    <w:link w:val="Char1"/>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5">
    <w:name w:val="Body Text Indent 2"/>
    <w:basedOn w:val="a0"/>
    <w:rsid w:val="002D51E6"/>
    <w:pPr>
      <w:ind w:leftChars="100" w:left="200"/>
    </w:pPr>
  </w:style>
  <w:style w:type="paragraph" w:styleId="af3">
    <w:name w:val="Balloon Text"/>
    <w:basedOn w:val="a0"/>
    <w:semiHidden/>
    <w:rsid w:val="002D51E6"/>
    <w:rPr>
      <w:rFonts w:ascii="Arial" w:eastAsia="MS Gothic" w:hAnsi="Arial"/>
      <w:sz w:val="18"/>
      <w:szCs w:val="18"/>
    </w:rPr>
  </w:style>
  <w:style w:type="paragraph" w:styleId="26">
    <w:name w:val="Body Text 2"/>
    <w:basedOn w:val="a0"/>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0"/>
    <w:next w:val="a0"/>
    <w:rsid w:val="00D37F25"/>
  </w:style>
  <w:style w:type="paragraph" w:styleId="af6">
    <w:name w:val="Title"/>
    <w:basedOn w:val="a0"/>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a">
    <w:name w:val="caption"/>
    <w:basedOn w:val="a0"/>
    <w:next w:val="a0"/>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
    <w:name w:val="List Paragraph"/>
    <w:basedOn w:val="a0"/>
    <w:link w:val="Char3"/>
    <w:uiPriority w:val="34"/>
    <w:qFormat/>
    <w:rsid w:val="009D76BC"/>
    <w:pPr>
      <w:numPr>
        <w:numId w:val="6"/>
      </w:numPr>
      <w:spacing w:after="0"/>
      <w:contextualSpacing/>
    </w:pPr>
    <w:rPr>
      <w:rFonts w:eastAsiaTheme="minorEastAsia"/>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
    <w:uiPriority w:val="34"/>
    <w:rsid w:val="009D76BC"/>
    <w:rPr>
      <w:rFonts w:ascii="Times New Roman" w:eastAsiaTheme="minorEastAsia" w:hAnsi="Times New Roman"/>
      <w:szCs w:val="24"/>
      <w:lang w:eastAsia="ja-JP"/>
    </w:rPr>
  </w:style>
  <w:style w:type="character" w:customStyle="1" w:styleId="Char2">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802785B-DBD8-46F2-AE75-AD7BC3E4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2128</TotalTime>
  <Pages>4</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17</cp:revision>
  <cp:lastPrinted>2006-02-09T13:55:00Z</cp:lastPrinted>
  <dcterms:created xsi:type="dcterms:W3CDTF">2017-01-05T01:00:00Z</dcterms:created>
  <dcterms:modified xsi:type="dcterms:W3CDTF">2017-05-03T21:29:00Z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