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6BCBE" w14:textId="4C5F692E" w:rsidR="001F59A6" w:rsidRDefault="00D64CC7" w:rsidP="001309B8">
      <w:pPr>
        <w:pStyle w:val="Header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 w:rsidRPr="00D64CC7">
        <w:rPr>
          <w:rFonts w:ascii="Arial" w:hAnsi="Arial" w:cs="Arial"/>
          <w:b/>
          <w:bCs/>
          <w:sz w:val="28"/>
        </w:rPr>
        <w:t xml:space="preserve">3GPP TSG RAN </w:t>
      </w:r>
      <w:r w:rsidR="00FC2544" w:rsidRPr="00FC2544">
        <w:rPr>
          <w:rFonts w:ascii="Arial" w:hAnsi="Arial" w:cs="Arial"/>
          <w:b/>
          <w:bCs/>
          <w:sz w:val="28"/>
        </w:rPr>
        <w:t xml:space="preserve">WG1 </w:t>
      </w:r>
      <w:r w:rsidR="001776E1" w:rsidRPr="0052548E">
        <w:rPr>
          <w:rFonts w:ascii="Arial" w:hAnsi="Arial" w:cs="Arial"/>
          <w:b/>
          <w:bCs/>
          <w:sz w:val="28"/>
        </w:rPr>
        <w:t>Meeting #</w:t>
      </w:r>
      <w:r w:rsidR="001776E1">
        <w:rPr>
          <w:rFonts w:ascii="Arial" w:hAnsi="Arial" w:cs="Arial"/>
          <w:b/>
          <w:bCs/>
          <w:sz w:val="28"/>
        </w:rPr>
        <w:t>8</w:t>
      </w:r>
      <w:r w:rsidR="001776E1" w:rsidRPr="009513AC">
        <w:rPr>
          <w:rFonts w:ascii="Arial" w:hAnsi="Arial" w:cs="Arial" w:hint="eastAsia"/>
          <w:b/>
          <w:bCs/>
          <w:sz w:val="28"/>
          <w:lang w:eastAsia="ja-JP"/>
        </w:rPr>
        <w:t>8</w:t>
      </w:r>
      <w:r w:rsidR="009551D0" w:rsidRPr="009551D0">
        <w:rPr>
          <w:rFonts w:ascii="Arial" w:hAnsi="Arial" w:cs="Arial"/>
          <w:b/>
          <w:bCs/>
          <w:sz w:val="28"/>
        </w:rPr>
        <w:tab/>
      </w:r>
      <w:r w:rsidR="009551D0">
        <w:rPr>
          <w:rFonts w:ascii="Arial" w:hAnsi="Arial" w:cs="Arial"/>
          <w:b/>
          <w:bCs/>
          <w:sz w:val="28"/>
          <w:lang w:eastAsia="ja-JP"/>
        </w:rPr>
        <w:tab/>
      </w:r>
      <w:r w:rsidR="001776E1">
        <w:rPr>
          <w:rFonts w:ascii="Arial" w:hAnsi="Arial" w:cs="Arial"/>
          <w:b/>
          <w:bCs/>
          <w:sz w:val="28"/>
          <w:lang w:eastAsia="ja-JP"/>
        </w:rPr>
        <w:tab/>
      </w:r>
      <w:r w:rsidR="00FC3B3A" w:rsidRPr="00FC3B3A">
        <w:rPr>
          <w:rFonts w:ascii="Arial" w:hAnsi="Arial" w:cs="Arial"/>
          <w:b/>
          <w:bCs/>
          <w:sz w:val="28"/>
          <w:lang w:eastAsia="ja-JP"/>
        </w:rPr>
        <w:t>R1-1703127</w:t>
      </w:r>
    </w:p>
    <w:p w14:paraId="3D039187" w14:textId="09487945" w:rsidR="001F59A6" w:rsidRDefault="001776E1" w:rsidP="00B25F4B">
      <w:pPr>
        <w:pStyle w:val="Header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 w:rsidRPr="009513AC">
        <w:rPr>
          <w:rFonts w:ascii="Arial" w:hAnsi="Arial" w:cs="Arial" w:hint="eastAsia"/>
          <w:b/>
          <w:bCs/>
          <w:sz w:val="28"/>
          <w:lang w:eastAsia="ja-JP"/>
        </w:rPr>
        <w:t>Athens</w:t>
      </w:r>
      <w:r>
        <w:rPr>
          <w:rFonts w:ascii="Arial" w:hAnsi="Arial" w:cs="Arial"/>
          <w:b/>
          <w:bCs/>
          <w:sz w:val="28"/>
        </w:rPr>
        <w:t xml:space="preserve">, 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Greece</w:t>
      </w:r>
      <w:r>
        <w:rPr>
          <w:rFonts w:ascii="Arial" w:hAnsi="Arial" w:cs="Arial"/>
          <w:b/>
          <w:bCs/>
          <w:sz w:val="28"/>
          <w:lang w:eastAsia="ja-JP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3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February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4CF2ACFA" w14:textId="77777777" w:rsidR="001F59A6" w:rsidRPr="00B27100" w:rsidRDefault="001F59A6" w:rsidP="00B25F4B">
      <w:pPr>
        <w:pStyle w:val="Title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715A9C1A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1776E1">
        <w:rPr>
          <w:rFonts w:ascii="Arial" w:hAnsi="Arial"/>
          <w:sz w:val="24"/>
        </w:rPr>
        <w:t>8</w:t>
      </w:r>
      <w:r w:rsidR="00150B1E">
        <w:rPr>
          <w:rFonts w:ascii="Arial" w:hAnsi="Arial"/>
          <w:sz w:val="24"/>
        </w:rPr>
        <w:t>.1.1</w:t>
      </w:r>
      <w:r w:rsidR="00D11826">
        <w:rPr>
          <w:rFonts w:ascii="Arial" w:hAnsi="Arial"/>
          <w:sz w:val="24"/>
        </w:rPr>
        <w:t>.1</w:t>
      </w:r>
      <w:r w:rsidR="00150B1E">
        <w:rPr>
          <w:rFonts w:ascii="Arial" w:hAnsi="Arial"/>
          <w:sz w:val="24"/>
        </w:rPr>
        <w:t>.1</w:t>
      </w:r>
    </w:p>
    <w:p w14:paraId="5C7339D3" w14:textId="2585EDA8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</w:t>
      </w:r>
      <w:r w:rsidR="007579FE">
        <w:rPr>
          <w:rFonts w:ascii="Arial" w:hAnsi="Arial"/>
          <w:sz w:val="24"/>
        </w:rPr>
        <w:t>ONY</w:t>
      </w:r>
    </w:p>
    <w:p w14:paraId="4B7E2C71" w14:textId="52CCBF51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07715A">
        <w:rPr>
          <w:rFonts w:ascii="Arial" w:hAnsi="Arial" w:hint="eastAsia"/>
          <w:sz w:val="24"/>
        </w:rPr>
        <w:t xml:space="preserve">NR </w:t>
      </w:r>
      <w:r w:rsidR="00707BC2">
        <w:rPr>
          <w:rFonts w:ascii="Arial" w:hAnsi="Arial" w:hint="eastAsia"/>
          <w:sz w:val="24"/>
        </w:rPr>
        <w:t xml:space="preserve">synchronization </w:t>
      </w:r>
      <w:r w:rsidR="00D11826">
        <w:rPr>
          <w:rFonts w:ascii="Arial" w:hAnsi="Arial" w:hint="eastAsia"/>
          <w:sz w:val="24"/>
        </w:rPr>
        <w:t>signal</w:t>
      </w:r>
      <w:r w:rsidR="00150B1E">
        <w:rPr>
          <w:rFonts w:ascii="Arial" w:hAnsi="Arial"/>
          <w:sz w:val="24"/>
        </w:rPr>
        <w:t xml:space="preserve"> </w:t>
      </w:r>
      <w:r w:rsidR="00CE3100">
        <w:rPr>
          <w:rFonts w:ascii="Arial" w:hAnsi="Arial"/>
          <w:sz w:val="24"/>
        </w:rPr>
        <w:t xml:space="preserve">configuration </w:t>
      </w:r>
      <w:r w:rsidR="001776E1">
        <w:rPr>
          <w:rFonts w:ascii="Arial" w:hAnsi="Arial"/>
          <w:sz w:val="24"/>
        </w:rPr>
        <w:t xml:space="preserve">and </w:t>
      </w:r>
      <w:bookmarkStart w:id="1" w:name="_GoBack"/>
      <w:bookmarkEnd w:id="1"/>
      <w:r w:rsidR="001776E1">
        <w:rPr>
          <w:rFonts w:ascii="Arial" w:hAnsi="Arial"/>
          <w:sz w:val="24"/>
        </w:rPr>
        <w:t>multiplexing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2" w:name="Title"/>
      <w:bookmarkStart w:id="3" w:name="DocumentFor"/>
      <w:bookmarkEnd w:id="2"/>
      <w:bookmarkEnd w:id="3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 w:rsidRPr="00CC27F5">
        <w:t>Introduction</w:t>
      </w:r>
    </w:p>
    <w:p w14:paraId="2B55FDEC" w14:textId="186EF250" w:rsidR="005C2EDC" w:rsidRPr="00BE4735" w:rsidRDefault="001776E1" w:rsidP="005C2EDC">
      <w:pPr>
        <w:pStyle w:val="a"/>
        <w:spacing w:beforeLines="50" w:before="180"/>
        <w:rPr>
          <w:rFonts w:asciiTheme="minorHAnsi" w:hAnsiTheme="minorHAnsi"/>
          <w:szCs w:val="21"/>
        </w:rPr>
      </w:pPr>
      <w:r>
        <w:rPr>
          <w:rFonts w:asciiTheme="minorHAnsi" w:hAnsiTheme="minorHAnsi"/>
          <w:szCs w:val="21"/>
        </w:rPr>
        <w:t xml:space="preserve">In last RAN1 NR </w:t>
      </w:r>
      <w:proofErr w:type="spellStart"/>
      <w:r>
        <w:rPr>
          <w:rFonts w:asciiTheme="minorHAnsi" w:hAnsiTheme="minorHAnsi"/>
          <w:szCs w:val="21"/>
        </w:rPr>
        <w:t>adhoc</w:t>
      </w:r>
      <w:proofErr w:type="spellEnd"/>
      <w:r w:rsidR="005C2EDC" w:rsidRPr="00BE4735">
        <w:rPr>
          <w:rFonts w:asciiTheme="minorHAnsi" w:hAnsiTheme="minorHAnsi"/>
          <w:szCs w:val="21"/>
        </w:rPr>
        <w:t xml:space="preserve"> meeting [1], the</w:t>
      </w:r>
      <w:r w:rsidR="003154B4" w:rsidRPr="00BE4735">
        <w:rPr>
          <w:rFonts w:asciiTheme="minorHAnsi" w:hAnsiTheme="minorHAnsi"/>
          <w:szCs w:val="21"/>
        </w:rPr>
        <w:t xml:space="preserve"> synchronization signal for NR</w:t>
      </w:r>
      <w:r w:rsidR="00192AB2">
        <w:rPr>
          <w:rFonts w:asciiTheme="minorHAnsi" w:hAnsiTheme="minorHAnsi"/>
          <w:szCs w:val="21"/>
        </w:rPr>
        <w:t xml:space="preserve"> initial access was discussed. Among others, t</w:t>
      </w:r>
      <w:r w:rsidR="003154B4" w:rsidRPr="00BE4735">
        <w:rPr>
          <w:rFonts w:asciiTheme="minorHAnsi" w:hAnsiTheme="minorHAnsi"/>
          <w:szCs w:val="21"/>
        </w:rPr>
        <w:t>he</w:t>
      </w:r>
      <w:r w:rsidR="005C2EDC" w:rsidRPr="00BE4735">
        <w:rPr>
          <w:rFonts w:asciiTheme="minorHAnsi" w:hAnsiTheme="minorHAnsi"/>
          <w:szCs w:val="21"/>
        </w:rPr>
        <w:t xml:space="preserve"> following agreements were made.</w:t>
      </w:r>
    </w:p>
    <w:p w14:paraId="7F1514A6" w14:textId="77777777" w:rsidR="003462D4" w:rsidRPr="00566C7E" w:rsidRDefault="003462D4" w:rsidP="003462D4">
      <w:pPr>
        <w:rPr>
          <w:b/>
          <w:u w:val="single"/>
          <w:lang w:val="en-US"/>
        </w:rPr>
      </w:pPr>
      <w:r w:rsidRPr="008B0612">
        <w:rPr>
          <w:rFonts w:hint="eastAsia"/>
          <w:b/>
          <w:highlight w:val="green"/>
          <w:u w:val="single"/>
          <w:lang w:val="en-US"/>
        </w:rPr>
        <w:t>Agreements:</w:t>
      </w:r>
    </w:p>
    <w:p w14:paraId="76769D0D" w14:textId="77777777" w:rsidR="00340046" w:rsidRPr="00A96FCF" w:rsidRDefault="00340046" w:rsidP="00535FEC">
      <w:pPr>
        <w:widowControl/>
        <w:numPr>
          <w:ilvl w:val="0"/>
          <w:numId w:val="8"/>
        </w:numPr>
        <w:tabs>
          <w:tab w:val="left" w:pos="1475"/>
        </w:tabs>
        <w:spacing w:afterLines="0" w:after="0" w:line="240" w:lineRule="auto"/>
        <w:jc w:val="left"/>
        <w:rPr>
          <w:lang w:val="en-US"/>
        </w:rPr>
      </w:pPr>
      <w:r w:rsidRPr="00A96FCF">
        <w:rPr>
          <w:lang w:val="en-US"/>
        </w:rPr>
        <w:t xml:space="preserve">For default subcarrier spacing of SS, at least </w:t>
      </w:r>
      <w:r>
        <w:rPr>
          <w:rFonts w:hint="eastAsia"/>
          <w:lang w:val="en-US"/>
        </w:rPr>
        <w:t xml:space="preserve">for evaluation purposes, </w:t>
      </w:r>
      <w:r w:rsidRPr="00A96FCF">
        <w:rPr>
          <w:lang w:val="en-US"/>
        </w:rPr>
        <w:t>following two frequency range categories are defined</w:t>
      </w:r>
    </w:p>
    <w:p w14:paraId="3F73E094" w14:textId="77777777" w:rsidR="00340046" w:rsidRPr="00A96FCF" w:rsidRDefault="00340046" w:rsidP="00535FEC">
      <w:pPr>
        <w:widowControl/>
        <w:numPr>
          <w:ilvl w:val="1"/>
          <w:numId w:val="8"/>
        </w:numPr>
        <w:tabs>
          <w:tab w:val="left" w:pos="1475"/>
        </w:tabs>
        <w:spacing w:afterLines="0" w:after="0" w:line="240" w:lineRule="auto"/>
        <w:jc w:val="left"/>
        <w:rPr>
          <w:lang w:val="en-US"/>
        </w:rPr>
      </w:pPr>
      <w:r w:rsidRPr="00A96FCF">
        <w:rPr>
          <w:lang w:val="en-US"/>
        </w:rPr>
        <w:t xml:space="preserve">Frequency range category #1 is </w:t>
      </w:r>
      <w:r>
        <w:rPr>
          <w:lang w:val="en-US"/>
        </w:rPr>
        <w:t>evaluated</w:t>
      </w:r>
      <w:r>
        <w:rPr>
          <w:rFonts w:hint="eastAsia"/>
          <w:lang w:val="en-US"/>
        </w:rPr>
        <w:t xml:space="preserve"> </w:t>
      </w:r>
      <w:r w:rsidRPr="00A96FCF">
        <w:rPr>
          <w:lang w:val="en-US"/>
        </w:rPr>
        <w:t>for below 6 GHz</w:t>
      </w:r>
    </w:p>
    <w:p w14:paraId="5B7B541F" w14:textId="77777777" w:rsidR="00340046" w:rsidRPr="00A96FCF" w:rsidRDefault="00340046" w:rsidP="00535FEC">
      <w:pPr>
        <w:widowControl/>
        <w:numPr>
          <w:ilvl w:val="2"/>
          <w:numId w:val="8"/>
        </w:numPr>
        <w:tabs>
          <w:tab w:val="left" w:pos="1475"/>
        </w:tabs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 xml:space="preserve">Evaluate </w:t>
      </w:r>
      <w:r w:rsidRPr="00A96FCF">
        <w:rPr>
          <w:lang w:val="en-US"/>
        </w:rPr>
        <w:t>default subcarrier spacing value for this category from [15 kHz, 30 kHz</w:t>
      </w:r>
      <w:r>
        <w:rPr>
          <w:rFonts w:hint="eastAsia"/>
          <w:lang w:val="en-US"/>
        </w:rPr>
        <w:t>, 60 kHz</w:t>
      </w:r>
      <w:r w:rsidRPr="00A96FCF">
        <w:rPr>
          <w:lang w:val="en-US"/>
        </w:rPr>
        <w:t>]</w:t>
      </w:r>
      <w:r>
        <w:rPr>
          <w:rFonts w:hint="eastAsia"/>
          <w:lang w:val="en-US"/>
        </w:rPr>
        <w:t xml:space="preserve"> until the next meeting</w:t>
      </w:r>
    </w:p>
    <w:p w14:paraId="2557189B" w14:textId="77777777" w:rsidR="00340046" w:rsidRPr="00A96FCF" w:rsidRDefault="00340046" w:rsidP="00535FEC">
      <w:pPr>
        <w:widowControl/>
        <w:numPr>
          <w:ilvl w:val="1"/>
          <w:numId w:val="8"/>
        </w:numPr>
        <w:tabs>
          <w:tab w:val="left" w:pos="1475"/>
        </w:tabs>
        <w:spacing w:afterLines="0" w:after="0" w:line="240" w:lineRule="auto"/>
        <w:jc w:val="left"/>
        <w:rPr>
          <w:lang w:val="en-US"/>
        </w:rPr>
      </w:pPr>
      <w:r w:rsidRPr="00A96FCF">
        <w:rPr>
          <w:lang w:val="en-US"/>
        </w:rPr>
        <w:t xml:space="preserve">Frequency range category #2 is </w:t>
      </w:r>
      <w:r>
        <w:rPr>
          <w:rFonts w:hint="eastAsia"/>
          <w:lang w:val="en-US"/>
        </w:rPr>
        <w:t xml:space="preserve">evaluated </w:t>
      </w:r>
      <w:r w:rsidRPr="00A96FCF">
        <w:rPr>
          <w:lang w:val="en-US"/>
        </w:rPr>
        <w:t>for range from 6 to 52.6 GHz</w:t>
      </w:r>
    </w:p>
    <w:p w14:paraId="1957C901" w14:textId="77777777" w:rsidR="00340046" w:rsidRPr="00A96FCF" w:rsidRDefault="00340046" w:rsidP="00535FEC">
      <w:pPr>
        <w:widowControl/>
        <w:numPr>
          <w:ilvl w:val="2"/>
          <w:numId w:val="8"/>
        </w:numPr>
        <w:tabs>
          <w:tab w:val="left" w:pos="1475"/>
        </w:tabs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 xml:space="preserve">Evaluate </w:t>
      </w:r>
      <w:r w:rsidRPr="00A96FCF">
        <w:rPr>
          <w:lang w:val="en-US"/>
        </w:rPr>
        <w:t>default subcarrier spacing value for this category from [120 kHz, 240 kHz]</w:t>
      </w:r>
      <w:r>
        <w:rPr>
          <w:rFonts w:hint="eastAsia"/>
          <w:lang w:val="en-US"/>
        </w:rPr>
        <w:t xml:space="preserve"> until the next meeting</w:t>
      </w:r>
    </w:p>
    <w:p w14:paraId="57C6E4E8" w14:textId="77777777" w:rsidR="00340046" w:rsidRDefault="00340046" w:rsidP="00535FEC">
      <w:pPr>
        <w:widowControl/>
        <w:numPr>
          <w:ilvl w:val="1"/>
          <w:numId w:val="8"/>
        </w:numPr>
        <w:tabs>
          <w:tab w:val="left" w:pos="1475"/>
        </w:tabs>
        <w:spacing w:afterLines="0" w:after="0" w:line="240" w:lineRule="auto"/>
        <w:jc w:val="left"/>
        <w:rPr>
          <w:lang w:val="en-US"/>
        </w:rPr>
      </w:pPr>
      <w:r w:rsidRPr="00A96FCF">
        <w:rPr>
          <w:lang w:val="en-US"/>
        </w:rPr>
        <w:t>FFS on the necessity of finer categorization</w:t>
      </w:r>
    </w:p>
    <w:p w14:paraId="0448854E" w14:textId="77777777" w:rsidR="00340046" w:rsidRPr="00402578" w:rsidRDefault="00340046" w:rsidP="00535FEC">
      <w:pPr>
        <w:widowControl/>
        <w:numPr>
          <w:ilvl w:val="1"/>
          <w:numId w:val="8"/>
        </w:numPr>
        <w:tabs>
          <w:tab w:val="left" w:pos="1475"/>
        </w:tabs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Note: The impact of SS block duration on the achievable latency should be considered in addition to existing criteria</w:t>
      </w:r>
    </w:p>
    <w:p w14:paraId="6D2EBFD3" w14:textId="77777777" w:rsidR="00340046" w:rsidRDefault="00340046" w:rsidP="00535FEC">
      <w:pPr>
        <w:widowControl/>
        <w:numPr>
          <w:ilvl w:val="0"/>
          <w:numId w:val="8"/>
        </w:numPr>
        <w:tabs>
          <w:tab w:val="left" w:pos="1475"/>
        </w:tabs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RAN1 aims to down select default subcarrier spacing from above listed subcarrier spacing values for each agreed frequency range categories</w:t>
      </w:r>
    </w:p>
    <w:p w14:paraId="3581EE39" w14:textId="77777777" w:rsidR="00340046" w:rsidRDefault="00340046" w:rsidP="00535FEC">
      <w:pPr>
        <w:widowControl/>
        <w:numPr>
          <w:ilvl w:val="1"/>
          <w:numId w:val="8"/>
        </w:numPr>
        <w:tabs>
          <w:tab w:val="left" w:pos="1475"/>
        </w:tabs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Note that final set of frequency categories may include more than the above two categories</w:t>
      </w:r>
    </w:p>
    <w:p w14:paraId="549CE230" w14:textId="77777777" w:rsidR="00340046" w:rsidRDefault="00340046" w:rsidP="00535FEC">
      <w:pPr>
        <w:widowControl/>
        <w:numPr>
          <w:ilvl w:val="0"/>
          <w:numId w:val="8"/>
        </w:numPr>
        <w:tabs>
          <w:tab w:val="left" w:pos="1475"/>
        </w:tabs>
        <w:spacing w:afterLines="0" w:after="0" w:line="240" w:lineRule="auto"/>
        <w:jc w:val="left"/>
        <w:rPr>
          <w:lang w:val="en-US"/>
        </w:rPr>
      </w:pPr>
      <w:r w:rsidRPr="00A96FCF">
        <w:rPr>
          <w:lang w:val="en-US"/>
        </w:rPr>
        <w:t>FFS whether PBCH subcarrier spacing is default subcarrier spacing for the respective frequency range category or not</w:t>
      </w:r>
    </w:p>
    <w:p w14:paraId="0036CA19" w14:textId="08245FA9" w:rsidR="003462D4" w:rsidRDefault="003462D4" w:rsidP="00340046">
      <w:pPr>
        <w:widowControl/>
        <w:spacing w:afterLines="0" w:after="0" w:line="240" w:lineRule="auto"/>
        <w:ind w:left="720"/>
        <w:jc w:val="left"/>
        <w:rPr>
          <w:lang w:val="en-US"/>
        </w:rPr>
      </w:pPr>
    </w:p>
    <w:p w14:paraId="50F3C4E6" w14:textId="77777777" w:rsidR="003462D4" w:rsidRPr="00753977" w:rsidRDefault="003462D4" w:rsidP="003462D4">
      <w:pPr>
        <w:widowControl/>
        <w:spacing w:afterLines="0" w:after="0" w:line="240" w:lineRule="auto"/>
        <w:ind w:left="720"/>
        <w:jc w:val="left"/>
        <w:rPr>
          <w:lang w:val="en-US"/>
        </w:rPr>
      </w:pPr>
    </w:p>
    <w:p w14:paraId="2C99EAED" w14:textId="77777777" w:rsidR="001776E1" w:rsidRPr="00464D42" w:rsidRDefault="001776E1" w:rsidP="001776E1">
      <w:pPr>
        <w:rPr>
          <w:b/>
          <w:highlight w:val="green"/>
          <w:u w:val="single"/>
        </w:rPr>
      </w:pPr>
      <w:r w:rsidRPr="00464D42">
        <w:rPr>
          <w:b/>
          <w:highlight w:val="green"/>
          <w:u w:val="single"/>
        </w:rPr>
        <w:t>Agreement:</w:t>
      </w:r>
    </w:p>
    <w:p w14:paraId="27D64BC8" w14:textId="77777777" w:rsidR="001776E1" w:rsidRPr="00CA6E4D" w:rsidRDefault="001776E1" w:rsidP="00535FEC">
      <w:pPr>
        <w:numPr>
          <w:ilvl w:val="0"/>
          <w:numId w:val="6"/>
        </w:numPr>
        <w:spacing w:afterLines="0" w:after="0" w:line="240" w:lineRule="auto"/>
      </w:pPr>
      <w:r w:rsidRPr="00CA6E4D">
        <w:t>F</w:t>
      </w:r>
      <w:r w:rsidRPr="00CA6E4D">
        <w:rPr>
          <w:rFonts w:hint="eastAsia"/>
        </w:rPr>
        <w:t>or initial cell selection, UE may assume default SS burst set periodicity which may be frequency band-dependent.</w:t>
      </w:r>
    </w:p>
    <w:p w14:paraId="63260EA5" w14:textId="77777777" w:rsidR="001776E1" w:rsidRPr="00CA6E4D" w:rsidRDefault="001776E1" w:rsidP="00535FEC">
      <w:pPr>
        <w:numPr>
          <w:ilvl w:val="0"/>
          <w:numId w:val="6"/>
        </w:numPr>
        <w:spacing w:afterLines="0" w:after="0" w:line="240" w:lineRule="auto"/>
      </w:pPr>
      <w:r w:rsidRPr="00CA6E4D">
        <w:rPr>
          <w:rFonts w:hint="eastAsia"/>
        </w:rPr>
        <w:t>UE may assume that a given SS block is repeated with a SS burst set periodicity</w:t>
      </w:r>
    </w:p>
    <w:p w14:paraId="460CCBB9" w14:textId="77777777" w:rsidR="001776E1" w:rsidRPr="00CA6E4D" w:rsidRDefault="001776E1" w:rsidP="00535FEC">
      <w:pPr>
        <w:numPr>
          <w:ilvl w:val="1"/>
          <w:numId w:val="6"/>
        </w:numPr>
        <w:spacing w:afterLines="0" w:after="0" w:line="240" w:lineRule="auto"/>
      </w:pPr>
      <w:r w:rsidRPr="00CA6E4D">
        <w:rPr>
          <w:rFonts w:hint="eastAsia"/>
        </w:rPr>
        <w:t>Note that NR-PBCH contents in a given repeated SS block may change</w:t>
      </w:r>
    </w:p>
    <w:p w14:paraId="73F054BE" w14:textId="77777777" w:rsidR="001776E1" w:rsidRPr="00CA6E4D" w:rsidRDefault="001776E1" w:rsidP="00535FEC">
      <w:pPr>
        <w:numPr>
          <w:ilvl w:val="0"/>
          <w:numId w:val="6"/>
        </w:numPr>
        <w:spacing w:afterLines="0" w:after="0" w:line="240" w:lineRule="auto"/>
      </w:pPr>
      <w:r w:rsidRPr="00CA6E4D">
        <w:t>A</w:t>
      </w:r>
      <w:r w:rsidRPr="00CA6E4D">
        <w:rPr>
          <w:rFonts w:hint="eastAsia"/>
        </w:rPr>
        <w:t xml:space="preserve"> single </w:t>
      </w:r>
      <w:r w:rsidRPr="00CA6E4D">
        <w:t>set</w:t>
      </w:r>
      <w:r w:rsidRPr="00CA6E4D">
        <w:rPr>
          <w:rFonts w:hint="eastAsia"/>
        </w:rPr>
        <w:t xml:space="preserve"> of possible SS block time locations is specified per frequency band.</w:t>
      </w:r>
    </w:p>
    <w:p w14:paraId="65EFE360" w14:textId="77777777" w:rsidR="001776E1" w:rsidRPr="00CA6E4D" w:rsidRDefault="001776E1" w:rsidP="00535FEC">
      <w:pPr>
        <w:numPr>
          <w:ilvl w:val="1"/>
          <w:numId w:val="6"/>
        </w:numPr>
        <w:spacing w:afterLines="0" w:after="0" w:line="240" w:lineRule="auto"/>
      </w:pPr>
      <w:r w:rsidRPr="00CA6E4D">
        <w:rPr>
          <w:rFonts w:hint="eastAsia"/>
        </w:rPr>
        <w:lastRenderedPageBreak/>
        <w:t xml:space="preserve">FFS </w:t>
      </w:r>
      <w:r w:rsidRPr="00CA6E4D">
        <w:t xml:space="preserve">whether </w:t>
      </w:r>
      <w:r w:rsidRPr="00CA6E4D">
        <w:rPr>
          <w:rFonts w:hint="eastAsia"/>
        </w:rPr>
        <w:t xml:space="preserve">the </w:t>
      </w:r>
      <w:r w:rsidRPr="00CA6E4D">
        <w:t>set</w:t>
      </w:r>
      <w:r w:rsidRPr="00CA6E4D">
        <w:rPr>
          <w:rFonts w:hint="eastAsia"/>
        </w:rPr>
        <w:t xml:space="preserve"> is defined with respect to SS burst set or radio frame</w:t>
      </w:r>
    </w:p>
    <w:p w14:paraId="41654F5C" w14:textId="3EF2B883" w:rsidR="00150B1E" w:rsidRDefault="001776E1" w:rsidP="00535FEC">
      <w:pPr>
        <w:widowControl/>
        <w:numPr>
          <w:ilvl w:val="1"/>
          <w:numId w:val="6"/>
        </w:numPr>
        <w:spacing w:afterLines="0" w:after="0" w:line="240" w:lineRule="auto"/>
        <w:jc w:val="left"/>
        <w:rPr>
          <w:lang w:val="en-US"/>
        </w:rPr>
      </w:pPr>
      <w:r w:rsidRPr="00CA6E4D">
        <w:rPr>
          <w:rFonts w:hint="eastAsia"/>
        </w:rPr>
        <w:t>FFS whether idle/connected UE can be configured with additional information about which SS blocks in a SS burst set are transmitted</w:t>
      </w:r>
    </w:p>
    <w:p w14:paraId="034082BB" w14:textId="7BCC932E" w:rsidR="002D778A" w:rsidRPr="00BE4735" w:rsidRDefault="002D778A" w:rsidP="002D778A">
      <w:pPr>
        <w:pStyle w:val="a"/>
        <w:spacing w:beforeLines="50" w:before="180"/>
        <w:ind w:firstLineChars="0" w:firstLine="0"/>
        <w:rPr>
          <w:rFonts w:asciiTheme="minorHAnsi" w:hAnsiTheme="minorHAnsi"/>
          <w:szCs w:val="21"/>
        </w:rPr>
      </w:pPr>
      <w:r>
        <w:rPr>
          <w:rFonts w:asciiTheme="minorHAnsi" w:hAnsiTheme="minorHAnsi"/>
          <w:szCs w:val="21"/>
          <w:lang w:val="en-US"/>
        </w:rPr>
        <w:t xml:space="preserve">Also, </w:t>
      </w:r>
      <w:r w:rsidR="001776E1">
        <w:rPr>
          <w:rFonts w:asciiTheme="minorHAnsi" w:hAnsiTheme="minorHAnsi"/>
          <w:szCs w:val="21"/>
        </w:rPr>
        <w:t>multiplexing</w:t>
      </w:r>
      <w:r w:rsidR="008F63BD">
        <w:rPr>
          <w:rFonts w:asciiTheme="minorHAnsi" w:hAnsiTheme="minorHAnsi"/>
          <w:szCs w:val="21"/>
        </w:rPr>
        <w:t xml:space="preserve"> structure</w:t>
      </w:r>
      <w:r>
        <w:rPr>
          <w:rFonts w:asciiTheme="minorHAnsi" w:hAnsiTheme="minorHAnsi"/>
          <w:szCs w:val="21"/>
        </w:rPr>
        <w:t xml:space="preserve"> of SS signals was discussed. Among others, t</w:t>
      </w:r>
      <w:r w:rsidR="001776E1">
        <w:rPr>
          <w:rFonts w:asciiTheme="minorHAnsi" w:hAnsiTheme="minorHAnsi"/>
          <w:szCs w:val="21"/>
        </w:rPr>
        <w:t>he following agreement</w:t>
      </w:r>
      <w:r w:rsidRPr="00BE4735">
        <w:rPr>
          <w:rFonts w:asciiTheme="minorHAnsi" w:hAnsiTheme="minorHAnsi"/>
          <w:szCs w:val="21"/>
        </w:rPr>
        <w:t xml:space="preserve"> </w:t>
      </w:r>
      <w:r w:rsidR="001776E1">
        <w:rPr>
          <w:rFonts w:asciiTheme="minorHAnsi" w:hAnsiTheme="minorHAnsi"/>
          <w:szCs w:val="21"/>
        </w:rPr>
        <w:t xml:space="preserve">and working assumption </w:t>
      </w:r>
      <w:r w:rsidRPr="00BE4735">
        <w:rPr>
          <w:rFonts w:asciiTheme="minorHAnsi" w:hAnsiTheme="minorHAnsi"/>
          <w:szCs w:val="21"/>
        </w:rPr>
        <w:t>were made.</w:t>
      </w:r>
    </w:p>
    <w:p w14:paraId="25088273" w14:textId="77777777" w:rsidR="001776E1" w:rsidRPr="00050B42" w:rsidRDefault="001776E1" w:rsidP="001776E1">
      <w:pPr>
        <w:rPr>
          <w:b/>
          <w:u w:val="single"/>
        </w:rPr>
      </w:pPr>
      <w:r w:rsidRPr="00ED18C5">
        <w:rPr>
          <w:rFonts w:hint="eastAsia"/>
          <w:b/>
          <w:highlight w:val="green"/>
          <w:u w:val="single"/>
        </w:rPr>
        <w:t>Agreements:</w:t>
      </w:r>
    </w:p>
    <w:p w14:paraId="52814247" w14:textId="77777777" w:rsidR="001776E1" w:rsidRDefault="001776E1" w:rsidP="00535FEC">
      <w:pPr>
        <w:widowControl/>
        <w:numPr>
          <w:ilvl w:val="0"/>
          <w:numId w:val="7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 xml:space="preserve">At least for </w:t>
      </w:r>
      <w:r w:rsidRPr="00050B42">
        <w:rPr>
          <w:lang w:val="en-US"/>
        </w:rPr>
        <w:t>single beam scenario, time division multiplexing of PSS and SSS is supported.</w:t>
      </w:r>
    </w:p>
    <w:p w14:paraId="43D88917" w14:textId="77777777" w:rsidR="001776E1" w:rsidRPr="00ED18C5" w:rsidRDefault="001776E1" w:rsidP="001776E1">
      <w:pPr>
        <w:rPr>
          <w:highlight w:val="yellow"/>
          <w:lang w:val="en-US"/>
        </w:rPr>
      </w:pPr>
      <w:r w:rsidRPr="00B7099C">
        <w:rPr>
          <w:rFonts w:hint="eastAsia"/>
          <w:b/>
          <w:highlight w:val="darkYellow"/>
          <w:u w:val="single"/>
          <w:lang w:val="en-US"/>
        </w:rPr>
        <w:t>Working assumption:</w:t>
      </w:r>
      <w:r w:rsidRPr="00B7099C">
        <w:rPr>
          <w:rFonts w:hint="eastAsia"/>
          <w:highlight w:val="darkYellow"/>
          <w:lang w:val="en-US"/>
        </w:rPr>
        <w:t xml:space="preserve"> </w:t>
      </w:r>
    </w:p>
    <w:p w14:paraId="65101563" w14:textId="77777777" w:rsidR="001776E1" w:rsidRPr="00B7099C" w:rsidRDefault="001776E1" w:rsidP="00535FEC">
      <w:pPr>
        <w:widowControl/>
        <w:numPr>
          <w:ilvl w:val="0"/>
          <w:numId w:val="7"/>
        </w:numPr>
        <w:spacing w:afterLines="0" w:after="0" w:line="240" w:lineRule="auto"/>
        <w:jc w:val="left"/>
        <w:rPr>
          <w:lang w:val="en-US"/>
        </w:rPr>
      </w:pPr>
      <w:r w:rsidRPr="00B7099C">
        <w:rPr>
          <w:rFonts w:hint="eastAsia"/>
          <w:lang w:val="en-US"/>
        </w:rPr>
        <w:t>T</w:t>
      </w:r>
      <w:r w:rsidRPr="00B7099C">
        <w:rPr>
          <w:lang w:val="en-US"/>
        </w:rPr>
        <w:t>ime division multiplexing of PSS and SSS is supported</w:t>
      </w:r>
      <w:r w:rsidRPr="00B7099C">
        <w:rPr>
          <w:rFonts w:hint="eastAsia"/>
          <w:lang w:val="en-US"/>
        </w:rPr>
        <w:t xml:space="preserve"> for multiple beam scenario</w:t>
      </w:r>
    </w:p>
    <w:p w14:paraId="35117598" w14:textId="77777777" w:rsidR="001776E1" w:rsidRDefault="001776E1" w:rsidP="001776E1"/>
    <w:p w14:paraId="3C64BC24" w14:textId="17679A1E" w:rsidR="005C2EDC" w:rsidRPr="00BE4735" w:rsidRDefault="00240A5A" w:rsidP="00B27100">
      <w:pPr>
        <w:pStyle w:val="a"/>
        <w:spacing w:beforeLines="50" w:before="180"/>
        <w:rPr>
          <w:rFonts w:asciiTheme="minorHAnsi" w:hAnsiTheme="minorHAnsi"/>
          <w:szCs w:val="21"/>
          <w:lang w:val="en-US"/>
        </w:rPr>
      </w:pPr>
      <w:r w:rsidRPr="00BE4735">
        <w:rPr>
          <w:rFonts w:asciiTheme="minorHAnsi" w:hAnsiTheme="minorHAnsi"/>
          <w:szCs w:val="21"/>
          <w:lang w:val="en-US"/>
        </w:rPr>
        <w:t>In this contrib</w:t>
      </w:r>
      <w:r w:rsidR="00790DF2">
        <w:rPr>
          <w:rFonts w:asciiTheme="minorHAnsi" w:hAnsiTheme="minorHAnsi"/>
          <w:szCs w:val="21"/>
          <w:lang w:val="en-US"/>
        </w:rPr>
        <w:t xml:space="preserve">ution, we provide our view </w:t>
      </w:r>
      <w:r w:rsidR="003462D4">
        <w:rPr>
          <w:rFonts w:asciiTheme="minorHAnsi" w:hAnsiTheme="minorHAnsi"/>
          <w:szCs w:val="21"/>
          <w:lang w:val="en-US"/>
        </w:rPr>
        <w:t xml:space="preserve">on </w:t>
      </w:r>
      <w:r w:rsidR="004503CC">
        <w:rPr>
          <w:rFonts w:asciiTheme="minorHAnsi" w:hAnsiTheme="minorHAnsi"/>
          <w:szCs w:val="21"/>
          <w:lang w:val="en-US"/>
        </w:rPr>
        <w:t>multiple SS configuration for various NR-cells</w:t>
      </w:r>
      <w:r w:rsidR="003462D4">
        <w:rPr>
          <w:rFonts w:asciiTheme="minorHAnsi" w:hAnsiTheme="minorHAnsi"/>
          <w:szCs w:val="21"/>
          <w:lang w:val="en-US"/>
        </w:rPr>
        <w:t>,</w:t>
      </w:r>
      <w:r w:rsidRPr="00BE4735">
        <w:rPr>
          <w:rFonts w:asciiTheme="minorHAnsi" w:hAnsiTheme="minorHAnsi"/>
          <w:szCs w:val="21"/>
          <w:lang w:val="en-US"/>
        </w:rPr>
        <w:t xml:space="preserve"> </w:t>
      </w:r>
      <w:r w:rsidR="00192AB2">
        <w:rPr>
          <w:rFonts w:asciiTheme="minorHAnsi" w:hAnsiTheme="minorHAnsi"/>
          <w:szCs w:val="21"/>
          <w:lang w:val="en-US"/>
        </w:rPr>
        <w:t xml:space="preserve">and </w:t>
      </w:r>
      <w:r w:rsidR="003462D4">
        <w:rPr>
          <w:rFonts w:asciiTheme="minorHAnsi" w:hAnsiTheme="minorHAnsi"/>
          <w:szCs w:val="21"/>
          <w:lang w:val="en-US"/>
        </w:rPr>
        <w:t xml:space="preserve">on </w:t>
      </w:r>
      <w:r w:rsidR="00192AB2">
        <w:rPr>
          <w:rFonts w:asciiTheme="minorHAnsi" w:hAnsiTheme="minorHAnsi"/>
          <w:szCs w:val="21"/>
          <w:lang w:val="en-US"/>
        </w:rPr>
        <w:t xml:space="preserve">SS block </w:t>
      </w:r>
      <w:r w:rsidR="004503CC">
        <w:rPr>
          <w:rFonts w:asciiTheme="minorHAnsi" w:hAnsiTheme="minorHAnsi"/>
          <w:szCs w:val="21"/>
          <w:lang w:val="en-US"/>
        </w:rPr>
        <w:t>multiplexing</w:t>
      </w:r>
      <w:r w:rsidRPr="00BE4735">
        <w:rPr>
          <w:rFonts w:asciiTheme="minorHAnsi" w:hAnsiTheme="minorHAnsi"/>
          <w:szCs w:val="21"/>
          <w:lang w:val="en-US"/>
        </w:rPr>
        <w:t>.</w:t>
      </w:r>
    </w:p>
    <w:p w14:paraId="68995D66" w14:textId="77777777" w:rsidR="00707BC2" w:rsidRPr="00707BC2" w:rsidRDefault="00E15F13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 w:rsidRPr="00376D4C">
        <w:rPr>
          <w:rFonts w:eastAsia="MS Mincho" w:hint="eastAsia"/>
          <w:lang w:eastAsia="ja-JP"/>
        </w:rPr>
        <w:t>Discussion</w:t>
      </w:r>
    </w:p>
    <w:p w14:paraId="6CB3E969" w14:textId="79510907" w:rsidR="00FE53DF" w:rsidRPr="00FE53DF" w:rsidRDefault="00FE53DF" w:rsidP="00FE53DF">
      <w:pPr>
        <w:pStyle w:val="NoSpacing"/>
        <w:spacing w:after="180"/>
        <w:rPr>
          <w:sz w:val="24"/>
        </w:rPr>
      </w:pPr>
      <w:r w:rsidRPr="00FE53DF">
        <w:rPr>
          <w:sz w:val="24"/>
        </w:rPr>
        <w:t xml:space="preserve">2.1 </w:t>
      </w:r>
      <w:r w:rsidR="004503CC">
        <w:rPr>
          <w:sz w:val="24"/>
        </w:rPr>
        <w:t>SS configuration for multiple NR-cells</w:t>
      </w:r>
    </w:p>
    <w:p w14:paraId="5CFB470C" w14:textId="65BEE822" w:rsidR="00D11826" w:rsidRPr="00BE4735" w:rsidRDefault="00340046" w:rsidP="00D74C28">
      <w:pPr>
        <w:rPr>
          <w:rFonts w:asciiTheme="minorHAnsi" w:hAnsiTheme="minorHAnsi"/>
          <w:szCs w:val="21"/>
        </w:rPr>
      </w:pPr>
      <w:r>
        <w:rPr>
          <w:rFonts w:cs="Century"/>
          <w:bCs/>
          <w:kern w:val="0"/>
          <w:szCs w:val="21"/>
          <w:lang w:val="en-US"/>
        </w:rPr>
        <w:t xml:space="preserve">A NR cell that transmits synchronization signal with default sub-carrier spacing </w:t>
      </w:r>
      <w:r w:rsidR="00A76F7C">
        <w:rPr>
          <w:rFonts w:cs="Century"/>
          <w:bCs/>
          <w:kern w:val="0"/>
          <w:szCs w:val="21"/>
          <w:lang w:val="en-US"/>
        </w:rPr>
        <w:t xml:space="preserve">is </w:t>
      </w:r>
      <w:r>
        <w:rPr>
          <w:rFonts w:cs="Century"/>
          <w:bCs/>
          <w:kern w:val="0"/>
          <w:szCs w:val="21"/>
          <w:lang w:val="en-US"/>
        </w:rPr>
        <w:t xml:space="preserve">a candidate cell for initial cell selection. </w:t>
      </w:r>
      <w:r w:rsidR="00944EDF">
        <w:rPr>
          <w:rFonts w:cs="Century"/>
          <w:bCs/>
          <w:kern w:val="0"/>
          <w:szCs w:val="21"/>
          <w:lang w:val="en-US"/>
        </w:rPr>
        <w:t>In NR multiple-cells deployment, we consider many cells (e.g. small cells, pico-cells) do not support initial cell selection operation</w:t>
      </w:r>
      <w:r w:rsidR="00FC3B3A">
        <w:rPr>
          <w:rFonts w:cs="Century"/>
          <w:bCs/>
          <w:kern w:val="0"/>
          <w:szCs w:val="21"/>
          <w:lang w:val="en-US"/>
        </w:rPr>
        <w:t xml:space="preserve"> taking network deployment flexibility into account</w:t>
      </w:r>
      <w:r w:rsidR="00944EDF">
        <w:rPr>
          <w:rFonts w:cs="Century"/>
          <w:bCs/>
          <w:kern w:val="0"/>
          <w:szCs w:val="21"/>
          <w:lang w:val="en-US"/>
        </w:rPr>
        <w:t xml:space="preserve">. In </w:t>
      </w:r>
      <w:r w:rsidR="00310AFA">
        <w:rPr>
          <w:rFonts w:cs="Century"/>
          <w:bCs/>
          <w:kern w:val="0"/>
          <w:szCs w:val="21"/>
          <w:lang w:val="en-US"/>
        </w:rPr>
        <w:t>such</w:t>
      </w:r>
      <w:r w:rsidR="00944EDF">
        <w:rPr>
          <w:rFonts w:cs="Century"/>
          <w:bCs/>
          <w:kern w:val="0"/>
          <w:szCs w:val="21"/>
          <w:lang w:val="en-US"/>
        </w:rPr>
        <w:t xml:space="preserve"> cells, the </w:t>
      </w:r>
      <w:proofErr w:type="spellStart"/>
      <w:r w:rsidR="00944EDF">
        <w:rPr>
          <w:rFonts w:cs="Century"/>
          <w:bCs/>
          <w:kern w:val="0"/>
          <w:szCs w:val="21"/>
          <w:lang w:val="en-US"/>
        </w:rPr>
        <w:t>gNB</w:t>
      </w:r>
      <w:proofErr w:type="spellEnd"/>
      <w:r w:rsidR="00944EDF">
        <w:rPr>
          <w:rFonts w:cs="Century"/>
          <w:bCs/>
          <w:kern w:val="0"/>
          <w:szCs w:val="21"/>
          <w:lang w:val="en-US"/>
        </w:rPr>
        <w:t xml:space="preserve"> </w:t>
      </w:r>
      <w:r w:rsidR="00DD04A1">
        <w:rPr>
          <w:rFonts w:cs="Century"/>
          <w:bCs/>
          <w:kern w:val="0"/>
          <w:szCs w:val="21"/>
          <w:lang w:val="en-US"/>
        </w:rPr>
        <w:t xml:space="preserve">can </w:t>
      </w:r>
      <w:r w:rsidR="00944EDF">
        <w:rPr>
          <w:rFonts w:cs="Century"/>
          <w:bCs/>
          <w:kern w:val="0"/>
          <w:szCs w:val="21"/>
          <w:lang w:val="en-US"/>
        </w:rPr>
        <w:t xml:space="preserve">transmit </w:t>
      </w:r>
      <w:r w:rsidR="00DD04A1">
        <w:rPr>
          <w:rFonts w:cs="Century"/>
          <w:bCs/>
          <w:kern w:val="0"/>
          <w:szCs w:val="21"/>
          <w:lang w:val="en-US"/>
        </w:rPr>
        <w:t xml:space="preserve">pre-configured synchronization signals where it can use its own synchronization signal periodicity and a non-default sub-carrier spacing. The </w:t>
      </w:r>
      <w:r>
        <w:rPr>
          <w:rFonts w:cs="Century"/>
          <w:bCs/>
          <w:kern w:val="0"/>
          <w:szCs w:val="21"/>
          <w:lang w:val="en-US"/>
        </w:rPr>
        <w:t>synchronization signal is transmitted by such cell</w:t>
      </w:r>
      <w:r w:rsidR="00310AFA">
        <w:rPr>
          <w:rFonts w:cs="Century"/>
          <w:bCs/>
          <w:kern w:val="0"/>
          <w:szCs w:val="21"/>
          <w:lang w:val="en-US"/>
        </w:rPr>
        <w:t>s</w:t>
      </w:r>
      <w:r>
        <w:rPr>
          <w:rFonts w:cs="Century"/>
          <w:bCs/>
          <w:kern w:val="0"/>
          <w:szCs w:val="21"/>
          <w:lang w:val="en-US"/>
        </w:rPr>
        <w:t xml:space="preserve"> in order to support UE measurements for cell reselection and/or handover to that cell. </w:t>
      </w:r>
      <w:r w:rsidR="00DD04A1">
        <w:rPr>
          <w:rFonts w:cs="Century"/>
          <w:bCs/>
          <w:kern w:val="0"/>
          <w:szCs w:val="21"/>
          <w:lang w:val="en-US"/>
        </w:rPr>
        <w:t>A longer periodicity of SS can bring benefit</w:t>
      </w:r>
      <w:r w:rsidR="00310AFA">
        <w:rPr>
          <w:rFonts w:cs="Century"/>
          <w:bCs/>
          <w:kern w:val="0"/>
          <w:szCs w:val="21"/>
          <w:lang w:val="en-US"/>
        </w:rPr>
        <w:t>s</w:t>
      </w:r>
      <w:r w:rsidR="00DD04A1">
        <w:rPr>
          <w:rFonts w:cs="Century"/>
          <w:bCs/>
          <w:kern w:val="0"/>
          <w:szCs w:val="21"/>
          <w:lang w:val="en-US"/>
        </w:rPr>
        <w:t xml:space="preserve"> in reducing overhead</w:t>
      </w:r>
      <w:r w:rsidR="00FC3B3A">
        <w:rPr>
          <w:rFonts w:cs="Century"/>
          <w:bCs/>
          <w:kern w:val="0"/>
          <w:szCs w:val="21"/>
          <w:lang w:val="en-US"/>
        </w:rPr>
        <w:t xml:space="preserve"> and power consumption [2]</w:t>
      </w:r>
      <w:r w:rsidR="00DD04A1">
        <w:rPr>
          <w:rFonts w:cs="Century"/>
          <w:bCs/>
          <w:kern w:val="0"/>
          <w:szCs w:val="21"/>
          <w:lang w:val="en-US"/>
        </w:rPr>
        <w:t xml:space="preserve">. The </w:t>
      </w:r>
      <w:r w:rsidR="00310AFA">
        <w:rPr>
          <w:rFonts w:cs="Century"/>
          <w:bCs/>
          <w:kern w:val="0"/>
          <w:szCs w:val="21"/>
          <w:lang w:val="en-US"/>
        </w:rPr>
        <w:t xml:space="preserve">use </w:t>
      </w:r>
      <w:r w:rsidR="00DD04A1">
        <w:rPr>
          <w:rFonts w:cs="Century"/>
          <w:bCs/>
          <w:kern w:val="0"/>
          <w:szCs w:val="21"/>
          <w:lang w:val="en-US"/>
        </w:rPr>
        <w:t>of non-default sub-carrier spacing allow</w:t>
      </w:r>
      <w:r w:rsidR="00310AFA">
        <w:rPr>
          <w:rFonts w:cs="Century"/>
          <w:bCs/>
          <w:kern w:val="0"/>
          <w:szCs w:val="21"/>
          <w:lang w:val="en-US"/>
        </w:rPr>
        <w:t>s</w:t>
      </w:r>
      <w:r w:rsidR="00DD04A1">
        <w:rPr>
          <w:rFonts w:cs="Century"/>
          <w:bCs/>
          <w:kern w:val="0"/>
          <w:szCs w:val="21"/>
          <w:lang w:val="en-US"/>
        </w:rPr>
        <w:t xml:space="preserve"> the </w:t>
      </w:r>
      <w:proofErr w:type="spellStart"/>
      <w:r w:rsidR="00DD04A1">
        <w:rPr>
          <w:rFonts w:cs="Century"/>
          <w:bCs/>
          <w:kern w:val="0"/>
          <w:szCs w:val="21"/>
          <w:lang w:val="en-US"/>
        </w:rPr>
        <w:t>gNB</w:t>
      </w:r>
      <w:proofErr w:type="spellEnd"/>
      <w:r w:rsidR="00DD04A1">
        <w:rPr>
          <w:rFonts w:cs="Century"/>
          <w:bCs/>
          <w:kern w:val="0"/>
          <w:szCs w:val="21"/>
          <w:lang w:val="en-US"/>
        </w:rPr>
        <w:t xml:space="preserve"> to transmit both data and synchronization signal</w:t>
      </w:r>
      <w:r w:rsidR="00310AFA">
        <w:rPr>
          <w:rFonts w:cs="Century"/>
          <w:bCs/>
          <w:kern w:val="0"/>
          <w:szCs w:val="21"/>
          <w:lang w:val="en-US"/>
        </w:rPr>
        <w:t>s</w:t>
      </w:r>
      <w:r w:rsidR="00DD04A1">
        <w:rPr>
          <w:rFonts w:cs="Century"/>
          <w:bCs/>
          <w:kern w:val="0"/>
          <w:szCs w:val="21"/>
          <w:lang w:val="en-US"/>
        </w:rPr>
        <w:t xml:space="preserve"> using the same sub-carrier spacing.</w:t>
      </w:r>
    </w:p>
    <w:p w14:paraId="7F986E46" w14:textId="71A8B457" w:rsidR="00340046" w:rsidRDefault="00EE73B7" w:rsidP="00D11826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 w:rsidR="005F2279">
        <w:rPr>
          <w:rFonts w:asciiTheme="minorHAnsi" w:hAnsiTheme="minorHAnsi" w:hint="eastAsia"/>
          <w:b/>
          <w:szCs w:val="21"/>
        </w:rPr>
        <w:t>1</w:t>
      </w:r>
      <w:r w:rsidRPr="00BE4735">
        <w:rPr>
          <w:rFonts w:asciiTheme="minorHAnsi" w:hAnsiTheme="minorHAnsi"/>
          <w:b/>
          <w:szCs w:val="21"/>
        </w:rPr>
        <w:t>:</w:t>
      </w:r>
      <w:r w:rsidR="00DD04A1">
        <w:rPr>
          <w:rFonts w:asciiTheme="minorHAnsi" w:hAnsiTheme="minorHAnsi"/>
          <w:b/>
          <w:szCs w:val="21"/>
        </w:rPr>
        <w:t xml:space="preserve"> For a cell not intended for initial cell selection, a </w:t>
      </w:r>
      <w:proofErr w:type="spellStart"/>
      <w:r w:rsidR="00DD04A1">
        <w:rPr>
          <w:rFonts w:asciiTheme="minorHAnsi" w:hAnsiTheme="minorHAnsi"/>
          <w:b/>
          <w:szCs w:val="21"/>
        </w:rPr>
        <w:t>gNB</w:t>
      </w:r>
      <w:proofErr w:type="spellEnd"/>
      <w:r w:rsidR="00DD04A1">
        <w:rPr>
          <w:rFonts w:asciiTheme="minorHAnsi" w:hAnsiTheme="minorHAnsi"/>
          <w:b/>
          <w:szCs w:val="21"/>
        </w:rPr>
        <w:t xml:space="preserve"> may transmit SS with pre</w:t>
      </w:r>
      <w:r w:rsidR="00D24D46">
        <w:rPr>
          <w:rFonts w:asciiTheme="minorHAnsi" w:hAnsiTheme="minorHAnsi"/>
          <w:b/>
          <w:szCs w:val="21"/>
        </w:rPr>
        <w:t>-</w:t>
      </w:r>
      <w:r w:rsidR="00DD04A1">
        <w:rPr>
          <w:rFonts w:asciiTheme="minorHAnsi" w:hAnsiTheme="minorHAnsi"/>
          <w:b/>
          <w:szCs w:val="21"/>
        </w:rPr>
        <w:t xml:space="preserve">configured synchronization signals (e.g. SS periodicity and </w:t>
      </w:r>
      <w:r w:rsidR="00310AFA">
        <w:rPr>
          <w:rFonts w:asciiTheme="minorHAnsi" w:hAnsiTheme="minorHAnsi"/>
          <w:b/>
          <w:szCs w:val="21"/>
        </w:rPr>
        <w:t xml:space="preserve">use </w:t>
      </w:r>
      <w:r w:rsidR="00DD04A1">
        <w:rPr>
          <w:rFonts w:asciiTheme="minorHAnsi" w:hAnsiTheme="minorHAnsi"/>
          <w:b/>
          <w:szCs w:val="21"/>
        </w:rPr>
        <w:t>of non-default sub-carrier spacing).</w:t>
      </w:r>
    </w:p>
    <w:p w14:paraId="42FF6DBB" w14:textId="1EBC80B7" w:rsidR="00340046" w:rsidRPr="00340046" w:rsidRDefault="00340046" w:rsidP="00D11826">
      <w:pPr>
        <w:rPr>
          <w:rFonts w:asciiTheme="minorHAnsi" w:hAnsiTheme="minorHAnsi"/>
          <w:szCs w:val="21"/>
        </w:rPr>
      </w:pPr>
      <w:r>
        <w:rPr>
          <w:rFonts w:asciiTheme="minorHAnsi" w:hAnsiTheme="minorHAnsi"/>
          <w:szCs w:val="21"/>
        </w:rPr>
        <w:t xml:space="preserve">In order for a UE to be able to identify and measure a cell using non-default sub-carrier spacing, the UE needs to be informed about the </w:t>
      </w:r>
      <w:r w:rsidR="007E3B15">
        <w:rPr>
          <w:rFonts w:asciiTheme="minorHAnsi" w:hAnsiTheme="minorHAnsi"/>
          <w:szCs w:val="21"/>
        </w:rPr>
        <w:t xml:space="preserve">SS information. We suggest higher layer signalling can be used to inform a UE about </w:t>
      </w:r>
      <w:r w:rsidR="00310AFA">
        <w:rPr>
          <w:rFonts w:asciiTheme="minorHAnsi" w:hAnsiTheme="minorHAnsi"/>
          <w:szCs w:val="21"/>
        </w:rPr>
        <w:t xml:space="preserve">the </w:t>
      </w:r>
      <w:r w:rsidR="007E3B15">
        <w:rPr>
          <w:rFonts w:asciiTheme="minorHAnsi" w:hAnsiTheme="minorHAnsi"/>
          <w:szCs w:val="21"/>
        </w:rPr>
        <w:t>non-default SS information required for a UE to perform measurements of such cell</w:t>
      </w:r>
      <w:r w:rsidR="00310AFA">
        <w:rPr>
          <w:rFonts w:asciiTheme="minorHAnsi" w:hAnsiTheme="minorHAnsi"/>
          <w:szCs w:val="21"/>
        </w:rPr>
        <w:t>s</w:t>
      </w:r>
      <w:r w:rsidR="007E3B15">
        <w:rPr>
          <w:rFonts w:asciiTheme="minorHAnsi" w:hAnsiTheme="minorHAnsi"/>
          <w:szCs w:val="21"/>
        </w:rPr>
        <w:t xml:space="preserve">. The SS information could include </w:t>
      </w:r>
      <w:r w:rsidR="00FC3B3A">
        <w:rPr>
          <w:rFonts w:asciiTheme="minorHAnsi" w:hAnsiTheme="minorHAnsi"/>
          <w:szCs w:val="21"/>
        </w:rPr>
        <w:t xml:space="preserve">frequency location of SS, </w:t>
      </w:r>
      <w:r w:rsidR="007E3B15">
        <w:rPr>
          <w:rFonts w:asciiTheme="minorHAnsi" w:hAnsiTheme="minorHAnsi"/>
          <w:szCs w:val="21"/>
        </w:rPr>
        <w:t xml:space="preserve">sub-carrier spacing and SS burst </w:t>
      </w:r>
      <w:r w:rsidR="00214AF1">
        <w:rPr>
          <w:rFonts w:asciiTheme="minorHAnsi" w:hAnsiTheme="minorHAnsi"/>
          <w:szCs w:val="21"/>
        </w:rPr>
        <w:t xml:space="preserve">set </w:t>
      </w:r>
      <w:r w:rsidR="007E3B15">
        <w:rPr>
          <w:rFonts w:asciiTheme="minorHAnsi" w:hAnsiTheme="minorHAnsi"/>
          <w:szCs w:val="21"/>
        </w:rPr>
        <w:t>periodicity. The UE could be informed about more than one SS information configuration.</w:t>
      </w:r>
    </w:p>
    <w:p w14:paraId="2B217AFC" w14:textId="7ABC034E" w:rsidR="00340046" w:rsidRDefault="00340046" w:rsidP="00340046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>
        <w:rPr>
          <w:rFonts w:asciiTheme="minorHAnsi" w:hAnsiTheme="minorHAnsi" w:hint="eastAsia"/>
          <w:b/>
          <w:szCs w:val="21"/>
        </w:rPr>
        <w:t>2</w:t>
      </w:r>
      <w:r w:rsidRPr="00BE4735">
        <w:rPr>
          <w:rFonts w:asciiTheme="minorHAnsi" w:hAnsiTheme="minorHAnsi"/>
          <w:b/>
          <w:szCs w:val="21"/>
        </w:rPr>
        <w:t xml:space="preserve">: </w:t>
      </w:r>
      <w:r w:rsidRPr="00340046">
        <w:rPr>
          <w:rFonts w:asciiTheme="minorHAnsi" w:hAnsiTheme="minorHAnsi"/>
          <w:b/>
          <w:szCs w:val="21"/>
        </w:rPr>
        <w:t>SS info</w:t>
      </w:r>
      <w:r w:rsidR="007E3B15">
        <w:rPr>
          <w:rFonts w:asciiTheme="minorHAnsi" w:hAnsiTheme="minorHAnsi"/>
          <w:b/>
          <w:szCs w:val="21"/>
        </w:rPr>
        <w:t>rmation</w:t>
      </w:r>
      <w:r w:rsidRPr="00340046">
        <w:rPr>
          <w:rFonts w:asciiTheme="minorHAnsi" w:hAnsiTheme="minorHAnsi"/>
          <w:b/>
          <w:szCs w:val="21"/>
        </w:rPr>
        <w:t xml:space="preserve"> can be signalled to the UE by higher layer signalling</w:t>
      </w:r>
      <w:r w:rsidR="007E3B15">
        <w:rPr>
          <w:rFonts w:asciiTheme="minorHAnsi" w:hAnsiTheme="minorHAnsi"/>
          <w:b/>
          <w:szCs w:val="21"/>
        </w:rPr>
        <w:t xml:space="preserve">, providing UE with required information to perform cell measurements of a cell using </w:t>
      </w:r>
      <w:r w:rsidR="004503CC">
        <w:rPr>
          <w:rFonts w:asciiTheme="minorHAnsi" w:hAnsiTheme="minorHAnsi"/>
          <w:b/>
          <w:szCs w:val="21"/>
        </w:rPr>
        <w:t>pre</w:t>
      </w:r>
      <w:r w:rsidR="00D24D46">
        <w:rPr>
          <w:rFonts w:asciiTheme="minorHAnsi" w:hAnsiTheme="minorHAnsi"/>
          <w:b/>
          <w:szCs w:val="21"/>
        </w:rPr>
        <w:t>-</w:t>
      </w:r>
      <w:r w:rsidR="004503CC">
        <w:rPr>
          <w:rFonts w:asciiTheme="minorHAnsi" w:hAnsiTheme="minorHAnsi"/>
          <w:b/>
          <w:szCs w:val="21"/>
        </w:rPr>
        <w:t>configured synchronization signals (e.g</w:t>
      </w:r>
      <w:r w:rsidR="004503CC" w:rsidRPr="00117799">
        <w:rPr>
          <w:rFonts w:asciiTheme="minorHAnsi" w:hAnsiTheme="minorHAnsi"/>
          <w:b/>
          <w:szCs w:val="21"/>
        </w:rPr>
        <w:t xml:space="preserve">. </w:t>
      </w:r>
      <w:r w:rsidR="00FC3B3A" w:rsidRPr="00117799">
        <w:rPr>
          <w:rFonts w:asciiTheme="minorHAnsi" w:hAnsiTheme="minorHAnsi"/>
          <w:b/>
          <w:szCs w:val="21"/>
        </w:rPr>
        <w:t>SS frequency location,</w:t>
      </w:r>
      <w:r w:rsidR="00FC3B3A">
        <w:rPr>
          <w:rFonts w:asciiTheme="minorHAnsi" w:hAnsiTheme="minorHAnsi"/>
          <w:b/>
          <w:szCs w:val="21"/>
        </w:rPr>
        <w:t xml:space="preserve"> </w:t>
      </w:r>
      <w:r w:rsidR="004503CC">
        <w:rPr>
          <w:rFonts w:asciiTheme="minorHAnsi" w:hAnsiTheme="minorHAnsi"/>
          <w:b/>
          <w:szCs w:val="21"/>
        </w:rPr>
        <w:t xml:space="preserve">SS periodicity and </w:t>
      </w:r>
      <w:r w:rsidR="00310AFA">
        <w:rPr>
          <w:rFonts w:asciiTheme="minorHAnsi" w:hAnsiTheme="minorHAnsi"/>
          <w:b/>
          <w:szCs w:val="21"/>
        </w:rPr>
        <w:t xml:space="preserve">use </w:t>
      </w:r>
      <w:r w:rsidR="004503CC">
        <w:rPr>
          <w:rFonts w:asciiTheme="minorHAnsi" w:hAnsiTheme="minorHAnsi"/>
          <w:b/>
          <w:szCs w:val="21"/>
        </w:rPr>
        <w:t>of non-default sub-carrier spacing)</w:t>
      </w:r>
      <w:r w:rsidR="007E3B15">
        <w:rPr>
          <w:rFonts w:asciiTheme="minorHAnsi" w:hAnsiTheme="minorHAnsi"/>
          <w:b/>
          <w:szCs w:val="21"/>
        </w:rPr>
        <w:t>.</w:t>
      </w:r>
    </w:p>
    <w:p w14:paraId="336EA928" w14:textId="3DE8E9FD" w:rsidR="00FE53DF" w:rsidRPr="00FE53DF" w:rsidRDefault="00FE53DF" w:rsidP="00FE53DF">
      <w:pPr>
        <w:pStyle w:val="NoSpacing"/>
        <w:spacing w:after="180"/>
        <w:rPr>
          <w:sz w:val="24"/>
        </w:rPr>
      </w:pPr>
      <w:r w:rsidRPr="00FE53DF">
        <w:rPr>
          <w:sz w:val="24"/>
        </w:rPr>
        <w:t>2.</w:t>
      </w:r>
      <w:r w:rsidR="00A76F7C">
        <w:rPr>
          <w:sz w:val="24"/>
        </w:rPr>
        <w:t>2</w:t>
      </w:r>
      <w:r w:rsidR="00A76F7C" w:rsidRPr="00FE53DF">
        <w:rPr>
          <w:sz w:val="24"/>
        </w:rPr>
        <w:t xml:space="preserve"> </w:t>
      </w:r>
      <w:r w:rsidR="007E3B15">
        <w:rPr>
          <w:sz w:val="24"/>
        </w:rPr>
        <w:t>SS block multiplexing</w:t>
      </w:r>
    </w:p>
    <w:p w14:paraId="0FA277E0" w14:textId="03544A3C" w:rsidR="00EF4338" w:rsidRDefault="00EF4338" w:rsidP="00A71D8E">
      <w:pPr>
        <w:rPr>
          <w:lang w:val="en-US"/>
        </w:rPr>
      </w:pPr>
      <w:r w:rsidRPr="007D5829">
        <w:lastRenderedPageBreak/>
        <w:t xml:space="preserve">NR-PSS, NR-SSS, and </w:t>
      </w:r>
      <w:r>
        <w:t>NR-</w:t>
      </w:r>
      <w:r w:rsidRPr="007D5829">
        <w:t>PBCH</w:t>
      </w:r>
      <w:r>
        <w:t xml:space="preserve"> should be multiplexed and all included in the SS block. In practice, it can be multiplexed </w:t>
      </w:r>
      <w:r w:rsidR="00341080">
        <w:t xml:space="preserve">using </w:t>
      </w:r>
      <w:r>
        <w:t>Time Domain Multiplexing (TDM) or Frequency Domain Multiplexing (FDM). In [</w:t>
      </w:r>
      <w:r w:rsidR="00FC3B3A">
        <w:t>1</w:t>
      </w:r>
      <w:r>
        <w:t xml:space="preserve">], </w:t>
      </w:r>
      <w:r w:rsidR="00FC3B3A">
        <w:t xml:space="preserve">it was agreed that </w:t>
      </w:r>
      <w:r w:rsidRPr="00A71D8E">
        <w:rPr>
          <w:lang w:val="en-US"/>
        </w:rPr>
        <w:t>TDM of PSS and SSS is supported</w:t>
      </w:r>
      <w:r w:rsidRPr="00A71D8E">
        <w:rPr>
          <w:rFonts w:hint="eastAsia"/>
          <w:lang w:val="en-US"/>
        </w:rPr>
        <w:t xml:space="preserve"> for </w:t>
      </w:r>
      <w:r w:rsidRPr="00A71D8E">
        <w:rPr>
          <w:lang w:val="en-US"/>
        </w:rPr>
        <w:t xml:space="preserve">single </w:t>
      </w:r>
      <w:r w:rsidR="00FC3B3A">
        <w:rPr>
          <w:lang w:val="en-US"/>
        </w:rPr>
        <w:t xml:space="preserve">beam scenario </w:t>
      </w:r>
      <w:r w:rsidRPr="00A71D8E">
        <w:rPr>
          <w:lang w:val="en-US"/>
        </w:rPr>
        <w:t>and</w:t>
      </w:r>
      <w:r w:rsidR="00FC3B3A" w:rsidRPr="00FC3B3A">
        <w:rPr>
          <w:rFonts w:hint="eastAsia"/>
          <w:lang w:val="en-US"/>
        </w:rPr>
        <w:t xml:space="preserve"> </w:t>
      </w:r>
      <w:r w:rsidR="00FC3B3A">
        <w:rPr>
          <w:rFonts w:hint="eastAsia"/>
          <w:lang w:val="en-US"/>
        </w:rPr>
        <w:t>was set working assumption that TDM of PSS and SSS is supported for</w:t>
      </w:r>
      <w:r w:rsidRPr="00A71D8E">
        <w:rPr>
          <w:lang w:val="en-US"/>
        </w:rPr>
        <w:t xml:space="preserve"> </w:t>
      </w:r>
      <w:r w:rsidRPr="00A71D8E">
        <w:rPr>
          <w:rFonts w:hint="eastAsia"/>
          <w:lang w:val="en-US"/>
        </w:rPr>
        <w:t>multiple beam scenario</w:t>
      </w:r>
      <w:r w:rsidRPr="00A71D8E">
        <w:rPr>
          <w:lang w:val="en-US"/>
        </w:rPr>
        <w:t>. Assuming the same SS block bandwidth (</w:t>
      </w:r>
      <w:proofErr w:type="spellStart"/>
      <w:r w:rsidRPr="00A71D8E">
        <w:rPr>
          <w:lang w:val="en-US"/>
        </w:rPr>
        <w:t>i.e</w:t>
      </w:r>
      <w:proofErr w:type="spellEnd"/>
      <w:r w:rsidRPr="00A71D8E">
        <w:rPr>
          <w:lang w:val="en-US"/>
        </w:rPr>
        <w:t xml:space="preserve"> for fair comparison), FDM requires narrow sub-carrier spacing and longer symbol duration. On the other hand, TDM requires wider sub-carrier spacing and shorter symbol duration. This is illustrated in </w:t>
      </w:r>
      <w:r w:rsidRPr="00A71D8E">
        <w:rPr>
          <w:lang w:val="en-US"/>
        </w:rPr>
        <w:fldChar w:fldCharType="begin"/>
      </w:r>
      <w:r w:rsidRPr="00A71D8E">
        <w:rPr>
          <w:lang w:val="en-US"/>
        </w:rPr>
        <w:instrText xml:space="preserve"> REF _Ref473622013 \h </w:instrText>
      </w:r>
      <w:r w:rsidRPr="00A71D8E">
        <w:rPr>
          <w:lang w:val="en-US"/>
        </w:rPr>
      </w:r>
      <w:r w:rsidRPr="00A71D8E"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 w:rsidRPr="00A71D8E">
        <w:rPr>
          <w:lang w:val="en-US"/>
        </w:rPr>
        <w:fldChar w:fldCharType="end"/>
      </w:r>
      <w:r w:rsidRPr="00A71D8E">
        <w:rPr>
          <w:lang w:val="en-US"/>
        </w:rPr>
        <w:t xml:space="preserve"> below.</w:t>
      </w:r>
    </w:p>
    <w:p w14:paraId="05D1D833" w14:textId="77777777" w:rsidR="00A71D8E" w:rsidRPr="00A71D8E" w:rsidRDefault="00A71D8E" w:rsidP="00A71D8E">
      <w:pPr>
        <w:rPr>
          <w:lang w:val="en-US"/>
        </w:rPr>
      </w:pPr>
    </w:p>
    <w:p w14:paraId="56B13128" w14:textId="32C10948" w:rsidR="00A71D8E" w:rsidRDefault="00A71D8E" w:rsidP="00A71D8E">
      <w:pPr>
        <w:pStyle w:val="ListParagraph"/>
        <w:keepNext/>
        <w:ind w:leftChars="0" w:left="720"/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1E774CDE" wp14:editId="554F9D28">
            <wp:simplePos x="0" y="0"/>
            <wp:positionH relativeFrom="column">
              <wp:posOffset>1582082</wp:posOffset>
            </wp:positionH>
            <wp:positionV relativeFrom="paragraph">
              <wp:posOffset>14605</wp:posOffset>
            </wp:positionV>
            <wp:extent cx="3467100" cy="222377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Sblock.emf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053"/>
                    <a:stretch/>
                  </pic:blipFill>
                  <pic:spPr bwMode="auto">
                    <a:xfrm>
                      <a:off x="0" y="0"/>
                      <a:ext cx="3467100" cy="2223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B7B780" w14:textId="6AAC5006" w:rsidR="00A71D8E" w:rsidRDefault="00A71D8E" w:rsidP="00A71D8E">
      <w:pPr>
        <w:pStyle w:val="ListParagraph"/>
        <w:keepNext/>
        <w:ind w:leftChars="0" w:left="720"/>
      </w:pPr>
    </w:p>
    <w:p w14:paraId="36B39ADF" w14:textId="77777777" w:rsidR="00A71D8E" w:rsidRDefault="00A71D8E" w:rsidP="00A71D8E">
      <w:pPr>
        <w:pStyle w:val="Caption"/>
        <w:spacing w:after="180"/>
        <w:ind w:left="720"/>
        <w:rPr>
          <w:i w:val="0"/>
          <w:color w:val="000000" w:themeColor="text1"/>
        </w:rPr>
      </w:pPr>
      <w:bookmarkStart w:id="4" w:name="_Ref473622013"/>
    </w:p>
    <w:p w14:paraId="23493581" w14:textId="77777777" w:rsidR="00A71D8E" w:rsidRDefault="00A71D8E" w:rsidP="00A71D8E">
      <w:pPr>
        <w:pStyle w:val="Caption"/>
        <w:spacing w:after="180"/>
        <w:ind w:left="720"/>
        <w:rPr>
          <w:i w:val="0"/>
          <w:color w:val="000000" w:themeColor="text1"/>
        </w:rPr>
      </w:pPr>
    </w:p>
    <w:p w14:paraId="4A965D32" w14:textId="77777777" w:rsidR="00A71D8E" w:rsidRDefault="00A71D8E" w:rsidP="00A71D8E">
      <w:pPr>
        <w:pStyle w:val="Caption"/>
        <w:spacing w:after="180"/>
        <w:ind w:left="720"/>
        <w:rPr>
          <w:i w:val="0"/>
          <w:color w:val="000000" w:themeColor="text1"/>
        </w:rPr>
      </w:pPr>
    </w:p>
    <w:p w14:paraId="05821E03" w14:textId="77777777" w:rsidR="00A71D8E" w:rsidRDefault="00A71D8E" w:rsidP="00A71D8E">
      <w:pPr>
        <w:pStyle w:val="Caption"/>
        <w:spacing w:after="180"/>
        <w:ind w:left="720"/>
        <w:rPr>
          <w:i w:val="0"/>
          <w:color w:val="000000" w:themeColor="text1"/>
        </w:rPr>
      </w:pPr>
    </w:p>
    <w:p w14:paraId="6BC5FA35" w14:textId="77777777" w:rsidR="00A71D8E" w:rsidRDefault="00A71D8E" w:rsidP="00A71D8E">
      <w:pPr>
        <w:pStyle w:val="Caption"/>
        <w:spacing w:after="180"/>
        <w:ind w:left="720"/>
        <w:rPr>
          <w:i w:val="0"/>
          <w:color w:val="000000" w:themeColor="text1"/>
        </w:rPr>
      </w:pPr>
    </w:p>
    <w:p w14:paraId="7B974C0B" w14:textId="6A4CF573" w:rsidR="00EF4338" w:rsidRPr="00924233" w:rsidRDefault="00EF4338" w:rsidP="001D3E85">
      <w:pPr>
        <w:pStyle w:val="Caption"/>
        <w:spacing w:after="180"/>
        <w:ind w:left="720"/>
        <w:jc w:val="center"/>
        <w:rPr>
          <w:i w:val="0"/>
          <w:color w:val="000000" w:themeColor="text1"/>
          <w:lang w:val="en-US"/>
        </w:rPr>
      </w:pPr>
      <w:bookmarkStart w:id="5" w:name="_Ref474133977"/>
      <w:r w:rsidRPr="00924233">
        <w:rPr>
          <w:i w:val="0"/>
          <w:color w:val="000000" w:themeColor="text1"/>
        </w:rPr>
        <w:t xml:space="preserve">Figure </w:t>
      </w:r>
      <w:r w:rsidRPr="00924233">
        <w:rPr>
          <w:i w:val="0"/>
          <w:color w:val="000000" w:themeColor="text1"/>
        </w:rPr>
        <w:fldChar w:fldCharType="begin"/>
      </w:r>
      <w:r w:rsidRPr="00924233">
        <w:rPr>
          <w:i w:val="0"/>
          <w:color w:val="000000" w:themeColor="text1"/>
        </w:rPr>
        <w:instrText xml:space="preserve"> SEQ Figure \* ARABIC </w:instrText>
      </w:r>
      <w:r w:rsidRPr="00924233">
        <w:rPr>
          <w:i w:val="0"/>
          <w:color w:val="000000" w:themeColor="text1"/>
        </w:rPr>
        <w:fldChar w:fldCharType="separate"/>
      </w:r>
      <w:r w:rsidRPr="00924233">
        <w:rPr>
          <w:i w:val="0"/>
          <w:noProof/>
          <w:color w:val="000000" w:themeColor="text1"/>
        </w:rPr>
        <w:t>1</w:t>
      </w:r>
      <w:r w:rsidRPr="00924233">
        <w:rPr>
          <w:i w:val="0"/>
          <w:color w:val="000000" w:themeColor="text1"/>
        </w:rPr>
        <w:fldChar w:fldCharType="end"/>
      </w:r>
      <w:bookmarkEnd w:id="4"/>
      <w:bookmarkEnd w:id="5"/>
      <w:r w:rsidRPr="00924233">
        <w:rPr>
          <w:i w:val="0"/>
          <w:color w:val="000000" w:themeColor="text1"/>
        </w:rPr>
        <w:t xml:space="preserve">: </w:t>
      </w:r>
      <w:r w:rsidR="00297CF3">
        <w:rPr>
          <w:i w:val="0"/>
          <w:color w:val="000000" w:themeColor="text1"/>
        </w:rPr>
        <w:t xml:space="preserve">Illustration of </w:t>
      </w:r>
      <w:r w:rsidRPr="00924233">
        <w:rPr>
          <w:i w:val="0"/>
          <w:color w:val="000000" w:themeColor="text1"/>
        </w:rPr>
        <w:t>PSS/SSS and PBCH Multiplexing in FDM and TDM</w:t>
      </w:r>
    </w:p>
    <w:p w14:paraId="0A7BEC86" w14:textId="6AF6D195" w:rsidR="00EF4338" w:rsidRPr="00A71D8E" w:rsidRDefault="00EF4338" w:rsidP="00A71D8E">
      <w:pPr>
        <w:rPr>
          <w:lang w:val="en-US"/>
        </w:rPr>
      </w:pPr>
      <w:r w:rsidRPr="00A71D8E">
        <w:rPr>
          <w:lang w:val="en-US"/>
        </w:rPr>
        <w:t xml:space="preserve">During initial cell selection, a high frequency offset between </w:t>
      </w:r>
      <w:proofErr w:type="spellStart"/>
      <w:r w:rsidRPr="00A71D8E">
        <w:rPr>
          <w:lang w:val="en-US"/>
        </w:rPr>
        <w:t>gNB</w:t>
      </w:r>
      <w:proofErr w:type="spellEnd"/>
      <w:r w:rsidRPr="00A71D8E">
        <w:rPr>
          <w:lang w:val="en-US"/>
        </w:rPr>
        <w:t xml:space="preserve"> and UE is expected. The TDM in SS block with wider sub-carrier spacing </w:t>
      </w:r>
      <w:r w:rsidR="00297CF3">
        <w:rPr>
          <w:lang w:val="en-US"/>
        </w:rPr>
        <w:t xml:space="preserve">(SCS#2 in </w:t>
      </w:r>
      <w:r w:rsidR="00297CF3">
        <w:rPr>
          <w:lang w:val="en-US"/>
        </w:rPr>
        <w:fldChar w:fldCharType="begin"/>
      </w:r>
      <w:r w:rsidR="00297CF3">
        <w:rPr>
          <w:lang w:val="en-US"/>
        </w:rPr>
        <w:instrText xml:space="preserve"> REF _Ref474133977 \h </w:instrText>
      </w:r>
      <w:r w:rsidR="00297CF3">
        <w:rPr>
          <w:lang w:val="en-US"/>
        </w:rPr>
      </w:r>
      <w:r w:rsidR="00297CF3">
        <w:rPr>
          <w:lang w:val="en-US"/>
        </w:rPr>
        <w:fldChar w:fldCharType="separate"/>
      </w:r>
      <w:r w:rsidR="00297CF3" w:rsidRPr="00924233">
        <w:rPr>
          <w:color w:val="000000" w:themeColor="text1"/>
        </w:rPr>
        <w:t xml:space="preserve">Figure </w:t>
      </w:r>
      <w:r w:rsidR="00297CF3" w:rsidRPr="00924233">
        <w:rPr>
          <w:noProof/>
          <w:color w:val="000000" w:themeColor="text1"/>
        </w:rPr>
        <w:t>1</w:t>
      </w:r>
      <w:r w:rsidR="00297CF3">
        <w:rPr>
          <w:lang w:val="en-US"/>
        </w:rPr>
        <w:fldChar w:fldCharType="end"/>
      </w:r>
      <w:r w:rsidR="00297CF3">
        <w:rPr>
          <w:lang w:val="en-US"/>
        </w:rPr>
        <w:t xml:space="preserve">) </w:t>
      </w:r>
      <w:r w:rsidRPr="00A71D8E">
        <w:rPr>
          <w:lang w:val="en-US"/>
        </w:rPr>
        <w:t xml:space="preserve">provides </w:t>
      </w:r>
      <w:r w:rsidR="00341080">
        <w:rPr>
          <w:lang w:val="en-US"/>
        </w:rPr>
        <w:t xml:space="preserve">higher </w:t>
      </w:r>
      <w:r w:rsidRPr="00A71D8E">
        <w:rPr>
          <w:lang w:val="en-US"/>
        </w:rPr>
        <w:t>robustness against frequency offset and phase noise</w:t>
      </w:r>
      <w:r w:rsidRPr="00117799">
        <w:rPr>
          <w:lang w:val="en-US"/>
        </w:rPr>
        <w:t xml:space="preserve">. </w:t>
      </w:r>
      <w:r w:rsidR="00CE3100" w:rsidRPr="001D3E85">
        <w:rPr>
          <w:rFonts w:asciiTheme="minorHAnsi" w:hAnsiTheme="minorHAnsi" w:cstheme="minorBidi"/>
        </w:rPr>
        <w:t xml:space="preserve">Initial frequency offset determination </w:t>
      </w:r>
      <w:r w:rsidR="006A72C2" w:rsidRPr="001D3E85">
        <w:rPr>
          <w:rFonts w:asciiTheme="minorHAnsi" w:hAnsiTheme="minorHAnsi" w:cstheme="minorBidi"/>
        </w:rPr>
        <w:t>is</w:t>
      </w:r>
      <w:r w:rsidR="00CE3100" w:rsidRPr="001D3E85">
        <w:rPr>
          <w:rFonts w:asciiTheme="minorHAnsi" w:hAnsiTheme="minorHAnsi" w:cstheme="minorBidi"/>
        </w:rPr>
        <w:t xml:space="preserve"> typically based on the synchronization signals</w:t>
      </w:r>
      <w:r w:rsidR="006A72C2" w:rsidRPr="001D3E85">
        <w:rPr>
          <w:rFonts w:asciiTheme="minorHAnsi" w:hAnsiTheme="minorHAnsi" w:cstheme="minorBidi"/>
        </w:rPr>
        <w:t>. In TDM and depending on the PBCH design,</w:t>
      </w:r>
      <w:r w:rsidR="00CE3100" w:rsidRPr="001D3E85">
        <w:rPr>
          <w:rFonts w:asciiTheme="minorHAnsi" w:hAnsiTheme="minorHAnsi" w:cstheme="minorBidi"/>
        </w:rPr>
        <w:t xml:space="preserve"> fine frequency offset estimation </w:t>
      </w:r>
      <w:r w:rsidR="006A72C2" w:rsidRPr="001D3E85">
        <w:rPr>
          <w:rFonts w:asciiTheme="minorHAnsi" w:hAnsiTheme="minorHAnsi" w:cstheme="minorBidi"/>
        </w:rPr>
        <w:t>can also</w:t>
      </w:r>
      <w:r w:rsidR="00CE3100" w:rsidRPr="001D3E85">
        <w:rPr>
          <w:rFonts w:asciiTheme="minorHAnsi" w:hAnsiTheme="minorHAnsi" w:cstheme="minorBidi"/>
        </w:rPr>
        <w:t xml:space="preserve"> be done </w:t>
      </w:r>
      <w:r w:rsidR="006A72C2" w:rsidRPr="001D3E85">
        <w:rPr>
          <w:rFonts w:asciiTheme="minorHAnsi" w:hAnsiTheme="minorHAnsi" w:cstheme="minorBidi"/>
        </w:rPr>
        <w:t>using</w:t>
      </w:r>
      <w:r w:rsidR="00CE3100" w:rsidRPr="001D3E85">
        <w:rPr>
          <w:rFonts w:asciiTheme="minorHAnsi" w:hAnsiTheme="minorHAnsi" w:cstheme="minorBidi"/>
        </w:rPr>
        <w:t xml:space="preserve"> the PBCH</w:t>
      </w:r>
      <w:r w:rsidR="006A72C2" w:rsidRPr="001D3E85">
        <w:rPr>
          <w:rFonts w:asciiTheme="minorHAnsi" w:hAnsiTheme="minorHAnsi" w:cstheme="minorBidi"/>
        </w:rPr>
        <w:t>.</w:t>
      </w:r>
      <w:r w:rsidR="00CE3100" w:rsidRPr="001D3E85">
        <w:rPr>
          <w:rFonts w:asciiTheme="minorHAnsi" w:hAnsiTheme="minorHAnsi" w:cstheme="minorBidi"/>
        </w:rPr>
        <w:t xml:space="preserve"> </w:t>
      </w:r>
      <w:r w:rsidRPr="00731598">
        <w:rPr>
          <w:lang w:val="en-US"/>
        </w:rPr>
        <w:t xml:space="preserve">Another </w:t>
      </w:r>
      <w:r w:rsidRPr="00A71D8E">
        <w:rPr>
          <w:lang w:val="en-US"/>
        </w:rPr>
        <w:t xml:space="preserve">benefit of TDM, the detected SSS can be used </w:t>
      </w:r>
      <w:r w:rsidR="00833097">
        <w:rPr>
          <w:lang w:val="en-US"/>
        </w:rPr>
        <w:t>in</w:t>
      </w:r>
      <w:r w:rsidR="00833097" w:rsidRPr="00A71D8E">
        <w:rPr>
          <w:lang w:val="en-US"/>
        </w:rPr>
        <w:t xml:space="preserve"> </w:t>
      </w:r>
      <w:r w:rsidRPr="00A71D8E">
        <w:rPr>
          <w:lang w:val="en-US"/>
        </w:rPr>
        <w:t xml:space="preserve">the channel estimation to demodulate </w:t>
      </w:r>
      <w:r w:rsidR="00833097">
        <w:rPr>
          <w:lang w:val="en-US"/>
        </w:rPr>
        <w:t xml:space="preserve">the </w:t>
      </w:r>
      <w:r w:rsidRPr="00A71D8E">
        <w:rPr>
          <w:lang w:val="en-US"/>
        </w:rPr>
        <w:t xml:space="preserve">PBCH. From </w:t>
      </w:r>
      <w:proofErr w:type="spellStart"/>
      <w:r w:rsidRPr="00A71D8E">
        <w:rPr>
          <w:lang w:val="en-US"/>
        </w:rPr>
        <w:t>gNB</w:t>
      </w:r>
      <w:proofErr w:type="spellEnd"/>
      <w:r w:rsidRPr="00A71D8E">
        <w:rPr>
          <w:lang w:val="en-US"/>
        </w:rPr>
        <w:t xml:space="preserve"> point of view, TDM also provides lower PAPR which bring</w:t>
      </w:r>
      <w:r w:rsidR="00833097">
        <w:rPr>
          <w:lang w:val="en-US"/>
        </w:rPr>
        <w:t>s</w:t>
      </w:r>
      <w:r w:rsidRPr="00A71D8E">
        <w:rPr>
          <w:lang w:val="en-US"/>
        </w:rPr>
        <w:t xml:space="preserve"> benefit to maintain high PA efficiency.</w:t>
      </w:r>
      <w:r w:rsidR="00A71D8E">
        <w:rPr>
          <w:lang w:val="en-US"/>
        </w:rPr>
        <w:t xml:space="preserve"> </w:t>
      </w:r>
    </w:p>
    <w:p w14:paraId="68E57369" w14:textId="1CEB7D73" w:rsidR="005F2279" w:rsidRPr="00894F09" w:rsidRDefault="005F2279" w:rsidP="005F2279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 w:rsidR="007E3B15">
        <w:rPr>
          <w:rFonts w:asciiTheme="minorHAnsi" w:hAnsiTheme="minorHAnsi" w:hint="eastAsia"/>
          <w:b/>
          <w:szCs w:val="21"/>
        </w:rPr>
        <w:t>3</w:t>
      </w:r>
      <w:r w:rsidRPr="00BE4735">
        <w:rPr>
          <w:rFonts w:asciiTheme="minorHAnsi" w:hAnsiTheme="minorHAnsi"/>
          <w:b/>
          <w:szCs w:val="21"/>
        </w:rPr>
        <w:t xml:space="preserve">: </w:t>
      </w:r>
      <w:r w:rsidR="00A71D8E" w:rsidRPr="004503CC">
        <w:rPr>
          <w:b/>
          <w:lang w:val="en-US"/>
        </w:rPr>
        <w:t xml:space="preserve">NR supports time domain multiplexing of NR-PSS, NR-SSS, and NR-PBCH. </w:t>
      </w:r>
    </w:p>
    <w:p w14:paraId="24C2E692" w14:textId="1B320648" w:rsidR="006A72C2" w:rsidRPr="0065238F" w:rsidRDefault="006A72C2" w:rsidP="006A72C2">
      <w:pPr>
        <w:rPr>
          <w:rFonts w:asciiTheme="minorHAnsi" w:hAnsiTheme="minorHAnsi"/>
          <w:szCs w:val="21"/>
        </w:rPr>
      </w:pPr>
      <w:r w:rsidRPr="0065238F">
        <w:rPr>
          <w:rFonts w:asciiTheme="minorHAnsi" w:hAnsiTheme="minorHAnsi"/>
          <w:szCs w:val="21"/>
        </w:rPr>
        <w:t>Since the PBCH</w:t>
      </w:r>
      <w:r>
        <w:rPr>
          <w:rFonts w:asciiTheme="minorHAnsi" w:hAnsiTheme="minorHAnsi"/>
          <w:szCs w:val="21"/>
        </w:rPr>
        <w:t xml:space="preserve"> carries signalling by modulation, the SCS used for the PBCH is typically determined by the likely relative speed between the UE and </w:t>
      </w:r>
      <w:proofErr w:type="spellStart"/>
      <w:r>
        <w:rPr>
          <w:rFonts w:asciiTheme="minorHAnsi" w:hAnsiTheme="minorHAnsi"/>
          <w:szCs w:val="21"/>
        </w:rPr>
        <w:t>gNB</w:t>
      </w:r>
      <w:proofErr w:type="spellEnd"/>
      <w:r>
        <w:rPr>
          <w:rFonts w:asciiTheme="minorHAnsi" w:hAnsiTheme="minorHAnsi"/>
          <w:szCs w:val="21"/>
        </w:rPr>
        <w:t xml:space="preserve">. As the synchronisation signals are not as sensitive to Doppler spreads as the PBCH, the PBCH SCS does not have to be the same as the SS SCS.  </w:t>
      </w:r>
    </w:p>
    <w:p w14:paraId="0B1DAF64" w14:textId="16BD8F8B" w:rsidR="003F50A1" w:rsidRDefault="003F50A1" w:rsidP="003F50A1">
      <w:pPr>
        <w:rPr>
          <w:rFonts w:asciiTheme="minorHAnsi" w:hAnsiTheme="minorHAnsi"/>
          <w:b/>
          <w:szCs w:val="21"/>
        </w:rPr>
      </w:pPr>
      <w:r w:rsidRPr="001D3E85">
        <w:rPr>
          <w:rFonts w:asciiTheme="minorHAnsi" w:hAnsiTheme="minorHAnsi"/>
          <w:b/>
          <w:szCs w:val="21"/>
        </w:rPr>
        <w:t xml:space="preserve">Proposal </w:t>
      </w:r>
      <w:r w:rsidR="007E3B15" w:rsidRPr="001D3E85">
        <w:rPr>
          <w:rFonts w:asciiTheme="minorHAnsi" w:hAnsiTheme="minorHAnsi"/>
          <w:b/>
          <w:szCs w:val="21"/>
        </w:rPr>
        <w:t>4</w:t>
      </w:r>
      <w:r w:rsidRPr="001D3E85">
        <w:rPr>
          <w:rFonts w:asciiTheme="minorHAnsi" w:hAnsiTheme="minorHAnsi"/>
          <w:b/>
          <w:szCs w:val="21"/>
        </w:rPr>
        <w:t xml:space="preserve">: </w:t>
      </w:r>
      <w:r w:rsidR="006A72C2">
        <w:rPr>
          <w:rFonts w:asciiTheme="minorHAnsi" w:hAnsiTheme="minorHAnsi"/>
          <w:b/>
          <w:szCs w:val="21"/>
        </w:rPr>
        <w:t>T</w:t>
      </w:r>
      <w:r w:rsidR="00E028CD">
        <w:rPr>
          <w:rFonts w:asciiTheme="minorHAnsi" w:hAnsiTheme="minorHAnsi"/>
          <w:b/>
          <w:szCs w:val="21"/>
        </w:rPr>
        <w:t>he PBCH SCS can be different from the SCS of the SS.</w:t>
      </w:r>
    </w:p>
    <w:p w14:paraId="6933DDC9" w14:textId="6453D448" w:rsidR="00E15F13" w:rsidRPr="00BC2CAE" w:rsidRDefault="00E15F13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Conclusion</w:t>
      </w:r>
      <w:r w:rsidR="00D11826">
        <w:rPr>
          <w:rFonts w:eastAsia="MS Mincho"/>
          <w:lang w:eastAsia="ja-JP"/>
        </w:rPr>
        <w:t>s</w:t>
      </w:r>
    </w:p>
    <w:p w14:paraId="1FDC5D25" w14:textId="3D347687" w:rsidR="0025373E" w:rsidRPr="00BE4735" w:rsidRDefault="00707BC2" w:rsidP="00CB1542">
      <w:pPr>
        <w:pStyle w:val="a"/>
        <w:rPr>
          <w:rFonts w:asciiTheme="minorHAnsi" w:hAnsiTheme="minorHAnsi"/>
          <w:szCs w:val="21"/>
        </w:rPr>
      </w:pPr>
      <w:r w:rsidRPr="00BE4735">
        <w:rPr>
          <w:rStyle w:val="a0"/>
          <w:rFonts w:asciiTheme="minorHAnsi" w:hAnsiTheme="minorHAnsi"/>
          <w:szCs w:val="21"/>
        </w:rPr>
        <w:t>In this contribution, we</w:t>
      </w:r>
      <w:r w:rsidR="00535EE9" w:rsidRPr="00BE4735">
        <w:rPr>
          <w:rStyle w:val="a0"/>
          <w:rFonts w:asciiTheme="minorHAnsi" w:hAnsiTheme="minorHAnsi"/>
          <w:szCs w:val="21"/>
        </w:rPr>
        <w:t xml:space="preserve"> </w:t>
      </w:r>
      <w:r w:rsidR="00BE4735">
        <w:rPr>
          <w:rStyle w:val="a0"/>
          <w:rFonts w:asciiTheme="minorHAnsi" w:hAnsiTheme="minorHAnsi"/>
          <w:szCs w:val="21"/>
        </w:rPr>
        <w:t>discussed</w:t>
      </w:r>
      <w:r w:rsidR="004503CC">
        <w:rPr>
          <w:rFonts w:asciiTheme="minorHAnsi" w:hAnsiTheme="minorHAnsi"/>
          <w:szCs w:val="21"/>
          <w:lang w:val="en-US"/>
        </w:rPr>
        <w:t xml:space="preserve"> multiple SS configuration for various NR-cells,</w:t>
      </w:r>
      <w:r w:rsidR="004503CC" w:rsidRPr="00BE4735">
        <w:rPr>
          <w:rFonts w:asciiTheme="minorHAnsi" w:hAnsiTheme="minorHAnsi"/>
          <w:szCs w:val="21"/>
          <w:lang w:val="en-US"/>
        </w:rPr>
        <w:t xml:space="preserve"> </w:t>
      </w:r>
      <w:r w:rsidR="004503CC">
        <w:rPr>
          <w:rFonts w:asciiTheme="minorHAnsi" w:hAnsiTheme="minorHAnsi"/>
          <w:szCs w:val="21"/>
          <w:lang w:val="en-US"/>
        </w:rPr>
        <w:t>and on SS block multiplexing.</w:t>
      </w:r>
      <w:r w:rsidR="0084017A" w:rsidRPr="00BE4735">
        <w:rPr>
          <w:rStyle w:val="a0"/>
          <w:rFonts w:asciiTheme="minorHAnsi" w:hAnsiTheme="minorHAnsi"/>
          <w:szCs w:val="21"/>
        </w:rPr>
        <w:t xml:space="preserve"> </w:t>
      </w:r>
      <w:r w:rsidR="004503CC">
        <w:rPr>
          <w:rStyle w:val="a0"/>
          <w:rFonts w:asciiTheme="minorHAnsi" w:hAnsiTheme="minorHAnsi"/>
          <w:szCs w:val="21"/>
        </w:rPr>
        <w:t xml:space="preserve">We </w:t>
      </w:r>
      <w:r w:rsidR="00D11826" w:rsidRPr="00BE4735">
        <w:rPr>
          <w:rStyle w:val="a0"/>
          <w:rFonts w:asciiTheme="minorHAnsi" w:hAnsiTheme="minorHAnsi"/>
          <w:szCs w:val="21"/>
        </w:rPr>
        <w:t>conclude on the following proposals</w:t>
      </w:r>
      <w:r w:rsidR="00375083" w:rsidRPr="00BE4735">
        <w:rPr>
          <w:rFonts w:asciiTheme="minorHAnsi" w:hAnsiTheme="minorHAnsi"/>
          <w:szCs w:val="21"/>
        </w:rPr>
        <w:t>:</w:t>
      </w:r>
    </w:p>
    <w:p w14:paraId="731EB194" w14:textId="4B506FB5" w:rsidR="00132282" w:rsidRDefault="00132282" w:rsidP="00132282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lastRenderedPageBreak/>
        <w:t xml:space="preserve">Proposal </w:t>
      </w:r>
      <w:r>
        <w:rPr>
          <w:rFonts w:asciiTheme="minorHAnsi" w:hAnsiTheme="minorHAnsi" w:hint="eastAsia"/>
          <w:b/>
          <w:szCs w:val="21"/>
        </w:rPr>
        <w:t>1</w:t>
      </w:r>
      <w:r w:rsidR="004503CC">
        <w:rPr>
          <w:rFonts w:asciiTheme="minorHAnsi" w:hAnsiTheme="minorHAnsi"/>
          <w:b/>
          <w:szCs w:val="21"/>
        </w:rPr>
        <w:t>:</w:t>
      </w:r>
      <w:r w:rsidR="00894F09">
        <w:rPr>
          <w:rFonts w:asciiTheme="minorHAnsi" w:hAnsiTheme="minorHAnsi"/>
          <w:b/>
          <w:szCs w:val="21"/>
        </w:rPr>
        <w:t xml:space="preserve"> For a cell not intended for initial cell selection, a </w:t>
      </w:r>
      <w:proofErr w:type="spellStart"/>
      <w:r w:rsidR="00894F09">
        <w:rPr>
          <w:rFonts w:asciiTheme="minorHAnsi" w:hAnsiTheme="minorHAnsi"/>
          <w:b/>
          <w:szCs w:val="21"/>
        </w:rPr>
        <w:t>gNB</w:t>
      </w:r>
      <w:proofErr w:type="spellEnd"/>
      <w:r w:rsidR="00894F09">
        <w:rPr>
          <w:rFonts w:asciiTheme="minorHAnsi" w:hAnsiTheme="minorHAnsi"/>
          <w:b/>
          <w:szCs w:val="21"/>
        </w:rPr>
        <w:t xml:space="preserve"> may transmit SS with a-pre</w:t>
      </w:r>
      <w:r w:rsidR="004B7FDE">
        <w:rPr>
          <w:rFonts w:asciiTheme="minorHAnsi" w:hAnsiTheme="minorHAnsi"/>
          <w:b/>
          <w:szCs w:val="21"/>
        </w:rPr>
        <w:t>-</w:t>
      </w:r>
      <w:r w:rsidR="00894F09">
        <w:rPr>
          <w:rFonts w:asciiTheme="minorHAnsi" w:hAnsiTheme="minorHAnsi"/>
          <w:b/>
          <w:szCs w:val="21"/>
        </w:rPr>
        <w:t>configured synchronization signals (e.g. SS periodicity and usage of non-default sub-carrier spacing).</w:t>
      </w:r>
    </w:p>
    <w:p w14:paraId="55423A92" w14:textId="727E69D6" w:rsidR="00132282" w:rsidRDefault="00132282" w:rsidP="00132282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>
        <w:rPr>
          <w:rFonts w:asciiTheme="minorHAnsi" w:hAnsiTheme="minorHAnsi" w:hint="eastAsia"/>
          <w:b/>
          <w:szCs w:val="21"/>
        </w:rPr>
        <w:t>2</w:t>
      </w:r>
      <w:r w:rsidRPr="00BE4735">
        <w:rPr>
          <w:rFonts w:asciiTheme="minorHAnsi" w:hAnsiTheme="minorHAnsi"/>
          <w:b/>
          <w:szCs w:val="21"/>
        </w:rPr>
        <w:t xml:space="preserve">: </w:t>
      </w:r>
      <w:r w:rsidR="00D24D46" w:rsidRPr="00340046">
        <w:rPr>
          <w:rFonts w:asciiTheme="minorHAnsi" w:hAnsiTheme="minorHAnsi"/>
          <w:b/>
          <w:szCs w:val="21"/>
        </w:rPr>
        <w:t>SS info</w:t>
      </w:r>
      <w:r w:rsidR="00D24D46">
        <w:rPr>
          <w:rFonts w:asciiTheme="minorHAnsi" w:hAnsiTheme="minorHAnsi"/>
          <w:b/>
          <w:szCs w:val="21"/>
        </w:rPr>
        <w:t>rmation</w:t>
      </w:r>
      <w:r w:rsidR="00D24D46" w:rsidRPr="00340046">
        <w:rPr>
          <w:rFonts w:asciiTheme="minorHAnsi" w:hAnsiTheme="minorHAnsi"/>
          <w:b/>
          <w:szCs w:val="21"/>
        </w:rPr>
        <w:t xml:space="preserve"> can be signalled to the UE by higher layer signalling</w:t>
      </w:r>
      <w:r w:rsidR="00D24D46">
        <w:rPr>
          <w:rFonts w:asciiTheme="minorHAnsi" w:hAnsiTheme="minorHAnsi"/>
          <w:b/>
          <w:szCs w:val="21"/>
        </w:rPr>
        <w:t xml:space="preserve">, providing UE with required information to perform cell measurements of a cell using a pre-configured synchronization signals (e.g. </w:t>
      </w:r>
      <w:r w:rsidR="0054743F">
        <w:rPr>
          <w:rFonts w:asciiTheme="minorHAnsi" w:hAnsiTheme="minorHAnsi"/>
          <w:b/>
          <w:szCs w:val="21"/>
        </w:rPr>
        <w:t xml:space="preserve">SS frequency location, </w:t>
      </w:r>
      <w:r w:rsidR="00D24D46">
        <w:rPr>
          <w:rFonts w:asciiTheme="minorHAnsi" w:hAnsiTheme="minorHAnsi"/>
          <w:b/>
          <w:szCs w:val="21"/>
        </w:rPr>
        <w:t>SS periodicity and usage of non-default sub-carrier spacing).</w:t>
      </w:r>
    </w:p>
    <w:p w14:paraId="75E596D0" w14:textId="022A4CD7" w:rsidR="00132282" w:rsidRDefault="00132282" w:rsidP="00132282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>
        <w:rPr>
          <w:rFonts w:asciiTheme="minorHAnsi" w:hAnsiTheme="minorHAnsi" w:hint="eastAsia"/>
          <w:b/>
          <w:szCs w:val="21"/>
        </w:rPr>
        <w:t>3</w:t>
      </w:r>
      <w:r w:rsidRPr="00BE4735">
        <w:rPr>
          <w:rFonts w:asciiTheme="minorHAnsi" w:hAnsiTheme="minorHAnsi"/>
          <w:b/>
          <w:szCs w:val="21"/>
        </w:rPr>
        <w:t>:</w:t>
      </w:r>
      <w:r w:rsidR="00894F09">
        <w:rPr>
          <w:rFonts w:asciiTheme="minorHAnsi" w:hAnsiTheme="minorHAnsi"/>
          <w:b/>
          <w:szCs w:val="21"/>
        </w:rPr>
        <w:t xml:space="preserve"> </w:t>
      </w:r>
      <w:r w:rsidR="00894F09" w:rsidRPr="00652FDA">
        <w:rPr>
          <w:b/>
          <w:lang w:val="en-US"/>
        </w:rPr>
        <w:t xml:space="preserve">NR supports time domain multiplexing of NR-PSS, NR-SSS, and NR-PBCH. </w:t>
      </w:r>
    </w:p>
    <w:p w14:paraId="71E286D0" w14:textId="77777777" w:rsidR="00E028CD" w:rsidRDefault="00E028CD" w:rsidP="00E028CD">
      <w:pPr>
        <w:rPr>
          <w:rFonts w:asciiTheme="minorHAnsi" w:hAnsiTheme="minorHAnsi"/>
          <w:b/>
          <w:szCs w:val="21"/>
        </w:rPr>
      </w:pPr>
      <w:r w:rsidRPr="001D3E85">
        <w:rPr>
          <w:rFonts w:asciiTheme="minorHAnsi" w:hAnsiTheme="minorHAnsi"/>
          <w:b/>
          <w:szCs w:val="21"/>
        </w:rPr>
        <w:t xml:space="preserve">Proposal 4: </w:t>
      </w:r>
      <w:r>
        <w:rPr>
          <w:rFonts w:asciiTheme="minorHAnsi" w:hAnsiTheme="minorHAnsi"/>
          <w:b/>
          <w:szCs w:val="21"/>
        </w:rPr>
        <w:t>The PBCH SCS can be different from the SCS of the SS.</w:t>
      </w:r>
    </w:p>
    <w:p w14:paraId="63EE0F09" w14:textId="7F03C344" w:rsidR="00E15F13" w:rsidRPr="00BC2CAE" w:rsidRDefault="00E15F13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  <w:r w:rsidR="00D11826">
        <w:rPr>
          <w:rFonts w:eastAsia="MS Mincho"/>
          <w:lang w:eastAsia="ja-JP"/>
        </w:rPr>
        <w:t>s</w:t>
      </w:r>
    </w:p>
    <w:p w14:paraId="73078EFF" w14:textId="36553AB9" w:rsidR="001E2DD2" w:rsidRDefault="00643310" w:rsidP="00535FEC">
      <w:pPr>
        <w:numPr>
          <w:ilvl w:val="0"/>
          <w:numId w:val="4"/>
        </w:numPr>
        <w:rPr>
          <w:rFonts w:asciiTheme="majorHAnsi" w:hAnsiTheme="majorHAnsi" w:cstheme="majorHAnsi"/>
          <w:szCs w:val="21"/>
        </w:rPr>
      </w:pPr>
      <w:r w:rsidRPr="00BE4735">
        <w:rPr>
          <w:rFonts w:asciiTheme="majorHAnsi" w:hAnsiTheme="majorHAnsi" w:cstheme="majorHAnsi"/>
          <w:szCs w:val="21"/>
        </w:rPr>
        <w:t xml:space="preserve">Chairman’s Notes, RAN WG1 </w:t>
      </w:r>
      <w:r w:rsidR="007E3B15" w:rsidRPr="007E3B15">
        <w:rPr>
          <w:rFonts w:asciiTheme="majorHAnsi" w:hAnsiTheme="majorHAnsi" w:cstheme="majorHAnsi"/>
          <w:szCs w:val="21"/>
        </w:rPr>
        <w:t>Meeting NR Ad-Hoc</w:t>
      </w:r>
      <w:r w:rsidRPr="00BE4735">
        <w:rPr>
          <w:rFonts w:asciiTheme="majorHAnsi" w:hAnsiTheme="majorHAnsi" w:cstheme="majorHAnsi"/>
          <w:szCs w:val="21"/>
        </w:rPr>
        <w:t xml:space="preserve">, </w:t>
      </w:r>
      <w:r w:rsidR="007E3B15" w:rsidRPr="007E3B15">
        <w:rPr>
          <w:rFonts w:asciiTheme="majorHAnsi" w:hAnsiTheme="majorHAnsi" w:cstheme="majorHAnsi"/>
          <w:szCs w:val="21"/>
        </w:rPr>
        <w:t>16th – 20th January 2017</w:t>
      </w:r>
      <w:r w:rsidRPr="00BE4735">
        <w:rPr>
          <w:rFonts w:asciiTheme="majorHAnsi" w:hAnsiTheme="majorHAnsi" w:cstheme="majorHAnsi"/>
          <w:szCs w:val="21"/>
        </w:rPr>
        <w:t>.</w:t>
      </w:r>
    </w:p>
    <w:p w14:paraId="0C46E3A8" w14:textId="77777777" w:rsidR="00FC3B3A" w:rsidRPr="00C64814" w:rsidRDefault="00FC3B3A" w:rsidP="00FC3B3A">
      <w:pPr>
        <w:numPr>
          <w:ilvl w:val="0"/>
          <w:numId w:val="4"/>
        </w:numPr>
        <w:rPr>
          <w:rFonts w:asciiTheme="majorHAnsi" w:hAnsiTheme="majorHAnsi" w:cstheme="majorHAnsi"/>
          <w:szCs w:val="21"/>
        </w:rPr>
      </w:pPr>
      <w:bookmarkStart w:id="6" w:name="_Ref474139192"/>
      <w:r w:rsidRPr="009E2558">
        <w:rPr>
          <w:rFonts w:asciiTheme="majorHAnsi" w:hAnsiTheme="majorHAnsi" w:cstheme="majorHAnsi"/>
          <w:szCs w:val="21"/>
        </w:rPr>
        <w:t>R1-1703148</w:t>
      </w:r>
      <w:r>
        <w:rPr>
          <w:rFonts w:asciiTheme="majorHAnsi" w:hAnsiTheme="majorHAnsi" w:cstheme="majorHAnsi" w:hint="eastAsia"/>
          <w:szCs w:val="21"/>
        </w:rPr>
        <w:t xml:space="preserve">, </w:t>
      </w:r>
      <w:r>
        <w:rPr>
          <w:rFonts w:asciiTheme="majorHAnsi" w:hAnsiTheme="majorHAnsi" w:cstheme="majorHAnsi"/>
          <w:szCs w:val="21"/>
        </w:rPr>
        <w:t>“</w:t>
      </w:r>
      <w:r w:rsidRPr="009E2558">
        <w:rPr>
          <w:rFonts w:asciiTheme="majorHAnsi" w:hAnsiTheme="majorHAnsi" w:cstheme="majorHAnsi"/>
          <w:szCs w:val="21"/>
        </w:rPr>
        <w:t>NR synchronization signal periodicity</w:t>
      </w:r>
      <w:r>
        <w:rPr>
          <w:rFonts w:asciiTheme="majorHAnsi" w:hAnsiTheme="majorHAnsi" w:cstheme="majorHAnsi" w:hint="eastAsia"/>
          <w:szCs w:val="21"/>
        </w:rPr>
        <w:t>,</w:t>
      </w:r>
      <w:r>
        <w:rPr>
          <w:rFonts w:asciiTheme="majorHAnsi" w:hAnsiTheme="majorHAnsi" w:cstheme="majorHAnsi"/>
          <w:szCs w:val="21"/>
        </w:rPr>
        <w:t>”</w:t>
      </w:r>
      <w:r>
        <w:rPr>
          <w:rFonts w:asciiTheme="majorHAnsi" w:hAnsiTheme="majorHAnsi" w:cstheme="majorHAnsi" w:hint="eastAsia"/>
          <w:szCs w:val="21"/>
        </w:rPr>
        <w:t xml:space="preserve"> Sony, RAN WG1#88 Meeting, 13th </w:t>
      </w:r>
      <w:r>
        <w:rPr>
          <w:rFonts w:asciiTheme="majorHAnsi" w:hAnsiTheme="majorHAnsi" w:cstheme="majorHAnsi"/>
          <w:szCs w:val="21"/>
        </w:rPr>
        <w:t>–</w:t>
      </w:r>
      <w:r>
        <w:rPr>
          <w:rFonts w:asciiTheme="majorHAnsi" w:hAnsiTheme="majorHAnsi" w:cstheme="majorHAnsi" w:hint="eastAsia"/>
          <w:szCs w:val="21"/>
        </w:rPr>
        <w:t xml:space="preserve"> 17th </w:t>
      </w:r>
      <w:r>
        <w:rPr>
          <w:rFonts w:asciiTheme="majorHAnsi" w:hAnsiTheme="majorHAnsi" w:cstheme="majorHAnsi"/>
          <w:szCs w:val="21"/>
        </w:rPr>
        <w:t>February</w:t>
      </w:r>
      <w:r>
        <w:rPr>
          <w:rFonts w:asciiTheme="majorHAnsi" w:hAnsiTheme="majorHAnsi" w:cstheme="majorHAnsi" w:hint="eastAsia"/>
          <w:szCs w:val="21"/>
        </w:rPr>
        <w:t xml:space="preserve"> 2017.</w:t>
      </w:r>
      <w:bookmarkEnd w:id="6"/>
    </w:p>
    <w:p w14:paraId="55612EA2" w14:textId="77777777" w:rsidR="00FC3B3A" w:rsidRDefault="00FC3B3A" w:rsidP="001D3E85">
      <w:pPr>
        <w:ind w:left="420"/>
        <w:rPr>
          <w:rFonts w:asciiTheme="majorHAnsi" w:hAnsiTheme="majorHAnsi" w:cstheme="majorHAnsi"/>
          <w:szCs w:val="21"/>
        </w:rPr>
      </w:pPr>
    </w:p>
    <w:sectPr w:rsidR="00FC3B3A" w:rsidSect="001E2D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308FA" w14:textId="77777777" w:rsidR="00621B89" w:rsidRDefault="00621B89" w:rsidP="00441F0E">
      <w:pPr>
        <w:spacing w:after="120" w:line="240" w:lineRule="auto"/>
      </w:pPr>
      <w:r>
        <w:separator/>
      </w:r>
    </w:p>
  </w:endnote>
  <w:endnote w:type="continuationSeparator" w:id="0">
    <w:p w14:paraId="1B0E7AF1" w14:textId="77777777" w:rsidR="00621B89" w:rsidRDefault="00621B89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AD693" w14:textId="77777777" w:rsidR="006E3295" w:rsidRDefault="006E3295" w:rsidP="00441F0E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D0DC1" w14:textId="77777777" w:rsidR="006E3295" w:rsidRDefault="006E3295" w:rsidP="00441F0E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4D315" w14:textId="77777777" w:rsidR="006E3295" w:rsidRDefault="006E3295" w:rsidP="00441F0E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FD24C" w14:textId="77777777" w:rsidR="00621B89" w:rsidRDefault="00621B89" w:rsidP="00441F0E">
      <w:pPr>
        <w:spacing w:after="120" w:line="240" w:lineRule="auto"/>
      </w:pPr>
      <w:r>
        <w:separator/>
      </w:r>
    </w:p>
  </w:footnote>
  <w:footnote w:type="continuationSeparator" w:id="0">
    <w:p w14:paraId="4286A130" w14:textId="77777777" w:rsidR="00621B89" w:rsidRDefault="00621B89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4BDF8" w14:textId="77777777" w:rsidR="006E3295" w:rsidRDefault="006E3295" w:rsidP="00441F0E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C0476" w14:textId="77777777" w:rsidR="006E3295" w:rsidRDefault="006E3295" w:rsidP="00441F0E">
    <w:pPr>
      <w:pStyle w:val="Header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FFED1" w14:textId="77777777" w:rsidR="006E3295" w:rsidRDefault="006E3295" w:rsidP="00441F0E">
    <w:pPr>
      <w:pStyle w:val="Header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C1581"/>
    <w:multiLevelType w:val="hybridMultilevel"/>
    <w:tmpl w:val="2988A9BE"/>
    <w:lvl w:ilvl="0" w:tplc="0164C9E6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74A5"/>
    <w:multiLevelType w:val="hybridMultilevel"/>
    <w:tmpl w:val="72EE78C6"/>
    <w:lvl w:ilvl="0" w:tplc="A1FCE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074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88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D2C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A89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BCC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E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E0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6A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B739BD"/>
    <w:multiLevelType w:val="hybridMultilevel"/>
    <w:tmpl w:val="927AB98A"/>
    <w:lvl w:ilvl="0" w:tplc="5402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62AE">
      <w:start w:val="1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D28404">
      <w:start w:val="16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04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47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08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C1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6D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5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8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5ED0938"/>
    <w:multiLevelType w:val="multilevel"/>
    <w:tmpl w:val="62D03A5C"/>
    <w:numStyleLink w:val="1"/>
  </w:abstractNum>
  <w:num w:numId="1">
    <w:abstractNumId w:val="9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CA"/>
    <w:rsid w:val="000024C8"/>
    <w:rsid w:val="000047E5"/>
    <w:rsid w:val="00006C98"/>
    <w:rsid w:val="00006CD9"/>
    <w:rsid w:val="00007FFB"/>
    <w:rsid w:val="000111E2"/>
    <w:rsid w:val="0001216F"/>
    <w:rsid w:val="00017388"/>
    <w:rsid w:val="00017FE2"/>
    <w:rsid w:val="00021C7E"/>
    <w:rsid w:val="00021F3D"/>
    <w:rsid w:val="00024EB2"/>
    <w:rsid w:val="0002667D"/>
    <w:rsid w:val="00031B13"/>
    <w:rsid w:val="00032421"/>
    <w:rsid w:val="00032B47"/>
    <w:rsid w:val="000340ED"/>
    <w:rsid w:val="00035561"/>
    <w:rsid w:val="00040037"/>
    <w:rsid w:val="000402E7"/>
    <w:rsid w:val="000405A4"/>
    <w:rsid w:val="000438AB"/>
    <w:rsid w:val="0004612E"/>
    <w:rsid w:val="000473DC"/>
    <w:rsid w:val="00047AEE"/>
    <w:rsid w:val="000512D7"/>
    <w:rsid w:val="00052BF7"/>
    <w:rsid w:val="0005468B"/>
    <w:rsid w:val="000547DA"/>
    <w:rsid w:val="00055D5C"/>
    <w:rsid w:val="00063D1E"/>
    <w:rsid w:val="0006615C"/>
    <w:rsid w:val="00070600"/>
    <w:rsid w:val="0007110B"/>
    <w:rsid w:val="0007201F"/>
    <w:rsid w:val="0007715A"/>
    <w:rsid w:val="00077865"/>
    <w:rsid w:val="00085F27"/>
    <w:rsid w:val="00086FCD"/>
    <w:rsid w:val="00093200"/>
    <w:rsid w:val="00094DDF"/>
    <w:rsid w:val="00096C49"/>
    <w:rsid w:val="000A1172"/>
    <w:rsid w:val="000A3D32"/>
    <w:rsid w:val="000A45DD"/>
    <w:rsid w:val="000A4EB0"/>
    <w:rsid w:val="000B00FA"/>
    <w:rsid w:val="000B2528"/>
    <w:rsid w:val="000C4B7F"/>
    <w:rsid w:val="000D3A68"/>
    <w:rsid w:val="000D467E"/>
    <w:rsid w:val="000D4A0E"/>
    <w:rsid w:val="000D70A1"/>
    <w:rsid w:val="000D741A"/>
    <w:rsid w:val="000E17FA"/>
    <w:rsid w:val="000F0610"/>
    <w:rsid w:val="000F30EC"/>
    <w:rsid w:val="000F4425"/>
    <w:rsid w:val="000F5754"/>
    <w:rsid w:val="000F79F5"/>
    <w:rsid w:val="000F7E10"/>
    <w:rsid w:val="000F7EE3"/>
    <w:rsid w:val="001004B4"/>
    <w:rsid w:val="0010071E"/>
    <w:rsid w:val="0010372B"/>
    <w:rsid w:val="00104F56"/>
    <w:rsid w:val="0011113C"/>
    <w:rsid w:val="0011160C"/>
    <w:rsid w:val="0011229D"/>
    <w:rsid w:val="00114F6F"/>
    <w:rsid w:val="00117799"/>
    <w:rsid w:val="00120C7C"/>
    <w:rsid w:val="00122C2D"/>
    <w:rsid w:val="00126A73"/>
    <w:rsid w:val="001309B8"/>
    <w:rsid w:val="00132282"/>
    <w:rsid w:val="001359DF"/>
    <w:rsid w:val="00136D88"/>
    <w:rsid w:val="00141E9A"/>
    <w:rsid w:val="00142456"/>
    <w:rsid w:val="001433DC"/>
    <w:rsid w:val="001444FE"/>
    <w:rsid w:val="00144A26"/>
    <w:rsid w:val="00144D0F"/>
    <w:rsid w:val="00147504"/>
    <w:rsid w:val="00147B4C"/>
    <w:rsid w:val="00150B1E"/>
    <w:rsid w:val="0015221D"/>
    <w:rsid w:val="00153E89"/>
    <w:rsid w:val="00154F8B"/>
    <w:rsid w:val="00155AC8"/>
    <w:rsid w:val="00157E9A"/>
    <w:rsid w:val="0016225E"/>
    <w:rsid w:val="00165563"/>
    <w:rsid w:val="001667AE"/>
    <w:rsid w:val="00167B86"/>
    <w:rsid w:val="00172657"/>
    <w:rsid w:val="00173CD1"/>
    <w:rsid w:val="001747D7"/>
    <w:rsid w:val="00175929"/>
    <w:rsid w:val="00175E16"/>
    <w:rsid w:val="00176C2A"/>
    <w:rsid w:val="001776E1"/>
    <w:rsid w:val="001811A2"/>
    <w:rsid w:val="00181382"/>
    <w:rsid w:val="00184C76"/>
    <w:rsid w:val="00185EB8"/>
    <w:rsid w:val="00192AB2"/>
    <w:rsid w:val="001936E1"/>
    <w:rsid w:val="001969CB"/>
    <w:rsid w:val="001970F9"/>
    <w:rsid w:val="00197171"/>
    <w:rsid w:val="001A0569"/>
    <w:rsid w:val="001A3675"/>
    <w:rsid w:val="001A4B5B"/>
    <w:rsid w:val="001A6177"/>
    <w:rsid w:val="001B06A6"/>
    <w:rsid w:val="001B1626"/>
    <w:rsid w:val="001B2932"/>
    <w:rsid w:val="001B390A"/>
    <w:rsid w:val="001B7D5C"/>
    <w:rsid w:val="001C0E8E"/>
    <w:rsid w:val="001C5B70"/>
    <w:rsid w:val="001C6418"/>
    <w:rsid w:val="001C79EB"/>
    <w:rsid w:val="001D1DAE"/>
    <w:rsid w:val="001D27D0"/>
    <w:rsid w:val="001D2EBA"/>
    <w:rsid w:val="001D349A"/>
    <w:rsid w:val="001D3E85"/>
    <w:rsid w:val="001D54E0"/>
    <w:rsid w:val="001D59DA"/>
    <w:rsid w:val="001E04B2"/>
    <w:rsid w:val="001E0C09"/>
    <w:rsid w:val="001E12B8"/>
    <w:rsid w:val="001E1792"/>
    <w:rsid w:val="001E2DD2"/>
    <w:rsid w:val="001E6B25"/>
    <w:rsid w:val="001F0CEE"/>
    <w:rsid w:val="001F59A6"/>
    <w:rsid w:val="001F7499"/>
    <w:rsid w:val="00202731"/>
    <w:rsid w:val="00206015"/>
    <w:rsid w:val="00206E30"/>
    <w:rsid w:val="00207201"/>
    <w:rsid w:val="00212911"/>
    <w:rsid w:val="00214AF1"/>
    <w:rsid w:val="00214C23"/>
    <w:rsid w:val="002225CD"/>
    <w:rsid w:val="00225C42"/>
    <w:rsid w:val="00227D1E"/>
    <w:rsid w:val="00231959"/>
    <w:rsid w:val="00232E8B"/>
    <w:rsid w:val="00234225"/>
    <w:rsid w:val="00240A5A"/>
    <w:rsid w:val="00245DF4"/>
    <w:rsid w:val="00247EFC"/>
    <w:rsid w:val="0025373E"/>
    <w:rsid w:val="00255E32"/>
    <w:rsid w:val="002565D0"/>
    <w:rsid w:val="002649DF"/>
    <w:rsid w:val="00266638"/>
    <w:rsid w:val="00266639"/>
    <w:rsid w:val="00266856"/>
    <w:rsid w:val="00270AC4"/>
    <w:rsid w:val="002714C8"/>
    <w:rsid w:val="00271EE5"/>
    <w:rsid w:val="00272B04"/>
    <w:rsid w:val="00276427"/>
    <w:rsid w:val="00276632"/>
    <w:rsid w:val="00276FA8"/>
    <w:rsid w:val="00281BAE"/>
    <w:rsid w:val="002843CE"/>
    <w:rsid w:val="002925D7"/>
    <w:rsid w:val="00294563"/>
    <w:rsid w:val="00296871"/>
    <w:rsid w:val="00297CF3"/>
    <w:rsid w:val="002A249E"/>
    <w:rsid w:val="002A291F"/>
    <w:rsid w:val="002A3BB3"/>
    <w:rsid w:val="002A7491"/>
    <w:rsid w:val="002B66E6"/>
    <w:rsid w:val="002C23C8"/>
    <w:rsid w:val="002C4160"/>
    <w:rsid w:val="002C61B2"/>
    <w:rsid w:val="002C6FB9"/>
    <w:rsid w:val="002D778A"/>
    <w:rsid w:val="002D7B19"/>
    <w:rsid w:val="002E2CE3"/>
    <w:rsid w:val="002E6DA8"/>
    <w:rsid w:val="002F2389"/>
    <w:rsid w:val="002F5378"/>
    <w:rsid w:val="003016FE"/>
    <w:rsid w:val="003054B8"/>
    <w:rsid w:val="0030568D"/>
    <w:rsid w:val="00305D03"/>
    <w:rsid w:val="0030612A"/>
    <w:rsid w:val="00307709"/>
    <w:rsid w:val="00310AFA"/>
    <w:rsid w:val="00312AA1"/>
    <w:rsid w:val="00312BFD"/>
    <w:rsid w:val="003131DF"/>
    <w:rsid w:val="003138DC"/>
    <w:rsid w:val="003154B4"/>
    <w:rsid w:val="0031619B"/>
    <w:rsid w:val="0031650B"/>
    <w:rsid w:val="0031692C"/>
    <w:rsid w:val="00316D8E"/>
    <w:rsid w:val="00320921"/>
    <w:rsid w:val="00322335"/>
    <w:rsid w:val="0032270C"/>
    <w:rsid w:val="00325FFD"/>
    <w:rsid w:val="00330550"/>
    <w:rsid w:val="00331052"/>
    <w:rsid w:val="0033333E"/>
    <w:rsid w:val="00334A1A"/>
    <w:rsid w:val="00334AB8"/>
    <w:rsid w:val="00336277"/>
    <w:rsid w:val="00340046"/>
    <w:rsid w:val="00341080"/>
    <w:rsid w:val="003462D4"/>
    <w:rsid w:val="0034679F"/>
    <w:rsid w:val="00351C72"/>
    <w:rsid w:val="00353995"/>
    <w:rsid w:val="00361B87"/>
    <w:rsid w:val="00362766"/>
    <w:rsid w:val="0037465E"/>
    <w:rsid w:val="00375083"/>
    <w:rsid w:val="003769FF"/>
    <w:rsid w:val="00376D4C"/>
    <w:rsid w:val="003772EC"/>
    <w:rsid w:val="003802BD"/>
    <w:rsid w:val="00381464"/>
    <w:rsid w:val="00387832"/>
    <w:rsid w:val="00390932"/>
    <w:rsid w:val="00392457"/>
    <w:rsid w:val="003934FC"/>
    <w:rsid w:val="0039460F"/>
    <w:rsid w:val="003A23BA"/>
    <w:rsid w:val="003A44A2"/>
    <w:rsid w:val="003A4505"/>
    <w:rsid w:val="003A4777"/>
    <w:rsid w:val="003B42F6"/>
    <w:rsid w:val="003B6886"/>
    <w:rsid w:val="003C0BF8"/>
    <w:rsid w:val="003C45D3"/>
    <w:rsid w:val="003C498E"/>
    <w:rsid w:val="003C5520"/>
    <w:rsid w:val="003C6484"/>
    <w:rsid w:val="003D23D4"/>
    <w:rsid w:val="003D6D06"/>
    <w:rsid w:val="003E369E"/>
    <w:rsid w:val="003E64F3"/>
    <w:rsid w:val="003F50A1"/>
    <w:rsid w:val="003F6351"/>
    <w:rsid w:val="004012DC"/>
    <w:rsid w:val="004063F0"/>
    <w:rsid w:val="004074E9"/>
    <w:rsid w:val="00413633"/>
    <w:rsid w:val="004139D8"/>
    <w:rsid w:val="00413F96"/>
    <w:rsid w:val="004219EF"/>
    <w:rsid w:val="004241EC"/>
    <w:rsid w:val="0042595A"/>
    <w:rsid w:val="004353B5"/>
    <w:rsid w:val="00435F15"/>
    <w:rsid w:val="0043619D"/>
    <w:rsid w:val="00437814"/>
    <w:rsid w:val="004402A5"/>
    <w:rsid w:val="00441F0E"/>
    <w:rsid w:val="00442437"/>
    <w:rsid w:val="00442B6B"/>
    <w:rsid w:val="004453C2"/>
    <w:rsid w:val="0044608A"/>
    <w:rsid w:val="004467D3"/>
    <w:rsid w:val="004479AB"/>
    <w:rsid w:val="004503CC"/>
    <w:rsid w:val="0045135A"/>
    <w:rsid w:val="00457451"/>
    <w:rsid w:val="00457517"/>
    <w:rsid w:val="00460026"/>
    <w:rsid w:val="004600E4"/>
    <w:rsid w:val="00460179"/>
    <w:rsid w:val="004617CA"/>
    <w:rsid w:val="004631D5"/>
    <w:rsid w:val="00464EF5"/>
    <w:rsid w:val="00467420"/>
    <w:rsid w:val="00470AF6"/>
    <w:rsid w:val="00472633"/>
    <w:rsid w:val="00473496"/>
    <w:rsid w:val="00476E38"/>
    <w:rsid w:val="00477DB4"/>
    <w:rsid w:val="00480744"/>
    <w:rsid w:val="00484063"/>
    <w:rsid w:val="004844F0"/>
    <w:rsid w:val="004854FB"/>
    <w:rsid w:val="00490A5B"/>
    <w:rsid w:val="00491729"/>
    <w:rsid w:val="0049245F"/>
    <w:rsid w:val="004948B0"/>
    <w:rsid w:val="00496002"/>
    <w:rsid w:val="00496CBC"/>
    <w:rsid w:val="004A2D26"/>
    <w:rsid w:val="004B2957"/>
    <w:rsid w:val="004B7566"/>
    <w:rsid w:val="004B7FDE"/>
    <w:rsid w:val="004C0A60"/>
    <w:rsid w:val="004C532D"/>
    <w:rsid w:val="004C5D8F"/>
    <w:rsid w:val="004D009C"/>
    <w:rsid w:val="004D0AA9"/>
    <w:rsid w:val="004D1A14"/>
    <w:rsid w:val="004D26C7"/>
    <w:rsid w:val="004D314B"/>
    <w:rsid w:val="004D35DA"/>
    <w:rsid w:val="004D76F7"/>
    <w:rsid w:val="004D79F5"/>
    <w:rsid w:val="004E37C1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18A0"/>
    <w:rsid w:val="00525DB9"/>
    <w:rsid w:val="005320E4"/>
    <w:rsid w:val="00532629"/>
    <w:rsid w:val="00535EE9"/>
    <w:rsid w:val="00535FEC"/>
    <w:rsid w:val="00537ABB"/>
    <w:rsid w:val="005412C6"/>
    <w:rsid w:val="0054455C"/>
    <w:rsid w:val="00545B3E"/>
    <w:rsid w:val="0054743F"/>
    <w:rsid w:val="00547D4B"/>
    <w:rsid w:val="00551B18"/>
    <w:rsid w:val="00551C82"/>
    <w:rsid w:val="00552B19"/>
    <w:rsid w:val="00563AE6"/>
    <w:rsid w:val="00565605"/>
    <w:rsid w:val="005657AF"/>
    <w:rsid w:val="00565D7D"/>
    <w:rsid w:val="005662EF"/>
    <w:rsid w:val="00570BEC"/>
    <w:rsid w:val="00576C2D"/>
    <w:rsid w:val="00576DE1"/>
    <w:rsid w:val="00581D58"/>
    <w:rsid w:val="0058406E"/>
    <w:rsid w:val="0058725A"/>
    <w:rsid w:val="00591BF4"/>
    <w:rsid w:val="00596F5A"/>
    <w:rsid w:val="005976C2"/>
    <w:rsid w:val="005A1267"/>
    <w:rsid w:val="005A63F9"/>
    <w:rsid w:val="005A7A87"/>
    <w:rsid w:val="005B059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D0A8E"/>
    <w:rsid w:val="005D1461"/>
    <w:rsid w:val="005D3425"/>
    <w:rsid w:val="005D66E3"/>
    <w:rsid w:val="005D6C4A"/>
    <w:rsid w:val="005E556D"/>
    <w:rsid w:val="005F0DC1"/>
    <w:rsid w:val="005F0F58"/>
    <w:rsid w:val="005F20A0"/>
    <w:rsid w:val="005F2279"/>
    <w:rsid w:val="005F75A4"/>
    <w:rsid w:val="00600D0A"/>
    <w:rsid w:val="0060242B"/>
    <w:rsid w:val="0060334F"/>
    <w:rsid w:val="006048F5"/>
    <w:rsid w:val="006052F0"/>
    <w:rsid w:val="00605643"/>
    <w:rsid w:val="0061060B"/>
    <w:rsid w:val="006152BC"/>
    <w:rsid w:val="00620F3F"/>
    <w:rsid w:val="00621B89"/>
    <w:rsid w:val="00622921"/>
    <w:rsid w:val="00625145"/>
    <w:rsid w:val="006267A9"/>
    <w:rsid w:val="00630CAD"/>
    <w:rsid w:val="0063176C"/>
    <w:rsid w:val="006332E8"/>
    <w:rsid w:val="0063487E"/>
    <w:rsid w:val="00636559"/>
    <w:rsid w:val="00636881"/>
    <w:rsid w:val="00643310"/>
    <w:rsid w:val="00643BB9"/>
    <w:rsid w:val="0064506F"/>
    <w:rsid w:val="006506A1"/>
    <w:rsid w:val="00651F0B"/>
    <w:rsid w:val="00653595"/>
    <w:rsid w:val="006536B9"/>
    <w:rsid w:val="00654A08"/>
    <w:rsid w:val="00654ACA"/>
    <w:rsid w:val="00655E68"/>
    <w:rsid w:val="006563DA"/>
    <w:rsid w:val="0066062A"/>
    <w:rsid w:val="0066229B"/>
    <w:rsid w:val="00662985"/>
    <w:rsid w:val="00663D11"/>
    <w:rsid w:val="00664499"/>
    <w:rsid w:val="006679D8"/>
    <w:rsid w:val="006706C1"/>
    <w:rsid w:val="00671750"/>
    <w:rsid w:val="00675935"/>
    <w:rsid w:val="00676521"/>
    <w:rsid w:val="00677493"/>
    <w:rsid w:val="00677EA1"/>
    <w:rsid w:val="00680656"/>
    <w:rsid w:val="00681538"/>
    <w:rsid w:val="006818BC"/>
    <w:rsid w:val="00682EB1"/>
    <w:rsid w:val="006832CE"/>
    <w:rsid w:val="00683C98"/>
    <w:rsid w:val="006857E7"/>
    <w:rsid w:val="006858AE"/>
    <w:rsid w:val="006860B6"/>
    <w:rsid w:val="00686207"/>
    <w:rsid w:val="006953D7"/>
    <w:rsid w:val="006A4A5D"/>
    <w:rsid w:val="006A6626"/>
    <w:rsid w:val="006A72C2"/>
    <w:rsid w:val="006B1427"/>
    <w:rsid w:val="006B15BB"/>
    <w:rsid w:val="006B1BAE"/>
    <w:rsid w:val="006B44F7"/>
    <w:rsid w:val="006B46E7"/>
    <w:rsid w:val="006B59AF"/>
    <w:rsid w:val="006B6D7C"/>
    <w:rsid w:val="006C448F"/>
    <w:rsid w:val="006E3264"/>
    <w:rsid w:val="006E3295"/>
    <w:rsid w:val="006E5281"/>
    <w:rsid w:val="006E6F6A"/>
    <w:rsid w:val="006F1495"/>
    <w:rsid w:val="006F149A"/>
    <w:rsid w:val="006F4CF9"/>
    <w:rsid w:val="006F5205"/>
    <w:rsid w:val="006F6476"/>
    <w:rsid w:val="006F72D5"/>
    <w:rsid w:val="00703E08"/>
    <w:rsid w:val="00704A64"/>
    <w:rsid w:val="00707BC2"/>
    <w:rsid w:val="00715305"/>
    <w:rsid w:val="00722193"/>
    <w:rsid w:val="00725B19"/>
    <w:rsid w:val="00726ED8"/>
    <w:rsid w:val="00731385"/>
    <w:rsid w:val="00731598"/>
    <w:rsid w:val="00732572"/>
    <w:rsid w:val="0073564D"/>
    <w:rsid w:val="00745CC5"/>
    <w:rsid w:val="00745DF4"/>
    <w:rsid w:val="007525A9"/>
    <w:rsid w:val="00753AAF"/>
    <w:rsid w:val="00753C48"/>
    <w:rsid w:val="00756FC4"/>
    <w:rsid w:val="007579FE"/>
    <w:rsid w:val="007615CD"/>
    <w:rsid w:val="00767DF8"/>
    <w:rsid w:val="00774278"/>
    <w:rsid w:val="00775F80"/>
    <w:rsid w:val="00781488"/>
    <w:rsid w:val="00781C02"/>
    <w:rsid w:val="00781E19"/>
    <w:rsid w:val="00785AF6"/>
    <w:rsid w:val="007907EA"/>
    <w:rsid w:val="00790DF2"/>
    <w:rsid w:val="0079354B"/>
    <w:rsid w:val="007944BA"/>
    <w:rsid w:val="00794C64"/>
    <w:rsid w:val="00795D5A"/>
    <w:rsid w:val="00796290"/>
    <w:rsid w:val="00797C0D"/>
    <w:rsid w:val="007A1FD5"/>
    <w:rsid w:val="007A4594"/>
    <w:rsid w:val="007A48B6"/>
    <w:rsid w:val="007B228E"/>
    <w:rsid w:val="007B4E4B"/>
    <w:rsid w:val="007C1D66"/>
    <w:rsid w:val="007C409A"/>
    <w:rsid w:val="007C5AA4"/>
    <w:rsid w:val="007C7D65"/>
    <w:rsid w:val="007D16EA"/>
    <w:rsid w:val="007D1AA2"/>
    <w:rsid w:val="007D1C05"/>
    <w:rsid w:val="007D550F"/>
    <w:rsid w:val="007D56EC"/>
    <w:rsid w:val="007D5AC8"/>
    <w:rsid w:val="007D6332"/>
    <w:rsid w:val="007D7B90"/>
    <w:rsid w:val="007E3B15"/>
    <w:rsid w:val="007E784B"/>
    <w:rsid w:val="007F1957"/>
    <w:rsid w:val="007F202A"/>
    <w:rsid w:val="007F628A"/>
    <w:rsid w:val="0080528D"/>
    <w:rsid w:val="00813495"/>
    <w:rsid w:val="00813BE0"/>
    <w:rsid w:val="00820E99"/>
    <w:rsid w:val="00823FE0"/>
    <w:rsid w:val="00824160"/>
    <w:rsid w:val="00827E65"/>
    <w:rsid w:val="00833097"/>
    <w:rsid w:val="0084017A"/>
    <w:rsid w:val="008410FF"/>
    <w:rsid w:val="00843418"/>
    <w:rsid w:val="008450AB"/>
    <w:rsid w:val="008463CC"/>
    <w:rsid w:val="00846661"/>
    <w:rsid w:val="00846A22"/>
    <w:rsid w:val="00852913"/>
    <w:rsid w:val="00852B99"/>
    <w:rsid w:val="00854529"/>
    <w:rsid w:val="008562EB"/>
    <w:rsid w:val="00857088"/>
    <w:rsid w:val="00857731"/>
    <w:rsid w:val="0086111C"/>
    <w:rsid w:val="00861C02"/>
    <w:rsid w:val="00862C8F"/>
    <w:rsid w:val="00864E04"/>
    <w:rsid w:val="00867672"/>
    <w:rsid w:val="00870290"/>
    <w:rsid w:val="00870416"/>
    <w:rsid w:val="00870462"/>
    <w:rsid w:val="00874E4E"/>
    <w:rsid w:val="008775E3"/>
    <w:rsid w:val="00882821"/>
    <w:rsid w:val="00885291"/>
    <w:rsid w:val="008852F7"/>
    <w:rsid w:val="0088720E"/>
    <w:rsid w:val="00887737"/>
    <w:rsid w:val="008878C6"/>
    <w:rsid w:val="00887F76"/>
    <w:rsid w:val="00892C9B"/>
    <w:rsid w:val="008937EB"/>
    <w:rsid w:val="00894F09"/>
    <w:rsid w:val="0089614F"/>
    <w:rsid w:val="008A033B"/>
    <w:rsid w:val="008A1270"/>
    <w:rsid w:val="008A4D40"/>
    <w:rsid w:val="008A53B7"/>
    <w:rsid w:val="008A72CA"/>
    <w:rsid w:val="008B3340"/>
    <w:rsid w:val="008B5F6E"/>
    <w:rsid w:val="008C0876"/>
    <w:rsid w:val="008C1185"/>
    <w:rsid w:val="008C39ED"/>
    <w:rsid w:val="008C6068"/>
    <w:rsid w:val="008D1B95"/>
    <w:rsid w:val="008D4877"/>
    <w:rsid w:val="008D64B0"/>
    <w:rsid w:val="008D7608"/>
    <w:rsid w:val="008E1EF7"/>
    <w:rsid w:val="008E49D4"/>
    <w:rsid w:val="008E75E7"/>
    <w:rsid w:val="008F00D8"/>
    <w:rsid w:val="008F53B4"/>
    <w:rsid w:val="008F633E"/>
    <w:rsid w:val="008F63BD"/>
    <w:rsid w:val="008F7955"/>
    <w:rsid w:val="008F7FA1"/>
    <w:rsid w:val="009006E8"/>
    <w:rsid w:val="009035EA"/>
    <w:rsid w:val="00906349"/>
    <w:rsid w:val="00911944"/>
    <w:rsid w:val="009136A7"/>
    <w:rsid w:val="0091418D"/>
    <w:rsid w:val="009226BD"/>
    <w:rsid w:val="009233EF"/>
    <w:rsid w:val="00933314"/>
    <w:rsid w:val="00935777"/>
    <w:rsid w:val="00936902"/>
    <w:rsid w:val="009377FF"/>
    <w:rsid w:val="009416A0"/>
    <w:rsid w:val="00941C87"/>
    <w:rsid w:val="00942C14"/>
    <w:rsid w:val="0094464B"/>
    <w:rsid w:val="00944974"/>
    <w:rsid w:val="00944EDF"/>
    <w:rsid w:val="009509DE"/>
    <w:rsid w:val="00950F80"/>
    <w:rsid w:val="009532BE"/>
    <w:rsid w:val="0095335F"/>
    <w:rsid w:val="009551D0"/>
    <w:rsid w:val="009609F0"/>
    <w:rsid w:val="0096547B"/>
    <w:rsid w:val="00967F7C"/>
    <w:rsid w:val="00970222"/>
    <w:rsid w:val="00973FBA"/>
    <w:rsid w:val="00974570"/>
    <w:rsid w:val="00992137"/>
    <w:rsid w:val="00992687"/>
    <w:rsid w:val="00992C40"/>
    <w:rsid w:val="00994EB9"/>
    <w:rsid w:val="009A29CD"/>
    <w:rsid w:val="009A67E9"/>
    <w:rsid w:val="009B0846"/>
    <w:rsid w:val="009B1149"/>
    <w:rsid w:val="009B343F"/>
    <w:rsid w:val="009B3924"/>
    <w:rsid w:val="009C022A"/>
    <w:rsid w:val="009D00C7"/>
    <w:rsid w:val="009D41EC"/>
    <w:rsid w:val="009D5102"/>
    <w:rsid w:val="009D587C"/>
    <w:rsid w:val="009D6230"/>
    <w:rsid w:val="009D69B4"/>
    <w:rsid w:val="009D7FB5"/>
    <w:rsid w:val="009E1E81"/>
    <w:rsid w:val="009E37C5"/>
    <w:rsid w:val="009E53DF"/>
    <w:rsid w:val="009E73C1"/>
    <w:rsid w:val="009E763B"/>
    <w:rsid w:val="009F2E73"/>
    <w:rsid w:val="009F38F2"/>
    <w:rsid w:val="009F47C3"/>
    <w:rsid w:val="009F5564"/>
    <w:rsid w:val="009F55E7"/>
    <w:rsid w:val="009F65F6"/>
    <w:rsid w:val="009F6FEE"/>
    <w:rsid w:val="00A0004C"/>
    <w:rsid w:val="00A059B2"/>
    <w:rsid w:val="00A05F88"/>
    <w:rsid w:val="00A0678D"/>
    <w:rsid w:val="00A10DEF"/>
    <w:rsid w:val="00A10F0A"/>
    <w:rsid w:val="00A11172"/>
    <w:rsid w:val="00A121BC"/>
    <w:rsid w:val="00A147AA"/>
    <w:rsid w:val="00A148FA"/>
    <w:rsid w:val="00A14943"/>
    <w:rsid w:val="00A2507E"/>
    <w:rsid w:val="00A34A7B"/>
    <w:rsid w:val="00A35EB3"/>
    <w:rsid w:val="00A36093"/>
    <w:rsid w:val="00A36AF0"/>
    <w:rsid w:val="00A37A38"/>
    <w:rsid w:val="00A50015"/>
    <w:rsid w:val="00A50B41"/>
    <w:rsid w:val="00A54F02"/>
    <w:rsid w:val="00A57836"/>
    <w:rsid w:val="00A6194C"/>
    <w:rsid w:val="00A666A4"/>
    <w:rsid w:val="00A70559"/>
    <w:rsid w:val="00A71D8E"/>
    <w:rsid w:val="00A72F1C"/>
    <w:rsid w:val="00A749A6"/>
    <w:rsid w:val="00A750B5"/>
    <w:rsid w:val="00A76F7C"/>
    <w:rsid w:val="00A84FB7"/>
    <w:rsid w:val="00A86BB7"/>
    <w:rsid w:val="00A92573"/>
    <w:rsid w:val="00AA0CDD"/>
    <w:rsid w:val="00AA1A49"/>
    <w:rsid w:val="00AA1FDF"/>
    <w:rsid w:val="00AA6613"/>
    <w:rsid w:val="00AB33DF"/>
    <w:rsid w:val="00AB4690"/>
    <w:rsid w:val="00AB6CB2"/>
    <w:rsid w:val="00AC24EA"/>
    <w:rsid w:val="00AC5988"/>
    <w:rsid w:val="00AC5A99"/>
    <w:rsid w:val="00AC618B"/>
    <w:rsid w:val="00AD2138"/>
    <w:rsid w:val="00AD240B"/>
    <w:rsid w:val="00AD48B8"/>
    <w:rsid w:val="00AE005B"/>
    <w:rsid w:val="00AE73FD"/>
    <w:rsid w:val="00AF0088"/>
    <w:rsid w:val="00AF1D5F"/>
    <w:rsid w:val="00AF5192"/>
    <w:rsid w:val="00B00EB0"/>
    <w:rsid w:val="00B01082"/>
    <w:rsid w:val="00B0644F"/>
    <w:rsid w:val="00B104A7"/>
    <w:rsid w:val="00B11605"/>
    <w:rsid w:val="00B11DF4"/>
    <w:rsid w:val="00B147E6"/>
    <w:rsid w:val="00B14D47"/>
    <w:rsid w:val="00B1509C"/>
    <w:rsid w:val="00B21EAE"/>
    <w:rsid w:val="00B24BF3"/>
    <w:rsid w:val="00B25F4B"/>
    <w:rsid w:val="00B26047"/>
    <w:rsid w:val="00B27100"/>
    <w:rsid w:val="00B27F25"/>
    <w:rsid w:val="00B302E6"/>
    <w:rsid w:val="00B33B38"/>
    <w:rsid w:val="00B34ED8"/>
    <w:rsid w:val="00B418DD"/>
    <w:rsid w:val="00B455A6"/>
    <w:rsid w:val="00B461C6"/>
    <w:rsid w:val="00B46AEF"/>
    <w:rsid w:val="00B47002"/>
    <w:rsid w:val="00B47B33"/>
    <w:rsid w:val="00B5154D"/>
    <w:rsid w:val="00B566AC"/>
    <w:rsid w:val="00B56AE6"/>
    <w:rsid w:val="00B57AF5"/>
    <w:rsid w:val="00B624AF"/>
    <w:rsid w:val="00B63B8F"/>
    <w:rsid w:val="00B65A6B"/>
    <w:rsid w:val="00B715BE"/>
    <w:rsid w:val="00B72530"/>
    <w:rsid w:val="00B77BC7"/>
    <w:rsid w:val="00B8315E"/>
    <w:rsid w:val="00B8513D"/>
    <w:rsid w:val="00B856DD"/>
    <w:rsid w:val="00B9457E"/>
    <w:rsid w:val="00B955E8"/>
    <w:rsid w:val="00B96E58"/>
    <w:rsid w:val="00BA2BB3"/>
    <w:rsid w:val="00BA637C"/>
    <w:rsid w:val="00BB0ACE"/>
    <w:rsid w:val="00BB2ACA"/>
    <w:rsid w:val="00BB59E5"/>
    <w:rsid w:val="00BB5BCF"/>
    <w:rsid w:val="00BC03B5"/>
    <w:rsid w:val="00BC0F61"/>
    <w:rsid w:val="00BC1D6B"/>
    <w:rsid w:val="00BC2CAE"/>
    <w:rsid w:val="00BC3159"/>
    <w:rsid w:val="00BC33AB"/>
    <w:rsid w:val="00BC45A8"/>
    <w:rsid w:val="00BD01F1"/>
    <w:rsid w:val="00BD204D"/>
    <w:rsid w:val="00BD2662"/>
    <w:rsid w:val="00BD4152"/>
    <w:rsid w:val="00BD420B"/>
    <w:rsid w:val="00BE4735"/>
    <w:rsid w:val="00BE49C5"/>
    <w:rsid w:val="00BE7070"/>
    <w:rsid w:val="00BF308C"/>
    <w:rsid w:val="00BF3A69"/>
    <w:rsid w:val="00BF4E1F"/>
    <w:rsid w:val="00C03331"/>
    <w:rsid w:val="00C06341"/>
    <w:rsid w:val="00C07BDA"/>
    <w:rsid w:val="00C13372"/>
    <w:rsid w:val="00C15AF6"/>
    <w:rsid w:val="00C21212"/>
    <w:rsid w:val="00C2279A"/>
    <w:rsid w:val="00C22B53"/>
    <w:rsid w:val="00C2366E"/>
    <w:rsid w:val="00C2462A"/>
    <w:rsid w:val="00C36AC2"/>
    <w:rsid w:val="00C3722D"/>
    <w:rsid w:val="00C42068"/>
    <w:rsid w:val="00C431A3"/>
    <w:rsid w:val="00C43586"/>
    <w:rsid w:val="00C47017"/>
    <w:rsid w:val="00C52678"/>
    <w:rsid w:val="00C53CC8"/>
    <w:rsid w:val="00C560FC"/>
    <w:rsid w:val="00C5625E"/>
    <w:rsid w:val="00C576E3"/>
    <w:rsid w:val="00C670F7"/>
    <w:rsid w:val="00C71F09"/>
    <w:rsid w:val="00C757C0"/>
    <w:rsid w:val="00C808E9"/>
    <w:rsid w:val="00C81943"/>
    <w:rsid w:val="00C82B29"/>
    <w:rsid w:val="00C82BF8"/>
    <w:rsid w:val="00C84BB8"/>
    <w:rsid w:val="00C91EF2"/>
    <w:rsid w:val="00C92530"/>
    <w:rsid w:val="00C944D8"/>
    <w:rsid w:val="00CA12B4"/>
    <w:rsid w:val="00CA31A4"/>
    <w:rsid w:val="00CA3746"/>
    <w:rsid w:val="00CA73C5"/>
    <w:rsid w:val="00CB1542"/>
    <w:rsid w:val="00CB4B93"/>
    <w:rsid w:val="00CB7880"/>
    <w:rsid w:val="00CD19A3"/>
    <w:rsid w:val="00CD3953"/>
    <w:rsid w:val="00CD4039"/>
    <w:rsid w:val="00CD4996"/>
    <w:rsid w:val="00CD5619"/>
    <w:rsid w:val="00CE2312"/>
    <w:rsid w:val="00CE3086"/>
    <w:rsid w:val="00CE3100"/>
    <w:rsid w:val="00CE44C6"/>
    <w:rsid w:val="00CE455E"/>
    <w:rsid w:val="00CE504F"/>
    <w:rsid w:val="00CF0B71"/>
    <w:rsid w:val="00CF1470"/>
    <w:rsid w:val="00CF37C0"/>
    <w:rsid w:val="00D05D51"/>
    <w:rsid w:val="00D11826"/>
    <w:rsid w:val="00D1239A"/>
    <w:rsid w:val="00D13CD7"/>
    <w:rsid w:val="00D1422C"/>
    <w:rsid w:val="00D22050"/>
    <w:rsid w:val="00D248E9"/>
    <w:rsid w:val="00D24D46"/>
    <w:rsid w:val="00D26899"/>
    <w:rsid w:val="00D31A06"/>
    <w:rsid w:val="00D34407"/>
    <w:rsid w:val="00D43D57"/>
    <w:rsid w:val="00D45021"/>
    <w:rsid w:val="00D47740"/>
    <w:rsid w:val="00D510E7"/>
    <w:rsid w:val="00D51157"/>
    <w:rsid w:val="00D533CF"/>
    <w:rsid w:val="00D615CE"/>
    <w:rsid w:val="00D62F7E"/>
    <w:rsid w:val="00D64CC7"/>
    <w:rsid w:val="00D64CE3"/>
    <w:rsid w:val="00D66E9A"/>
    <w:rsid w:val="00D70C01"/>
    <w:rsid w:val="00D70C07"/>
    <w:rsid w:val="00D7168F"/>
    <w:rsid w:val="00D71C3D"/>
    <w:rsid w:val="00D7432F"/>
    <w:rsid w:val="00D74C28"/>
    <w:rsid w:val="00D846D9"/>
    <w:rsid w:val="00D9229F"/>
    <w:rsid w:val="00D9403B"/>
    <w:rsid w:val="00DA08D5"/>
    <w:rsid w:val="00DA0D51"/>
    <w:rsid w:val="00DA0F86"/>
    <w:rsid w:val="00DA5A28"/>
    <w:rsid w:val="00DA7120"/>
    <w:rsid w:val="00DA720C"/>
    <w:rsid w:val="00DB189B"/>
    <w:rsid w:val="00DB2309"/>
    <w:rsid w:val="00DC3BAB"/>
    <w:rsid w:val="00DC7EC8"/>
    <w:rsid w:val="00DD04A1"/>
    <w:rsid w:val="00DD0B15"/>
    <w:rsid w:val="00DE3780"/>
    <w:rsid w:val="00DE5C9B"/>
    <w:rsid w:val="00DE5E45"/>
    <w:rsid w:val="00DE6925"/>
    <w:rsid w:val="00DF0911"/>
    <w:rsid w:val="00DF20A1"/>
    <w:rsid w:val="00E028CD"/>
    <w:rsid w:val="00E03517"/>
    <w:rsid w:val="00E044A0"/>
    <w:rsid w:val="00E046CA"/>
    <w:rsid w:val="00E05B86"/>
    <w:rsid w:val="00E1056E"/>
    <w:rsid w:val="00E13D6F"/>
    <w:rsid w:val="00E15F13"/>
    <w:rsid w:val="00E201A6"/>
    <w:rsid w:val="00E245C5"/>
    <w:rsid w:val="00E3783F"/>
    <w:rsid w:val="00E431C4"/>
    <w:rsid w:val="00E43DEC"/>
    <w:rsid w:val="00E47ABC"/>
    <w:rsid w:val="00E51E29"/>
    <w:rsid w:val="00E5202B"/>
    <w:rsid w:val="00E55A17"/>
    <w:rsid w:val="00E55B4D"/>
    <w:rsid w:val="00E61B27"/>
    <w:rsid w:val="00E632A4"/>
    <w:rsid w:val="00E6792B"/>
    <w:rsid w:val="00E701BC"/>
    <w:rsid w:val="00E72D18"/>
    <w:rsid w:val="00E7413D"/>
    <w:rsid w:val="00E76042"/>
    <w:rsid w:val="00E80CC3"/>
    <w:rsid w:val="00E81A92"/>
    <w:rsid w:val="00E8254E"/>
    <w:rsid w:val="00E82CCF"/>
    <w:rsid w:val="00E837CF"/>
    <w:rsid w:val="00E84FFA"/>
    <w:rsid w:val="00E87D27"/>
    <w:rsid w:val="00E93A74"/>
    <w:rsid w:val="00E9466D"/>
    <w:rsid w:val="00E95471"/>
    <w:rsid w:val="00E95E54"/>
    <w:rsid w:val="00EA0309"/>
    <w:rsid w:val="00EA03A4"/>
    <w:rsid w:val="00EA3667"/>
    <w:rsid w:val="00EB10B3"/>
    <w:rsid w:val="00EB40A8"/>
    <w:rsid w:val="00EB41E8"/>
    <w:rsid w:val="00EB5BB4"/>
    <w:rsid w:val="00EB78DF"/>
    <w:rsid w:val="00EC326C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489"/>
    <w:rsid w:val="00ED66FD"/>
    <w:rsid w:val="00ED6AAB"/>
    <w:rsid w:val="00EE3EE1"/>
    <w:rsid w:val="00EE5C73"/>
    <w:rsid w:val="00EE73B7"/>
    <w:rsid w:val="00EF05D1"/>
    <w:rsid w:val="00EF1C4B"/>
    <w:rsid w:val="00EF250A"/>
    <w:rsid w:val="00EF379A"/>
    <w:rsid w:val="00EF4338"/>
    <w:rsid w:val="00EF5CF4"/>
    <w:rsid w:val="00F0171A"/>
    <w:rsid w:val="00F11922"/>
    <w:rsid w:val="00F151A0"/>
    <w:rsid w:val="00F15F73"/>
    <w:rsid w:val="00F165EF"/>
    <w:rsid w:val="00F1679C"/>
    <w:rsid w:val="00F1755A"/>
    <w:rsid w:val="00F2090B"/>
    <w:rsid w:val="00F22735"/>
    <w:rsid w:val="00F23993"/>
    <w:rsid w:val="00F25FE5"/>
    <w:rsid w:val="00F340B4"/>
    <w:rsid w:val="00F342C9"/>
    <w:rsid w:val="00F41456"/>
    <w:rsid w:val="00F42434"/>
    <w:rsid w:val="00F442F3"/>
    <w:rsid w:val="00F45805"/>
    <w:rsid w:val="00F46E38"/>
    <w:rsid w:val="00F5217F"/>
    <w:rsid w:val="00F55661"/>
    <w:rsid w:val="00F56B7C"/>
    <w:rsid w:val="00F60018"/>
    <w:rsid w:val="00F64AA9"/>
    <w:rsid w:val="00F66C7D"/>
    <w:rsid w:val="00F707FD"/>
    <w:rsid w:val="00F7540C"/>
    <w:rsid w:val="00F77C3C"/>
    <w:rsid w:val="00F82D7C"/>
    <w:rsid w:val="00F84FA4"/>
    <w:rsid w:val="00F85DA6"/>
    <w:rsid w:val="00F86451"/>
    <w:rsid w:val="00F932BD"/>
    <w:rsid w:val="00F95304"/>
    <w:rsid w:val="00F96EE9"/>
    <w:rsid w:val="00F9777C"/>
    <w:rsid w:val="00FB122C"/>
    <w:rsid w:val="00FB1BB3"/>
    <w:rsid w:val="00FB3634"/>
    <w:rsid w:val="00FB49D2"/>
    <w:rsid w:val="00FB50EA"/>
    <w:rsid w:val="00FB68BB"/>
    <w:rsid w:val="00FC1A4F"/>
    <w:rsid w:val="00FC2544"/>
    <w:rsid w:val="00FC3B3A"/>
    <w:rsid w:val="00FC6825"/>
    <w:rsid w:val="00FD09BF"/>
    <w:rsid w:val="00FD267E"/>
    <w:rsid w:val="00FD4927"/>
    <w:rsid w:val="00FD5317"/>
    <w:rsid w:val="00FE0058"/>
    <w:rsid w:val="00FE22A9"/>
    <w:rsid w:val="00FE2B31"/>
    <w:rsid w:val="00FE53DF"/>
    <w:rsid w:val="00FE7372"/>
    <w:rsid w:val="00FF18C3"/>
    <w:rsid w:val="00FF3DC6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0D95ACE"/>
  <w15:docId w15:val="{BE8558F4-F48E-40F6-B023-4120BA39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Heading1">
    <w:name w:val="heading 1"/>
    <w:next w:val="Normal"/>
    <w:link w:val="Heading1Char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CAE"/>
    <w:pPr>
      <w:keepNext/>
      <w:outlineLvl w:val="1"/>
    </w:pPr>
    <w:rPr>
      <w:rFonts w:ascii="Arial" w:eastAsia="MS Gothic" w:hAnsi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E2DD2"/>
    <w:rPr>
      <w:rFonts w:ascii="Arial" w:eastAsia="SimSun" w:hAnsi="Arial"/>
      <w:sz w:val="36"/>
      <w:lang w:val="en-GB" w:eastAsia="en-US"/>
    </w:rPr>
  </w:style>
  <w:style w:type="paragraph" w:styleId="Title">
    <w:name w:val="Title"/>
    <w:basedOn w:val="Normal"/>
    <w:link w:val="TitleChar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TitleChar">
    <w:name w:val="Title Char"/>
    <w:link w:val="Title"/>
    <w:rsid w:val="001E2DD2"/>
    <w:rPr>
      <w:rFonts w:ascii="Arial" w:hAnsi="Arial"/>
      <w:b/>
      <w:sz w:val="24"/>
      <w:lang w:val="de-D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1E2DD2"/>
    <w:rPr>
      <w:rFonts w:ascii="Times" w:hAnsi="Times" w:cs="Times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0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BodyText">
    <w:name w:val="Body Text"/>
    <w:aliases w:val="bt,AvtalBrödtext, ändrad,ändrad"/>
    <w:basedOn w:val="Normal"/>
    <w:link w:val="BodyTextChar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8878C6"/>
    <w:rPr>
      <w:rFonts w:ascii="Times New Roman" w:hAnsi="Times New Roman"/>
      <w:szCs w:val="24"/>
      <w:lang w:val="x-none" w:eastAsia="en-US"/>
    </w:rPr>
  </w:style>
  <w:style w:type="character" w:customStyle="1" w:styleId="Heading2Char">
    <w:name w:val="Heading 2 Char"/>
    <w:link w:val="Heading2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character" w:customStyle="1" w:styleId="Heading3Char">
    <w:name w:val="Heading 3 Char"/>
    <w:link w:val="Heading3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Normal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Normal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TableGrid">
    <w:name w:val="Table Grid"/>
    <w:basedOn w:val="TableNormal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">
    <w:name w:val="テキスト"/>
    <w:basedOn w:val="Normal"/>
    <w:link w:val="a0"/>
    <w:qFormat/>
    <w:rsid w:val="00DA08D5"/>
    <w:pPr>
      <w:ind w:firstLineChars="100" w:firstLine="2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2E7"/>
    <w:pPr>
      <w:spacing w:after="0" w:line="240" w:lineRule="auto"/>
    </w:pPr>
    <w:rPr>
      <w:rFonts w:ascii="Arial" w:eastAsia="MS Gothic" w:hAnsi="Arial"/>
      <w:sz w:val="18"/>
      <w:szCs w:val="18"/>
    </w:rPr>
  </w:style>
  <w:style w:type="character" w:customStyle="1" w:styleId="a0">
    <w:name w:val="テキスト (文字)"/>
    <w:link w:val="a"/>
    <w:rsid w:val="00DA08D5"/>
    <w:rPr>
      <w:kern w:val="2"/>
      <w:sz w:val="21"/>
      <w:szCs w:val="2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0402E7"/>
    <w:rPr>
      <w:rFonts w:ascii="Arial" w:eastAsia="MS Gothic" w:hAnsi="Arial" w:cs="Times New Roman"/>
      <w:kern w:val="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Normal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749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A7491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4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7491"/>
    <w:rPr>
      <w:b/>
      <w:bCs/>
      <w:kern w:val="2"/>
    </w:rPr>
  </w:style>
  <w:style w:type="table" w:styleId="LightList-Accent1">
    <w:name w:val="Light List Accent 1"/>
    <w:basedOn w:val="TableNormal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54F02"/>
    <w:pPr>
      <w:ind w:leftChars="400" w:left="840"/>
    </w:pPr>
  </w:style>
  <w:style w:type="paragraph" w:styleId="NoSpacing">
    <w:name w:val="No Spacing"/>
    <w:uiPriority w:val="1"/>
    <w:qFormat/>
    <w:rsid w:val="00FE53DF"/>
    <w:pPr>
      <w:widowControl w:val="0"/>
      <w:spacing w:afterLines="50"/>
      <w:jc w:val="both"/>
    </w:pPr>
    <w:rPr>
      <w:kern w:val="2"/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46D64-5CBF-4EDA-8ACE-332EED77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1075</Words>
  <Characters>6129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</dc:creator>
  <cp:lastModifiedBy>Ljung, Rickard</cp:lastModifiedBy>
  <cp:revision>2</cp:revision>
  <dcterms:created xsi:type="dcterms:W3CDTF">2017-02-06T08:48:00Z</dcterms:created>
  <dcterms:modified xsi:type="dcterms:W3CDTF">2017-02-06T08:48:00Z</dcterms:modified>
</cp:coreProperties>
</file>