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25BF" w:rsidRPr="002B7F31" w:rsidRDefault="00AE25BF" w:rsidP="00CA734F">
      <w:pPr>
        <w:pStyle w:val="CRCoverPage"/>
        <w:tabs>
          <w:tab w:val="right" w:pos="9639"/>
        </w:tabs>
        <w:spacing w:after="0"/>
        <w:rPr>
          <w:b/>
          <w:noProof/>
          <w:sz w:val="28"/>
          <w:lang w:val="en-US" w:eastAsia="ja-JP"/>
        </w:rPr>
      </w:pPr>
      <w:r w:rsidRPr="002B7F31">
        <w:rPr>
          <w:b/>
          <w:noProof/>
          <w:sz w:val="24"/>
          <w:lang w:val="en-US"/>
        </w:rPr>
        <w:t>3GPP TSG</w:t>
      </w:r>
      <w:r w:rsidR="00CE6BA1" w:rsidRPr="002B7F31">
        <w:rPr>
          <w:b/>
          <w:noProof/>
          <w:sz w:val="24"/>
          <w:lang w:val="en-US"/>
        </w:rPr>
        <w:t xml:space="preserve"> RAN</w:t>
      </w:r>
      <w:r w:rsidR="002B0C22">
        <w:rPr>
          <w:b/>
          <w:noProof/>
          <w:sz w:val="24"/>
          <w:lang w:val="en-US"/>
        </w:rPr>
        <w:t xml:space="preserve"> WG</w:t>
      </w:r>
      <w:r w:rsidR="00F40B75">
        <w:rPr>
          <w:b/>
          <w:noProof/>
          <w:sz w:val="24"/>
          <w:lang w:val="en-US"/>
        </w:rPr>
        <w:t>1</w:t>
      </w:r>
      <w:r w:rsidR="00CE6BA1" w:rsidRPr="002B7F31">
        <w:rPr>
          <w:b/>
          <w:noProof/>
          <w:sz w:val="24"/>
          <w:lang w:val="en-US"/>
        </w:rPr>
        <w:t xml:space="preserve"> </w:t>
      </w:r>
      <w:r w:rsidRPr="002B7F31">
        <w:rPr>
          <w:b/>
          <w:noProof/>
          <w:sz w:val="24"/>
          <w:lang w:val="en-US"/>
        </w:rPr>
        <w:t>Meeting #</w:t>
      </w:r>
      <w:r w:rsidR="00B71FB9">
        <w:rPr>
          <w:b/>
          <w:noProof/>
          <w:sz w:val="24"/>
          <w:lang w:val="en-US"/>
        </w:rPr>
        <w:t>8</w:t>
      </w:r>
      <w:r w:rsidR="00B03B82">
        <w:rPr>
          <w:b/>
          <w:noProof/>
          <w:sz w:val="24"/>
          <w:lang w:val="en-US"/>
        </w:rPr>
        <w:t>4bis</w:t>
      </w:r>
      <w:r w:rsidRPr="002B7F31">
        <w:rPr>
          <w:b/>
          <w:i/>
          <w:noProof/>
          <w:sz w:val="28"/>
          <w:lang w:val="en-US"/>
        </w:rPr>
        <w:tab/>
      </w:r>
      <w:r w:rsidR="00F40B75" w:rsidRPr="00433292">
        <w:rPr>
          <w:b/>
          <w:noProof/>
          <w:sz w:val="28"/>
          <w:lang w:val="en-US"/>
        </w:rPr>
        <w:t>R1</w:t>
      </w:r>
      <w:r w:rsidR="00ED6C6D" w:rsidRPr="00433292">
        <w:rPr>
          <w:b/>
          <w:noProof/>
          <w:sz w:val="28"/>
          <w:lang w:val="en-US"/>
        </w:rPr>
        <w:t>-</w:t>
      </w:r>
      <w:r w:rsidR="00530477" w:rsidRPr="00433292">
        <w:rPr>
          <w:b/>
          <w:noProof/>
          <w:sz w:val="28"/>
          <w:lang w:val="en-US"/>
        </w:rPr>
        <w:t>16</w:t>
      </w:r>
      <w:r w:rsidR="00E656A3">
        <w:rPr>
          <w:b/>
          <w:noProof/>
          <w:sz w:val="28"/>
          <w:lang w:val="en-US" w:eastAsia="ja-JP"/>
        </w:rPr>
        <w:t>3</w:t>
      </w:r>
      <w:r w:rsidR="00DF1DD2">
        <w:rPr>
          <w:b/>
          <w:noProof/>
          <w:sz w:val="28"/>
          <w:lang w:val="en-US" w:eastAsia="ja-JP"/>
        </w:rPr>
        <w:t>408</w:t>
      </w:r>
      <w:bookmarkStart w:id="0" w:name="_GoBack"/>
      <w:bookmarkEnd w:id="0"/>
    </w:p>
    <w:p w:rsidR="00AE25BF" w:rsidRPr="002B7F31" w:rsidRDefault="00B03B82" w:rsidP="00530477">
      <w:pPr>
        <w:pStyle w:val="CRCoverPage"/>
        <w:tabs>
          <w:tab w:val="left" w:pos="7797"/>
        </w:tabs>
        <w:spacing w:after="0"/>
        <w:rPr>
          <w:b/>
          <w:noProof/>
          <w:sz w:val="24"/>
          <w:lang w:val="en-US"/>
        </w:rPr>
      </w:pPr>
      <w:r>
        <w:rPr>
          <w:b/>
          <w:noProof/>
          <w:sz w:val="24"/>
          <w:lang w:val="en-US"/>
        </w:rPr>
        <w:t>Busan</w:t>
      </w:r>
      <w:r w:rsidR="002B0C22" w:rsidRPr="002B0C22">
        <w:rPr>
          <w:b/>
          <w:noProof/>
          <w:sz w:val="24"/>
          <w:lang w:val="en-US"/>
        </w:rPr>
        <w:t>,</w:t>
      </w:r>
      <w:r w:rsidR="002B0C22" w:rsidRPr="000B76FF">
        <w:rPr>
          <w:rFonts w:cs="Arial"/>
          <w:b/>
          <w:bCs/>
          <w:sz w:val="28"/>
          <w:lang w:val="en-US" w:eastAsia="ja-JP"/>
        </w:rPr>
        <w:t xml:space="preserve"> </w:t>
      </w:r>
      <w:r>
        <w:rPr>
          <w:b/>
          <w:noProof/>
          <w:sz w:val="24"/>
          <w:lang w:val="en-US"/>
        </w:rPr>
        <w:t>South Korea</w:t>
      </w:r>
      <w:r w:rsidR="003518AA" w:rsidRPr="002B7F31">
        <w:rPr>
          <w:b/>
          <w:noProof/>
          <w:sz w:val="24"/>
          <w:lang w:val="en-US"/>
        </w:rPr>
        <w:t xml:space="preserve">, </w:t>
      </w:r>
      <w:r>
        <w:rPr>
          <w:b/>
          <w:noProof/>
          <w:sz w:val="24"/>
          <w:lang w:val="en-US"/>
        </w:rPr>
        <w:t>April 11</w:t>
      </w:r>
      <w:r w:rsidR="00CE6BA1" w:rsidRPr="002B7F31">
        <w:rPr>
          <w:b/>
          <w:noProof/>
          <w:sz w:val="24"/>
          <w:lang w:val="en-US"/>
        </w:rPr>
        <w:t xml:space="preserve"> - </w:t>
      </w:r>
      <w:r>
        <w:rPr>
          <w:b/>
          <w:noProof/>
          <w:sz w:val="24"/>
          <w:lang w:val="en-US"/>
        </w:rPr>
        <w:t>15</w:t>
      </w:r>
      <w:r w:rsidR="00E60E69" w:rsidRPr="002B7F31">
        <w:rPr>
          <w:b/>
          <w:noProof/>
          <w:sz w:val="24"/>
          <w:lang w:val="en-US"/>
        </w:rPr>
        <w:t>,</w:t>
      </w:r>
      <w:r w:rsidR="00CE6BA1" w:rsidRPr="002B7F31">
        <w:rPr>
          <w:b/>
          <w:noProof/>
          <w:sz w:val="24"/>
          <w:lang w:val="en-US"/>
        </w:rPr>
        <w:t xml:space="preserve"> 201</w:t>
      </w:r>
      <w:r w:rsidR="00F40B75">
        <w:rPr>
          <w:b/>
          <w:noProof/>
          <w:sz w:val="24"/>
          <w:lang w:val="en-US"/>
        </w:rPr>
        <w:t>6</w:t>
      </w:r>
      <w:r w:rsidR="00AE25BF" w:rsidRPr="002B7F31">
        <w:rPr>
          <w:rFonts w:eastAsia="Batang" w:cs="Arial" w:hint="eastAsia"/>
          <w:b/>
          <w:sz w:val="24"/>
          <w:lang w:val="en-US" w:eastAsia="zh-CN"/>
        </w:rPr>
        <w:tab/>
      </w:r>
    </w:p>
    <w:p w:rsidR="00AE25BF" w:rsidRPr="002B7F31" w:rsidRDefault="00AE25BF" w:rsidP="00530477">
      <w:pPr>
        <w:pBdr>
          <w:bottom w:val="single" w:sz="4" w:space="1" w:color="auto"/>
        </w:pBdr>
        <w:tabs>
          <w:tab w:val="right" w:pos="9639"/>
        </w:tabs>
        <w:overflowPunct/>
        <w:autoSpaceDE/>
        <w:autoSpaceDN/>
        <w:adjustRightInd/>
        <w:jc w:val="both"/>
        <w:textAlignment w:val="auto"/>
        <w:rPr>
          <w:rFonts w:ascii="Arial" w:eastAsia="Batang" w:hAnsi="Arial" w:cs="Arial"/>
          <w:b/>
          <w:sz w:val="24"/>
          <w:lang w:val="en-US" w:eastAsia="zh-CN"/>
        </w:rPr>
      </w:pPr>
    </w:p>
    <w:p w:rsidR="00AE25BF" w:rsidRPr="0022038E" w:rsidRDefault="00AE25BF" w:rsidP="00530477">
      <w:pPr>
        <w:tabs>
          <w:tab w:val="left" w:pos="2127"/>
        </w:tabs>
        <w:overflowPunct/>
        <w:autoSpaceDE/>
        <w:autoSpaceDN/>
        <w:adjustRightInd/>
        <w:spacing w:after="0"/>
        <w:ind w:left="2126" w:hanging="2126"/>
        <w:jc w:val="both"/>
        <w:textAlignment w:val="auto"/>
        <w:rPr>
          <w:rFonts w:ascii="Arial" w:eastAsia="Batang" w:hAnsi="Arial"/>
          <w:b/>
          <w:lang w:val="en-US" w:eastAsia="zh-CN"/>
        </w:rPr>
      </w:pPr>
      <w:r w:rsidRPr="00195ADC">
        <w:rPr>
          <w:rFonts w:ascii="Arial" w:eastAsia="Batang" w:hAnsi="Arial"/>
          <w:b/>
          <w:lang w:val="en-US" w:eastAsia="zh-CN"/>
        </w:rPr>
        <w:t>Source:</w:t>
      </w:r>
      <w:r w:rsidRPr="00195ADC">
        <w:rPr>
          <w:rFonts w:ascii="Arial" w:eastAsia="Batang" w:hAnsi="Arial"/>
          <w:b/>
          <w:lang w:val="en-US" w:eastAsia="zh-CN"/>
        </w:rPr>
        <w:tab/>
      </w:r>
      <w:r w:rsidR="00B71FB9">
        <w:rPr>
          <w:rFonts w:ascii="Arial" w:eastAsia="Batang" w:hAnsi="Arial"/>
          <w:b/>
          <w:lang w:val="en-US" w:eastAsia="zh-CN"/>
        </w:rPr>
        <w:t>Straight Path</w:t>
      </w:r>
    </w:p>
    <w:p w:rsidR="00AE25BF" w:rsidRPr="002B7F31" w:rsidRDefault="00AE25BF" w:rsidP="00530477">
      <w:pPr>
        <w:tabs>
          <w:tab w:val="left" w:pos="2127"/>
        </w:tabs>
        <w:overflowPunct/>
        <w:autoSpaceDE/>
        <w:autoSpaceDN/>
        <w:adjustRightInd/>
        <w:spacing w:after="0"/>
        <w:ind w:left="2126" w:hanging="2126"/>
        <w:jc w:val="both"/>
        <w:textAlignment w:val="auto"/>
        <w:rPr>
          <w:rFonts w:ascii="Arial" w:eastAsia="Batang" w:hAnsi="Arial"/>
          <w:b/>
          <w:lang w:val="en-US" w:eastAsia="zh-CN"/>
        </w:rPr>
      </w:pPr>
      <w:r w:rsidRPr="002B7F31">
        <w:rPr>
          <w:rFonts w:ascii="Arial" w:eastAsia="Batang" w:hAnsi="Arial" w:cs="Arial"/>
          <w:b/>
          <w:lang w:val="en-US" w:eastAsia="zh-CN"/>
        </w:rPr>
        <w:t>Title:</w:t>
      </w:r>
      <w:r w:rsidRPr="002B7F31">
        <w:rPr>
          <w:rFonts w:ascii="Arial" w:eastAsia="Batang" w:hAnsi="Arial" w:cs="Arial"/>
          <w:b/>
          <w:lang w:val="en-US" w:eastAsia="zh-CN"/>
        </w:rPr>
        <w:tab/>
      </w:r>
      <w:r w:rsidR="00334D9E">
        <w:rPr>
          <w:rFonts w:ascii="Arial" w:eastAsia="Batang" w:hAnsi="Arial" w:cs="Arial"/>
          <w:b/>
          <w:lang w:val="en-US" w:eastAsia="zh-CN"/>
        </w:rPr>
        <w:t xml:space="preserve">Additional </w:t>
      </w:r>
      <w:r w:rsidR="00091115">
        <w:rPr>
          <w:rFonts w:ascii="Arial" w:eastAsia="Batang" w:hAnsi="Arial" w:cs="Arial"/>
          <w:b/>
          <w:lang w:val="en-US" w:eastAsia="zh-CN"/>
        </w:rPr>
        <w:t>Considerations</w:t>
      </w:r>
      <w:r w:rsidR="00334D9E">
        <w:rPr>
          <w:rFonts w:ascii="Arial" w:eastAsia="Batang" w:hAnsi="Arial" w:cs="Arial"/>
          <w:b/>
          <w:lang w:val="en-US" w:eastAsia="zh-CN"/>
        </w:rPr>
        <w:t xml:space="preserve"> on B</w:t>
      </w:r>
      <w:r w:rsidR="00B71FB9">
        <w:rPr>
          <w:rFonts w:ascii="Arial" w:eastAsia="Batang" w:hAnsi="Arial" w:cs="Arial"/>
          <w:b/>
          <w:lang w:val="en-US" w:eastAsia="zh-CN"/>
        </w:rPr>
        <w:t>uilding Penetration Loss Modeling</w:t>
      </w:r>
      <w:r w:rsidR="004516D0">
        <w:rPr>
          <w:rFonts w:ascii="Arial" w:eastAsia="Batang" w:hAnsi="Arial" w:cs="Arial"/>
          <w:b/>
          <w:lang w:val="en-US" w:eastAsia="zh-CN"/>
        </w:rPr>
        <w:t xml:space="preserve"> for 5G System Performance Evaluation</w:t>
      </w:r>
    </w:p>
    <w:p w:rsidR="00AE25BF" w:rsidRPr="002B7F31" w:rsidRDefault="00AE25BF" w:rsidP="00530477">
      <w:pPr>
        <w:tabs>
          <w:tab w:val="left" w:pos="2127"/>
        </w:tabs>
        <w:overflowPunct/>
        <w:autoSpaceDE/>
        <w:autoSpaceDN/>
        <w:adjustRightInd/>
        <w:spacing w:after="0"/>
        <w:ind w:left="2126" w:hanging="2126"/>
        <w:jc w:val="both"/>
        <w:textAlignment w:val="auto"/>
        <w:rPr>
          <w:rFonts w:ascii="Arial" w:eastAsia="Batang" w:hAnsi="Arial"/>
          <w:b/>
          <w:lang w:val="en-US" w:eastAsia="zh-CN"/>
        </w:rPr>
      </w:pPr>
      <w:r w:rsidRPr="002B7F31">
        <w:rPr>
          <w:rFonts w:ascii="Arial" w:eastAsia="Batang" w:hAnsi="Arial"/>
          <w:b/>
          <w:lang w:val="en-US" w:eastAsia="zh-CN"/>
        </w:rPr>
        <w:t>Document for:</w:t>
      </w:r>
      <w:r w:rsidRPr="002B7F31">
        <w:rPr>
          <w:rFonts w:ascii="Arial" w:eastAsia="Batang" w:hAnsi="Arial"/>
          <w:b/>
          <w:lang w:val="en-US" w:eastAsia="zh-CN"/>
        </w:rPr>
        <w:tab/>
      </w:r>
      <w:r w:rsidR="00C51441" w:rsidRPr="002B7F31">
        <w:rPr>
          <w:rFonts w:ascii="Arial" w:eastAsia="Batang" w:hAnsi="Arial"/>
          <w:b/>
          <w:lang w:val="en-US" w:eastAsia="zh-CN"/>
        </w:rPr>
        <w:t>Discussion</w:t>
      </w:r>
      <w:r w:rsidR="00FE5BAC">
        <w:rPr>
          <w:rFonts w:ascii="Arial" w:eastAsia="Batang" w:hAnsi="Arial"/>
          <w:b/>
          <w:lang w:val="en-US" w:eastAsia="zh-CN"/>
        </w:rPr>
        <w:t xml:space="preserve"> &amp; Decision</w:t>
      </w:r>
    </w:p>
    <w:p w:rsidR="00FE5BAC" w:rsidRDefault="00AE25BF" w:rsidP="00CA734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val="en-US" w:eastAsia="zh-CN"/>
        </w:rPr>
      </w:pPr>
      <w:r w:rsidRPr="002B7F31">
        <w:rPr>
          <w:rFonts w:ascii="Arial" w:eastAsia="Batang" w:hAnsi="Arial"/>
          <w:b/>
          <w:lang w:val="en-US" w:eastAsia="zh-CN"/>
        </w:rPr>
        <w:t>Agenda Item:</w:t>
      </w:r>
      <w:r w:rsidRPr="002B7F31">
        <w:rPr>
          <w:rFonts w:ascii="Arial" w:eastAsia="Batang" w:hAnsi="Arial"/>
          <w:b/>
          <w:lang w:val="en-US" w:eastAsia="zh-CN"/>
        </w:rPr>
        <w:tab/>
      </w:r>
      <w:r w:rsidR="00E656A3">
        <w:rPr>
          <w:rFonts w:ascii="Arial" w:eastAsia="Batang" w:hAnsi="Arial"/>
          <w:b/>
          <w:lang w:val="en-US" w:eastAsia="zh-CN"/>
        </w:rPr>
        <w:t>8</w:t>
      </w:r>
      <w:r w:rsidR="00B71FB9">
        <w:rPr>
          <w:rFonts w:ascii="Arial" w:eastAsia="Batang" w:hAnsi="Arial"/>
          <w:b/>
          <w:lang w:val="en-US" w:eastAsia="zh-CN"/>
        </w:rPr>
        <w:t>.</w:t>
      </w:r>
      <w:r w:rsidR="00E656A3">
        <w:rPr>
          <w:rFonts w:ascii="Arial" w:eastAsia="Batang" w:hAnsi="Arial"/>
          <w:b/>
          <w:lang w:val="en-US" w:eastAsia="zh-CN"/>
        </w:rPr>
        <w:t>2</w:t>
      </w:r>
      <w:r w:rsidR="00B71FB9">
        <w:rPr>
          <w:rFonts w:ascii="Arial" w:eastAsia="Batang" w:hAnsi="Arial"/>
          <w:b/>
          <w:lang w:val="en-US" w:eastAsia="zh-CN"/>
        </w:rPr>
        <w:t>.</w:t>
      </w:r>
      <w:r w:rsidR="00E656A3">
        <w:rPr>
          <w:rFonts w:ascii="Arial" w:eastAsia="Batang" w:hAnsi="Arial"/>
          <w:b/>
          <w:lang w:val="en-US" w:eastAsia="zh-CN"/>
        </w:rPr>
        <w:t>1</w:t>
      </w:r>
    </w:p>
    <w:p w:rsidR="00FE5BAC" w:rsidRDefault="00FE5BAC" w:rsidP="00FE5BAC">
      <w:pPr>
        <w:rPr>
          <w:rFonts w:ascii="Arial" w:eastAsia="Batang" w:hAnsi="Arial"/>
          <w:lang w:val="en-US" w:eastAsia="zh-CN"/>
        </w:rPr>
      </w:pPr>
    </w:p>
    <w:p w:rsidR="002B0C22" w:rsidRDefault="00CA734F" w:rsidP="00530477">
      <w:pPr>
        <w:pStyle w:val="Heading1"/>
        <w:keepLines w:val="0"/>
        <w:pBdr>
          <w:top w:val="none" w:sz="0" w:space="0" w:color="auto"/>
        </w:pBdr>
        <w:overflowPunct/>
        <w:autoSpaceDE/>
        <w:autoSpaceDN/>
        <w:adjustRightInd/>
        <w:spacing w:before="120" w:after="120"/>
        <w:ind w:left="432" w:hanging="432"/>
        <w:jc w:val="both"/>
        <w:textAlignment w:val="auto"/>
        <w:rPr>
          <w:sz w:val="32"/>
          <w:szCs w:val="32"/>
        </w:rPr>
      </w:pPr>
      <w:bookmarkStart w:id="1" w:name="_Toc436774892"/>
      <w:bookmarkStart w:id="2" w:name="OLE_LINK3"/>
      <w:bookmarkStart w:id="3" w:name="OLE_LINK4"/>
      <w:r>
        <w:rPr>
          <w:rFonts w:hint="eastAsia"/>
          <w:sz w:val="32"/>
          <w:szCs w:val="32"/>
          <w:lang w:eastAsia="ja-JP"/>
        </w:rPr>
        <w:t xml:space="preserve">1. </w:t>
      </w:r>
      <w:r w:rsidR="002B0C22">
        <w:rPr>
          <w:sz w:val="32"/>
          <w:szCs w:val="32"/>
        </w:rPr>
        <w:t>Introduction</w:t>
      </w:r>
    </w:p>
    <w:p w:rsidR="002B0C22" w:rsidRDefault="00317E01" w:rsidP="00530477">
      <w:pPr>
        <w:jc w:val="both"/>
      </w:pPr>
      <w:r w:rsidRPr="00317E01">
        <w:t xml:space="preserve">At the RAN#69, a study item (SI) for channel modelling of frequency spectrum above 6 GHz was approved [1]. </w:t>
      </w:r>
      <w:r w:rsidR="00335FA1">
        <w:t xml:space="preserve">A building penetration loss model </w:t>
      </w:r>
      <w:r w:rsidR="00335FA1">
        <w:fldChar w:fldCharType="begin"/>
      </w:r>
      <w:r w:rsidR="00335FA1">
        <w:instrText xml:space="preserve"> REF _Ref447215207 \r \h </w:instrText>
      </w:r>
      <w:r w:rsidR="00335FA1">
        <w:fldChar w:fldCharType="separate"/>
      </w:r>
      <w:r w:rsidR="000462E5">
        <w:t>[2]</w:t>
      </w:r>
      <w:r w:rsidR="00335FA1">
        <w:fldChar w:fldCharType="end"/>
      </w:r>
      <w:r w:rsidR="00335FA1">
        <w:t xml:space="preserve"> is agreed in </w:t>
      </w:r>
      <w:r w:rsidR="00DB4307">
        <w:t xml:space="preserve">the March </w:t>
      </w:r>
      <w:r w:rsidR="00335FA1">
        <w:t xml:space="preserve">RAN1 channel modelling ad-hoc meeting in </w:t>
      </w:r>
      <w:r w:rsidR="00DB4307">
        <w:t>Ljubljana</w:t>
      </w:r>
      <w:r w:rsidR="00335FA1">
        <w:t xml:space="preserve"> </w:t>
      </w:r>
      <w:r w:rsidR="00335FA1">
        <w:fldChar w:fldCharType="begin"/>
      </w:r>
      <w:r w:rsidR="00335FA1">
        <w:instrText xml:space="preserve"> REF _Ref447215295 \r \h </w:instrText>
      </w:r>
      <w:r w:rsidR="00335FA1">
        <w:fldChar w:fldCharType="separate"/>
      </w:r>
      <w:r w:rsidR="000462E5">
        <w:t>[3]</w:t>
      </w:r>
      <w:r w:rsidR="00335FA1">
        <w:fldChar w:fldCharType="end"/>
      </w:r>
      <w:r w:rsidR="00335FA1">
        <w:t xml:space="preserve">. </w:t>
      </w:r>
    </w:p>
    <w:p w:rsidR="0066374B" w:rsidRDefault="0066374B" w:rsidP="00530477">
      <w:pPr>
        <w:jc w:val="both"/>
      </w:pPr>
      <w:r>
        <w:t>In this model, building penetration loss formula are provided for a low-loss scenario and a high-loss scenario</w:t>
      </w:r>
      <w:r w:rsidR="00E601D4">
        <w:t xml:space="preserve"> and are frequency dependent</w:t>
      </w:r>
      <w:r>
        <w:t xml:space="preserve">. However, questions remain on how these two formula should be used in system simulation. </w:t>
      </w:r>
    </w:p>
    <w:p w:rsidR="00317E01" w:rsidRPr="002B0C22" w:rsidRDefault="00317E01" w:rsidP="00530477">
      <w:pPr>
        <w:jc w:val="both"/>
      </w:pPr>
    </w:p>
    <w:p w:rsidR="00FE5BAC" w:rsidRPr="00FE5BAC" w:rsidRDefault="002B0C22" w:rsidP="00FE5BAC">
      <w:pPr>
        <w:pStyle w:val="Heading1"/>
        <w:keepLines w:val="0"/>
        <w:pBdr>
          <w:top w:val="none" w:sz="0" w:space="0" w:color="auto"/>
        </w:pBdr>
        <w:overflowPunct/>
        <w:autoSpaceDE/>
        <w:autoSpaceDN/>
        <w:adjustRightInd/>
        <w:spacing w:before="120" w:after="120"/>
        <w:ind w:left="432" w:hanging="432"/>
        <w:jc w:val="both"/>
        <w:textAlignment w:val="auto"/>
        <w:rPr>
          <w:sz w:val="32"/>
          <w:szCs w:val="32"/>
        </w:rPr>
      </w:pPr>
      <w:r>
        <w:rPr>
          <w:sz w:val="32"/>
          <w:szCs w:val="32"/>
        </w:rPr>
        <w:t xml:space="preserve">2. </w:t>
      </w:r>
      <w:bookmarkEnd w:id="1"/>
      <w:r w:rsidR="001B6A1B">
        <w:rPr>
          <w:sz w:val="32"/>
          <w:szCs w:val="32"/>
          <w:lang w:eastAsia="ja-JP"/>
        </w:rPr>
        <w:t>B</w:t>
      </w:r>
      <w:r w:rsidR="00EB4956">
        <w:rPr>
          <w:sz w:val="32"/>
          <w:szCs w:val="32"/>
          <w:lang w:eastAsia="ja-JP"/>
        </w:rPr>
        <w:t>uilding penetration loss</w:t>
      </w:r>
      <w:r w:rsidR="001B6A1B">
        <w:rPr>
          <w:sz w:val="32"/>
          <w:szCs w:val="32"/>
          <w:lang w:eastAsia="ja-JP"/>
        </w:rPr>
        <w:t xml:space="preserve"> models</w:t>
      </w:r>
    </w:p>
    <w:p w:rsidR="00EB4956" w:rsidRPr="00EB4956" w:rsidRDefault="00EB4956" w:rsidP="00EB4956">
      <w:pPr>
        <w:rPr>
          <w:lang w:val="en-US"/>
        </w:rPr>
      </w:pPr>
      <w:r w:rsidRPr="00EB4956">
        <w:rPr>
          <w:lang w:val="en-US"/>
        </w:rPr>
        <w:t>The characteristics of the building penetration loss</w:t>
      </w:r>
      <w:r w:rsidR="00B96A7C">
        <w:rPr>
          <w:lang w:val="en-US"/>
        </w:rPr>
        <w:t xml:space="preserve"> depends on the composition of building exterior walls and varies greatly o</w:t>
      </w:r>
      <w:r w:rsidRPr="00EB4956">
        <w:rPr>
          <w:lang w:val="en-US"/>
        </w:rPr>
        <w:t xml:space="preserve">ver </w:t>
      </w:r>
      <w:r w:rsidR="00B96A7C">
        <w:rPr>
          <w:lang w:val="en-US"/>
        </w:rPr>
        <w:t>frequency.</w:t>
      </w:r>
      <w:r w:rsidRPr="00EB4956">
        <w:rPr>
          <w:lang w:val="en-US"/>
        </w:rPr>
        <w:t xml:space="preserve"> </w:t>
      </w:r>
      <w:r w:rsidR="001C62D2">
        <w:rPr>
          <w:lang w:val="en-US"/>
        </w:rPr>
        <w:fldChar w:fldCharType="begin"/>
      </w:r>
      <w:r w:rsidR="001C62D2">
        <w:rPr>
          <w:lang w:val="en-US"/>
        </w:rPr>
        <w:instrText xml:space="preserve"> REF _Ref436765154 \h </w:instrText>
      </w:r>
      <w:r w:rsidR="001C62D2">
        <w:rPr>
          <w:lang w:val="en-US"/>
        </w:rPr>
      </w:r>
      <w:r w:rsidR="001C62D2">
        <w:rPr>
          <w:lang w:val="en-US"/>
        </w:rPr>
        <w:fldChar w:fldCharType="separate"/>
      </w:r>
      <w:r w:rsidR="000462E5" w:rsidRPr="004A7209">
        <w:rPr>
          <w:sz w:val="22"/>
          <w:szCs w:val="22"/>
          <w:lang w:eastAsia="ja-JP"/>
        </w:rPr>
        <w:t xml:space="preserve">Figure </w:t>
      </w:r>
      <w:r w:rsidR="000462E5">
        <w:rPr>
          <w:noProof/>
          <w:sz w:val="22"/>
          <w:szCs w:val="22"/>
          <w:lang w:eastAsia="ja-JP"/>
        </w:rPr>
        <w:t>1</w:t>
      </w:r>
      <w:r w:rsidR="001C62D2">
        <w:rPr>
          <w:lang w:val="en-US"/>
        </w:rPr>
        <w:fldChar w:fldCharType="end"/>
      </w:r>
      <w:r w:rsidRPr="00EB4956">
        <w:rPr>
          <w:lang w:val="en-US"/>
        </w:rPr>
        <w:t xml:space="preserve"> </w:t>
      </w:r>
      <w:r w:rsidR="00146E7E">
        <w:rPr>
          <w:lang w:val="en-US"/>
        </w:rPr>
        <w:t>s</w:t>
      </w:r>
      <w:r w:rsidRPr="00EB4956">
        <w:rPr>
          <w:lang w:val="en-US"/>
        </w:rPr>
        <w:t>ummarize some recent measurements of material</w:t>
      </w:r>
      <w:r w:rsidR="001C62D2">
        <w:rPr>
          <w:lang w:val="en-US"/>
        </w:rPr>
        <w:t xml:space="preserve"> and penetration</w:t>
      </w:r>
      <w:r w:rsidRPr="00EB4956">
        <w:rPr>
          <w:lang w:val="en-US"/>
        </w:rPr>
        <w:t xml:space="preserve"> losses</w:t>
      </w:r>
      <w:r w:rsidR="004029EF">
        <w:rPr>
          <w:lang w:val="en-US"/>
        </w:rPr>
        <w:t xml:space="preserve"> </w:t>
      </w:r>
      <w:r w:rsidR="004029EF">
        <w:rPr>
          <w:lang w:val="en-US"/>
        </w:rPr>
        <w:fldChar w:fldCharType="begin"/>
      </w:r>
      <w:r w:rsidR="004029EF">
        <w:rPr>
          <w:lang w:val="en-US"/>
        </w:rPr>
        <w:instrText xml:space="preserve"> REF _Ref447268164 \r \h </w:instrText>
      </w:r>
      <w:r w:rsidR="004029EF">
        <w:rPr>
          <w:lang w:val="en-US"/>
        </w:rPr>
      </w:r>
      <w:r w:rsidR="004029EF">
        <w:rPr>
          <w:lang w:val="en-US"/>
        </w:rPr>
        <w:fldChar w:fldCharType="separate"/>
      </w:r>
      <w:r w:rsidR="000462E5">
        <w:rPr>
          <w:lang w:val="en-US"/>
        </w:rPr>
        <w:t>[4]</w:t>
      </w:r>
      <w:r w:rsidR="004029EF">
        <w:rPr>
          <w:lang w:val="en-US"/>
        </w:rPr>
        <w:fldChar w:fldCharType="end"/>
      </w:r>
      <w:r w:rsidRPr="00EB4956">
        <w:rPr>
          <w:lang w:val="en-US"/>
        </w:rPr>
        <w:t xml:space="preserve">. </w:t>
      </w:r>
    </w:p>
    <w:p w:rsidR="00EB4956" w:rsidRPr="0029608A" w:rsidRDefault="00EB4956" w:rsidP="00EB4956">
      <w:pPr>
        <w:keepNext/>
        <w:jc w:val="center"/>
        <w:rPr>
          <w:rFonts w:ascii="Arial" w:hAnsi="Arial" w:cs="Arial"/>
          <w:sz w:val="22"/>
          <w:szCs w:val="22"/>
          <w:lang w:eastAsia="ja-JP"/>
        </w:rPr>
      </w:pPr>
      <w:r w:rsidRPr="0029608A">
        <w:rPr>
          <w:rFonts w:ascii="Arial" w:hAnsi="Arial" w:cs="Arial"/>
          <w:noProof/>
          <w:sz w:val="22"/>
          <w:szCs w:val="22"/>
          <w:lang w:val="en-US" w:eastAsia="zh-CN"/>
        </w:rPr>
        <w:drawing>
          <wp:inline distT="0" distB="0" distL="0" distR="0" wp14:anchorId="6726A350" wp14:editId="50542A60">
            <wp:extent cx="2697480" cy="1828800"/>
            <wp:effectExtent l="0" t="0" r="7620" b="0"/>
            <wp:docPr id="102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97480" cy="1828800"/>
                    </a:xfrm>
                    <a:prstGeom prst="rect">
                      <a:avLst/>
                    </a:prstGeom>
                    <a:noFill/>
                    <a:ln>
                      <a:noFill/>
                    </a:ln>
                    <a:effectLst/>
                    <a:extLst/>
                  </pic:spPr>
                </pic:pic>
              </a:graphicData>
            </a:graphic>
          </wp:inline>
        </w:drawing>
      </w:r>
      <w:r w:rsidR="00146E7E" w:rsidRPr="00146E7E">
        <w:rPr>
          <w:rFonts w:ascii="Arial" w:hAnsi="Arial" w:cs="Arial"/>
          <w:noProof/>
          <w:sz w:val="22"/>
          <w:szCs w:val="22"/>
          <w:lang w:val="en-US" w:eastAsia="zh-CN"/>
        </w:rPr>
        <w:t xml:space="preserve"> </w:t>
      </w:r>
      <w:r w:rsidR="00146E7E" w:rsidRPr="0029608A">
        <w:rPr>
          <w:rFonts w:ascii="Arial" w:hAnsi="Arial" w:cs="Arial"/>
          <w:noProof/>
          <w:sz w:val="22"/>
          <w:szCs w:val="22"/>
          <w:lang w:val="en-US" w:eastAsia="zh-CN"/>
        </w:rPr>
        <w:drawing>
          <wp:inline distT="0" distB="0" distL="0" distR="0" wp14:anchorId="5B5CA415" wp14:editId="0C0F9C76">
            <wp:extent cx="2441448" cy="1828800"/>
            <wp:effectExtent l="0" t="0" r="0" b="0"/>
            <wp:docPr id="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41448" cy="1828800"/>
                    </a:xfrm>
                    <a:prstGeom prst="rect">
                      <a:avLst/>
                    </a:prstGeom>
                    <a:noFill/>
                    <a:ln>
                      <a:noFill/>
                    </a:ln>
                    <a:effectLst/>
                    <a:extLst/>
                  </pic:spPr>
                </pic:pic>
              </a:graphicData>
            </a:graphic>
          </wp:inline>
        </w:drawing>
      </w:r>
    </w:p>
    <w:p w:rsidR="00EB4956" w:rsidRPr="004A7209" w:rsidRDefault="00EB4956" w:rsidP="00EB4956">
      <w:pPr>
        <w:jc w:val="center"/>
        <w:rPr>
          <w:sz w:val="22"/>
          <w:szCs w:val="22"/>
          <w:lang w:eastAsia="ja-JP"/>
        </w:rPr>
      </w:pPr>
      <w:bookmarkStart w:id="4" w:name="_Ref436765154"/>
      <w:r w:rsidRPr="004A7209">
        <w:rPr>
          <w:sz w:val="22"/>
          <w:szCs w:val="22"/>
          <w:lang w:eastAsia="ja-JP"/>
        </w:rPr>
        <w:t xml:space="preserve">Figure </w:t>
      </w:r>
      <w:r w:rsidRPr="004A7209">
        <w:rPr>
          <w:sz w:val="22"/>
          <w:szCs w:val="22"/>
          <w:lang w:eastAsia="ja-JP"/>
        </w:rPr>
        <w:fldChar w:fldCharType="begin"/>
      </w:r>
      <w:r w:rsidRPr="004A7209">
        <w:rPr>
          <w:sz w:val="22"/>
          <w:szCs w:val="22"/>
          <w:lang w:eastAsia="ja-JP"/>
        </w:rPr>
        <w:instrText xml:space="preserve"> SEQ Figure \* ARABIC </w:instrText>
      </w:r>
      <w:r w:rsidRPr="004A7209">
        <w:rPr>
          <w:sz w:val="22"/>
          <w:szCs w:val="22"/>
          <w:lang w:eastAsia="ja-JP"/>
        </w:rPr>
        <w:fldChar w:fldCharType="separate"/>
      </w:r>
      <w:r w:rsidR="00D37943">
        <w:rPr>
          <w:noProof/>
          <w:sz w:val="22"/>
          <w:szCs w:val="22"/>
          <w:lang w:eastAsia="ja-JP"/>
        </w:rPr>
        <w:t>1</w:t>
      </w:r>
      <w:r w:rsidRPr="004A7209">
        <w:rPr>
          <w:sz w:val="22"/>
          <w:szCs w:val="22"/>
          <w:lang w:eastAsia="ja-JP"/>
        </w:rPr>
        <w:fldChar w:fldCharType="end"/>
      </w:r>
      <w:bookmarkEnd w:id="4"/>
      <w:r w:rsidRPr="004A7209">
        <w:rPr>
          <w:sz w:val="22"/>
          <w:szCs w:val="22"/>
          <w:lang w:eastAsia="ja-JP"/>
        </w:rPr>
        <w:t xml:space="preserve">. </w:t>
      </w:r>
      <w:r w:rsidR="00146E7E">
        <w:rPr>
          <w:sz w:val="22"/>
          <w:szCs w:val="22"/>
          <w:lang w:eastAsia="ja-JP"/>
        </w:rPr>
        <w:t>M</w:t>
      </w:r>
      <w:r w:rsidRPr="004A7209">
        <w:rPr>
          <w:sz w:val="22"/>
          <w:szCs w:val="22"/>
          <w:lang w:eastAsia="ja-JP"/>
        </w:rPr>
        <w:t xml:space="preserve">aterial </w:t>
      </w:r>
      <w:r w:rsidR="00146E7E">
        <w:rPr>
          <w:sz w:val="22"/>
          <w:szCs w:val="22"/>
          <w:lang w:eastAsia="ja-JP"/>
        </w:rPr>
        <w:t>and effective building penetration loss measurements</w:t>
      </w:r>
      <w:r w:rsidRPr="004A7209">
        <w:rPr>
          <w:sz w:val="22"/>
          <w:szCs w:val="22"/>
          <w:lang w:eastAsia="ja-JP"/>
        </w:rPr>
        <w:t xml:space="preserve"> </w:t>
      </w:r>
      <w:r w:rsidR="00146E7E">
        <w:rPr>
          <w:sz w:val="22"/>
          <w:szCs w:val="22"/>
          <w:lang w:eastAsia="ja-JP"/>
        </w:rPr>
        <w:fldChar w:fldCharType="begin"/>
      </w:r>
      <w:r w:rsidR="00146E7E">
        <w:rPr>
          <w:sz w:val="22"/>
          <w:szCs w:val="22"/>
          <w:lang w:eastAsia="ja-JP"/>
        </w:rPr>
        <w:instrText xml:space="preserve"> REF _Ref447268164 \r \h </w:instrText>
      </w:r>
      <w:r w:rsidR="00146E7E">
        <w:rPr>
          <w:sz w:val="22"/>
          <w:szCs w:val="22"/>
          <w:lang w:eastAsia="ja-JP"/>
        </w:rPr>
      </w:r>
      <w:r w:rsidR="00146E7E">
        <w:rPr>
          <w:sz w:val="22"/>
          <w:szCs w:val="22"/>
          <w:lang w:eastAsia="ja-JP"/>
        </w:rPr>
        <w:fldChar w:fldCharType="separate"/>
      </w:r>
      <w:r w:rsidR="000462E5">
        <w:rPr>
          <w:sz w:val="22"/>
          <w:szCs w:val="22"/>
          <w:lang w:eastAsia="ja-JP"/>
        </w:rPr>
        <w:t>[4]</w:t>
      </w:r>
      <w:r w:rsidR="00146E7E">
        <w:rPr>
          <w:sz w:val="22"/>
          <w:szCs w:val="22"/>
          <w:lang w:eastAsia="ja-JP"/>
        </w:rPr>
        <w:fldChar w:fldCharType="end"/>
      </w:r>
    </w:p>
    <w:p w:rsidR="00EB4956" w:rsidRPr="004A7209" w:rsidRDefault="00EB4956" w:rsidP="00EB4956">
      <w:pPr>
        <w:rPr>
          <w:sz w:val="22"/>
          <w:szCs w:val="22"/>
          <w:lang w:eastAsia="ja-JP"/>
        </w:rPr>
      </w:pPr>
      <w:r w:rsidRPr="004A7209">
        <w:rPr>
          <w:sz w:val="22"/>
          <w:szCs w:val="22"/>
          <w:lang w:eastAsia="ja-JP"/>
        </w:rPr>
        <w:t>The building penetration loss model according to</w:t>
      </w:r>
      <w:r w:rsidR="003C6236">
        <w:rPr>
          <w:sz w:val="22"/>
          <w:szCs w:val="22"/>
          <w:lang w:eastAsia="ja-JP"/>
        </w:rPr>
        <w:t xml:space="preserve"> </w:t>
      </w:r>
      <w:r w:rsidRPr="004A7209">
        <w:rPr>
          <w:sz w:val="22"/>
          <w:szCs w:val="22"/>
          <w:lang w:eastAsia="ja-JP"/>
        </w:rPr>
        <w:t>the 3D channel model [5] consists of the following parts:</w:t>
      </w:r>
    </w:p>
    <w:p w:rsidR="00EB4956" w:rsidRPr="004A7209" w:rsidRDefault="00EB4956" w:rsidP="00EB4956">
      <w:pPr>
        <w:jc w:val="center"/>
        <w:rPr>
          <w:sz w:val="22"/>
          <w:szCs w:val="22"/>
          <w:lang w:eastAsia="ja-JP"/>
        </w:rPr>
      </w:pPr>
      <m:oMath>
        <m:r>
          <m:rPr>
            <m:sty m:val="p"/>
          </m:rPr>
          <w:rPr>
            <w:rFonts w:ascii="Cambria Math" w:hAnsi="Cambria Math"/>
            <w:sz w:val="22"/>
            <w:szCs w:val="22"/>
            <w:lang w:eastAsia="ja-JP"/>
          </w:rPr>
          <m:t>PL=</m:t>
        </m:r>
        <m:sSub>
          <m:sSubPr>
            <m:ctrlPr>
              <w:rPr>
                <w:rFonts w:ascii="Cambria Math" w:hAnsi="Cambria Math"/>
                <w:sz w:val="22"/>
                <w:szCs w:val="22"/>
                <w:lang w:eastAsia="ja-JP"/>
              </w:rPr>
            </m:ctrlPr>
          </m:sSubPr>
          <m:e>
            <m:r>
              <m:rPr>
                <m:sty m:val="p"/>
              </m:rPr>
              <w:rPr>
                <w:rFonts w:ascii="Cambria Math" w:hAnsi="Cambria Math"/>
                <w:sz w:val="22"/>
                <w:szCs w:val="22"/>
                <w:lang w:eastAsia="ja-JP"/>
              </w:rPr>
              <m:t>PL</m:t>
            </m:r>
          </m:e>
          <m:sub>
            <m:r>
              <m:rPr>
                <m:sty m:val="p"/>
              </m:rPr>
              <w:rPr>
                <w:rFonts w:ascii="Cambria Math" w:hAnsi="Cambria Math"/>
                <w:sz w:val="22"/>
                <w:szCs w:val="22"/>
                <w:lang w:eastAsia="ja-JP"/>
              </w:rPr>
              <m:t>b</m:t>
            </m:r>
          </m:sub>
        </m:sSub>
        <m:r>
          <m:rPr>
            <m:sty m:val="p"/>
          </m:rPr>
          <w:rPr>
            <w:rFonts w:ascii="Cambria Math" w:hAnsi="Cambria Math"/>
            <w:sz w:val="22"/>
            <w:szCs w:val="22"/>
            <w:lang w:eastAsia="ja-JP"/>
          </w:rPr>
          <m:t>+</m:t>
        </m:r>
        <m:sSub>
          <m:sSubPr>
            <m:ctrlPr>
              <w:rPr>
                <w:rFonts w:ascii="Cambria Math" w:hAnsi="Cambria Math"/>
                <w:sz w:val="22"/>
                <w:szCs w:val="22"/>
                <w:lang w:eastAsia="ja-JP"/>
              </w:rPr>
            </m:ctrlPr>
          </m:sSubPr>
          <m:e>
            <m:r>
              <m:rPr>
                <m:sty m:val="p"/>
              </m:rPr>
              <w:rPr>
                <w:rFonts w:ascii="Cambria Math" w:hAnsi="Cambria Math"/>
                <w:sz w:val="22"/>
                <w:szCs w:val="22"/>
                <w:lang w:eastAsia="ja-JP"/>
              </w:rPr>
              <m:t>PL</m:t>
            </m:r>
          </m:e>
          <m:sub>
            <m:r>
              <m:rPr>
                <m:sty m:val="p"/>
              </m:rPr>
              <w:rPr>
                <w:rFonts w:ascii="Cambria Math" w:hAnsi="Cambria Math"/>
                <w:sz w:val="22"/>
                <w:szCs w:val="22"/>
                <w:lang w:eastAsia="ja-JP"/>
              </w:rPr>
              <m:t>tw</m:t>
            </m:r>
          </m:sub>
        </m:sSub>
        <m:r>
          <m:rPr>
            <m:sty m:val="p"/>
          </m:rPr>
          <w:rPr>
            <w:rFonts w:ascii="Cambria Math" w:hAnsi="Cambria Math"/>
            <w:sz w:val="22"/>
            <w:szCs w:val="22"/>
            <w:lang w:eastAsia="ja-JP"/>
          </w:rPr>
          <m:t>+</m:t>
        </m:r>
        <m:sSub>
          <m:sSubPr>
            <m:ctrlPr>
              <w:rPr>
                <w:rFonts w:ascii="Cambria Math" w:hAnsi="Cambria Math"/>
                <w:sz w:val="22"/>
                <w:szCs w:val="22"/>
                <w:lang w:eastAsia="ja-JP"/>
              </w:rPr>
            </m:ctrlPr>
          </m:sSubPr>
          <m:e>
            <m:r>
              <m:rPr>
                <m:sty m:val="p"/>
              </m:rPr>
              <w:rPr>
                <w:rFonts w:ascii="Cambria Math" w:hAnsi="Cambria Math"/>
                <w:sz w:val="22"/>
                <w:szCs w:val="22"/>
                <w:lang w:eastAsia="ja-JP"/>
              </w:rPr>
              <m:t>PL</m:t>
            </m:r>
          </m:e>
          <m:sub>
            <m:r>
              <m:rPr>
                <m:sty m:val="p"/>
              </m:rPr>
              <w:rPr>
                <w:rFonts w:ascii="Cambria Math" w:hAnsi="Cambria Math"/>
                <w:sz w:val="22"/>
                <w:szCs w:val="22"/>
                <w:lang w:eastAsia="ja-JP"/>
              </w:rPr>
              <m:t>in</m:t>
            </m:r>
          </m:sub>
        </m:sSub>
        <m:r>
          <m:rPr>
            <m:sty m:val="p"/>
          </m:rPr>
          <w:rPr>
            <w:rFonts w:ascii="Cambria Math" w:hAnsi="Cambria Math"/>
            <w:sz w:val="22"/>
            <w:szCs w:val="22"/>
            <w:lang w:eastAsia="ja-JP"/>
          </w:rPr>
          <m:t>+N</m:t>
        </m:r>
        <m:d>
          <m:dPr>
            <m:ctrlPr>
              <w:rPr>
                <w:rFonts w:ascii="Cambria Math" w:hAnsi="Cambria Math"/>
                <w:sz w:val="22"/>
                <w:szCs w:val="22"/>
                <w:lang w:eastAsia="ja-JP"/>
              </w:rPr>
            </m:ctrlPr>
          </m:dPr>
          <m:e>
            <m:r>
              <m:rPr>
                <m:sty m:val="p"/>
              </m:rPr>
              <w:rPr>
                <w:rFonts w:ascii="Cambria Math" w:hAnsi="Cambria Math"/>
                <w:sz w:val="22"/>
                <w:szCs w:val="22"/>
                <w:lang w:eastAsia="ja-JP"/>
              </w:rPr>
              <m:t>0,σ</m:t>
            </m:r>
          </m:e>
        </m:d>
      </m:oMath>
      <w:r w:rsidRPr="004A7209">
        <w:rPr>
          <w:sz w:val="22"/>
          <w:szCs w:val="22"/>
          <w:lang w:eastAsia="ja-JP"/>
        </w:rPr>
        <w:tab/>
      </w:r>
      <w:r w:rsidRPr="004A7209">
        <w:rPr>
          <w:sz w:val="22"/>
          <w:szCs w:val="22"/>
          <w:lang w:eastAsia="ja-JP"/>
        </w:rPr>
        <w:tab/>
      </w:r>
      <w:r w:rsidRPr="004A7209">
        <w:rPr>
          <w:sz w:val="22"/>
          <w:szCs w:val="22"/>
          <w:lang w:eastAsia="ja-JP"/>
        </w:rPr>
        <w:tab/>
      </w:r>
      <w:r w:rsidRPr="004A7209">
        <w:rPr>
          <w:sz w:val="22"/>
          <w:szCs w:val="22"/>
          <w:lang w:eastAsia="ja-JP"/>
        </w:rPr>
        <w:tab/>
      </w:r>
      <w:r w:rsidRPr="004A7209">
        <w:rPr>
          <w:sz w:val="22"/>
          <w:szCs w:val="22"/>
          <w:lang w:eastAsia="ja-JP"/>
        </w:rPr>
        <w:tab/>
      </w:r>
    </w:p>
    <w:p w:rsidR="00EB4956" w:rsidRPr="004A7209" w:rsidRDefault="00EB4956" w:rsidP="00EB4956">
      <w:pPr>
        <w:rPr>
          <w:sz w:val="22"/>
          <w:szCs w:val="22"/>
          <w:lang w:eastAsia="ja-JP"/>
        </w:rPr>
      </w:pPr>
      <w:r w:rsidRPr="004A7209">
        <w:rPr>
          <w:sz w:val="22"/>
          <w:szCs w:val="22"/>
          <w:lang w:eastAsia="ja-JP"/>
        </w:rPr>
        <w:t xml:space="preserve">where </w:t>
      </w:r>
      <w:r w:rsidRPr="004A7209">
        <w:rPr>
          <w:b/>
          <w:i/>
          <w:sz w:val="22"/>
          <w:szCs w:val="22"/>
          <w:lang w:eastAsia="ja-JP"/>
        </w:rPr>
        <w:t>PL</w:t>
      </w:r>
      <w:r w:rsidRPr="004A7209">
        <w:rPr>
          <w:b/>
          <w:i/>
          <w:sz w:val="22"/>
          <w:szCs w:val="22"/>
          <w:vertAlign w:val="subscript"/>
          <w:lang w:eastAsia="ja-JP"/>
        </w:rPr>
        <w:t>b</w:t>
      </w:r>
      <w:r w:rsidRPr="004A7209">
        <w:rPr>
          <w:sz w:val="22"/>
          <w:szCs w:val="22"/>
          <w:lang w:eastAsia="ja-JP"/>
        </w:rPr>
        <w:t xml:space="preserve"> is the basic outdoor path loss given by the UMa or UMi path loss models, </w:t>
      </w:r>
      <w:r w:rsidRPr="004A7209">
        <w:rPr>
          <w:b/>
          <w:i/>
          <w:sz w:val="22"/>
          <w:szCs w:val="22"/>
          <w:lang w:eastAsia="ja-JP"/>
        </w:rPr>
        <w:t>PL</w:t>
      </w:r>
      <w:r w:rsidRPr="004A7209">
        <w:rPr>
          <w:b/>
          <w:i/>
          <w:sz w:val="22"/>
          <w:szCs w:val="22"/>
          <w:vertAlign w:val="subscript"/>
          <w:lang w:eastAsia="ja-JP"/>
        </w:rPr>
        <w:t>tw</w:t>
      </w:r>
      <w:r w:rsidRPr="004A7209">
        <w:rPr>
          <w:sz w:val="22"/>
          <w:szCs w:val="22"/>
          <w:lang w:eastAsia="ja-JP"/>
        </w:rPr>
        <w:t xml:space="preserve"> is the building penetration loss through the external wall, </w:t>
      </w:r>
      <w:r w:rsidRPr="004A7209">
        <w:rPr>
          <w:b/>
          <w:i/>
          <w:sz w:val="22"/>
          <w:szCs w:val="22"/>
          <w:lang w:eastAsia="ja-JP"/>
        </w:rPr>
        <w:t>PL</w:t>
      </w:r>
      <w:r w:rsidRPr="004A7209">
        <w:rPr>
          <w:b/>
          <w:i/>
          <w:sz w:val="22"/>
          <w:szCs w:val="22"/>
          <w:vertAlign w:val="subscript"/>
          <w:lang w:eastAsia="ja-JP"/>
        </w:rPr>
        <w:t>in</w:t>
      </w:r>
      <w:r w:rsidRPr="004A7209">
        <w:rPr>
          <w:sz w:val="22"/>
          <w:szCs w:val="22"/>
          <w:lang w:eastAsia="ja-JP"/>
        </w:rPr>
        <w:t xml:space="preserve"> is the inside loss dependent on the depth into the building, and </w:t>
      </w:r>
      <w:r w:rsidR="003E0EE3">
        <w:rPr>
          <w:sz w:val="22"/>
          <w:szCs w:val="22"/>
          <w:lang w:eastAsia="ja-JP"/>
        </w:rPr>
        <w:t>σ</w:t>
      </w:r>
      <w:r w:rsidRPr="004A7209">
        <w:rPr>
          <w:sz w:val="22"/>
          <w:szCs w:val="22"/>
          <w:lang w:eastAsia="ja-JP"/>
        </w:rPr>
        <w:t xml:space="preserve"> is the standard deviation. The building penetration loss through the external wall is modelled using the composite approach first described in [6]. In this approach, linear loss as a function of frequency is assumed for any specific material, see </w:t>
      </w:r>
      <w:r w:rsidRPr="004A7209">
        <w:rPr>
          <w:sz w:val="22"/>
          <w:szCs w:val="22"/>
          <w:lang w:eastAsia="ja-JP"/>
        </w:rPr>
        <w:fldChar w:fldCharType="begin"/>
      </w:r>
      <w:r w:rsidRPr="004A7209">
        <w:rPr>
          <w:sz w:val="22"/>
          <w:szCs w:val="22"/>
          <w:lang w:eastAsia="ja-JP"/>
        </w:rPr>
        <w:instrText xml:space="preserve"> REF _Ref445048671  \* MERGEFORMAT </w:instrText>
      </w:r>
      <w:r w:rsidRPr="004A7209">
        <w:rPr>
          <w:sz w:val="22"/>
          <w:szCs w:val="22"/>
          <w:lang w:eastAsia="ja-JP"/>
        </w:rPr>
        <w:fldChar w:fldCharType="separate"/>
      </w:r>
      <w:r w:rsidR="000462E5" w:rsidRPr="000462E5">
        <w:rPr>
          <w:sz w:val="22"/>
          <w:szCs w:val="22"/>
          <w:lang w:eastAsia="ja-JP"/>
        </w:rPr>
        <w:t>Table 1</w:t>
      </w:r>
      <w:r w:rsidRPr="004A7209">
        <w:rPr>
          <w:sz w:val="22"/>
          <w:szCs w:val="22"/>
          <w:lang w:eastAsia="ja-JP"/>
        </w:rPr>
        <w:fldChar w:fldCharType="end"/>
      </w:r>
      <w:r w:rsidRPr="004A7209">
        <w:rPr>
          <w:sz w:val="22"/>
          <w:szCs w:val="22"/>
          <w:lang w:eastAsia="ja-JP"/>
        </w:rPr>
        <w:t>.</w:t>
      </w:r>
    </w:p>
    <w:p w:rsidR="00EB4956" w:rsidRPr="005D43C5" w:rsidRDefault="00EB4956" w:rsidP="00EB4956">
      <w:pPr>
        <w:pStyle w:val="Caption"/>
        <w:rPr>
          <w:rFonts w:ascii="Times New Roman" w:eastAsia="MS Mincho" w:hAnsi="Times New Roman" w:cs="Times New Roman"/>
          <w:b w:val="0"/>
          <w:bCs w:val="0"/>
          <w:sz w:val="22"/>
          <w:szCs w:val="22"/>
          <w:lang w:eastAsia="ja-JP"/>
        </w:rPr>
      </w:pPr>
      <w:bookmarkStart w:id="5" w:name="_Ref445048671"/>
      <w:bookmarkStart w:id="6" w:name="_Ref445048576"/>
      <w:r w:rsidRPr="005D43C5">
        <w:rPr>
          <w:rFonts w:ascii="Times New Roman" w:eastAsia="MS Mincho" w:hAnsi="Times New Roman" w:cs="Times New Roman"/>
          <w:b w:val="0"/>
          <w:bCs w:val="0"/>
          <w:sz w:val="22"/>
          <w:szCs w:val="22"/>
          <w:lang w:eastAsia="ja-JP"/>
        </w:rPr>
        <w:t xml:space="preserve">Table </w:t>
      </w:r>
      <w:r w:rsidRPr="005D43C5">
        <w:rPr>
          <w:rFonts w:ascii="Times New Roman" w:eastAsia="MS Mincho" w:hAnsi="Times New Roman" w:cs="Times New Roman"/>
          <w:b w:val="0"/>
          <w:bCs w:val="0"/>
          <w:sz w:val="22"/>
          <w:szCs w:val="22"/>
          <w:lang w:eastAsia="ja-JP"/>
        </w:rPr>
        <w:fldChar w:fldCharType="begin"/>
      </w:r>
      <w:r w:rsidRPr="005D43C5">
        <w:rPr>
          <w:rFonts w:ascii="Times New Roman" w:eastAsia="MS Mincho" w:hAnsi="Times New Roman" w:cs="Times New Roman"/>
          <w:b w:val="0"/>
          <w:bCs w:val="0"/>
          <w:sz w:val="22"/>
          <w:szCs w:val="22"/>
          <w:lang w:eastAsia="ja-JP"/>
        </w:rPr>
        <w:instrText xml:space="preserve"> SEQ Table \* ARABIC </w:instrText>
      </w:r>
      <w:r w:rsidRPr="005D43C5">
        <w:rPr>
          <w:rFonts w:ascii="Times New Roman" w:eastAsia="MS Mincho" w:hAnsi="Times New Roman" w:cs="Times New Roman"/>
          <w:b w:val="0"/>
          <w:bCs w:val="0"/>
          <w:sz w:val="22"/>
          <w:szCs w:val="22"/>
          <w:lang w:eastAsia="ja-JP"/>
        </w:rPr>
        <w:fldChar w:fldCharType="separate"/>
      </w:r>
      <w:r w:rsidR="000462E5">
        <w:rPr>
          <w:rFonts w:ascii="Times New Roman" w:eastAsia="MS Mincho" w:hAnsi="Times New Roman" w:cs="Times New Roman"/>
          <w:b w:val="0"/>
          <w:bCs w:val="0"/>
          <w:noProof/>
          <w:sz w:val="22"/>
          <w:szCs w:val="22"/>
          <w:lang w:eastAsia="ja-JP"/>
        </w:rPr>
        <w:t>1</w:t>
      </w:r>
      <w:r w:rsidRPr="005D43C5">
        <w:rPr>
          <w:rFonts w:ascii="Times New Roman" w:eastAsia="MS Mincho" w:hAnsi="Times New Roman" w:cs="Times New Roman"/>
          <w:b w:val="0"/>
          <w:bCs w:val="0"/>
          <w:sz w:val="22"/>
          <w:szCs w:val="22"/>
          <w:lang w:eastAsia="ja-JP"/>
        </w:rPr>
        <w:fldChar w:fldCharType="end"/>
      </w:r>
      <w:bookmarkEnd w:id="5"/>
      <w:r w:rsidRPr="005D43C5">
        <w:rPr>
          <w:rFonts w:ascii="Times New Roman" w:eastAsia="MS Mincho" w:hAnsi="Times New Roman" w:cs="Times New Roman"/>
          <w:b w:val="0"/>
          <w:bCs w:val="0"/>
          <w:sz w:val="22"/>
          <w:szCs w:val="22"/>
          <w:lang w:eastAsia="ja-JP"/>
        </w:rPr>
        <w:t>. Material penetration losses</w:t>
      </w:r>
      <w:bookmarkEnd w:id="6"/>
    </w:p>
    <w:tbl>
      <w:tblPr>
        <w:tblStyle w:val="TableGrid"/>
        <w:tblW w:w="0" w:type="auto"/>
        <w:tblLook w:val="04A0" w:firstRow="1" w:lastRow="0" w:firstColumn="1" w:lastColumn="0" w:noHBand="0" w:noVBand="1"/>
      </w:tblPr>
      <w:tblGrid>
        <w:gridCol w:w="4621"/>
        <w:gridCol w:w="4622"/>
      </w:tblGrid>
      <w:tr w:rsidR="00EB4956" w:rsidRPr="005D43C5" w:rsidTr="00CD0992">
        <w:trPr>
          <w:cantSplit/>
        </w:trPr>
        <w:tc>
          <w:tcPr>
            <w:tcW w:w="4621" w:type="dxa"/>
          </w:tcPr>
          <w:p w:rsidR="00EB4956" w:rsidRPr="005D43C5" w:rsidRDefault="00EB4956" w:rsidP="00CD0992">
            <w:pPr>
              <w:rPr>
                <w:sz w:val="22"/>
                <w:szCs w:val="22"/>
                <w:lang w:eastAsia="ja-JP"/>
              </w:rPr>
            </w:pPr>
            <w:r w:rsidRPr="005D43C5">
              <w:rPr>
                <w:sz w:val="22"/>
                <w:szCs w:val="22"/>
                <w:lang w:eastAsia="ja-JP"/>
              </w:rPr>
              <w:t>Material</w:t>
            </w:r>
          </w:p>
        </w:tc>
        <w:tc>
          <w:tcPr>
            <w:tcW w:w="4622" w:type="dxa"/>
          </w:tcPr>
          <w:p w:rsidR="00EB4956" w:rsidRPr="005D43C5" w:rsidRDefault="00EB4956" w:rsidP="00CD0992">
            <w:pPr>
              <w:rPr>
                <w:sz w:val="22"/>
                <w:szCs w:val="22"/>
                <w:lang w:eastAsia="ja-JP"/>
              </w:rPr>
            </w:pPr>
            <w:r w:rsidRPr="005D43C5">
              <w:rPr>
                <w:sz w:val="22"/>
                <w:szCs w:val="22"/>
                <w:lang w:eastAsia="ja-JP"/>
              </w:rPr>
              <w:t>Penetration loss [dB]</w:t>
            </w:r>
          </w:p>
        </w:tc>
      </w:tr>
      <w:tr w:rsidR="00EB4956" w:rsidRPr="005D43C5" w:rsidTr="00CD0992">
        <w:trPr>
          <w:cantSplit/>
        </w:trPr>
        <w:tc>
          <w:tcPr>
            <w:tcW w:w="4621" w:type="dxa"/>
          </w:tcPr>
          <w:p w:rsidR="00EB4956" w:rsidRPr="005D43C5" w:rsidRDefault="00EB4956" w:rsidP="00CD0992">
            <w:pPr>
              <w:rPr>
                <w:sz w:val="22"/>
                <w:szCs w:val="22"/>
                <w:lang w:eastAsia="ja-JP"/>
              </w:rPr>
            </w:pPr>
            <w:r w:rsidRPr="005D43C5">
              <w:rPr>
                <w:sz w:val="22"/>
                <w:szCs w:val="22"/>
                <w:lang w:eastAsia="ja-JP"/>
              </w:rPr>
              <w:t>Standard multi-pane glass</w:t>
            </w:r>
          </w:p>
        </w:tc>
        <w:tc>
          <w:tcPr>
            <w:tcW w:w="4622" w:type="dxa"/>
          </w:tcPr>
          <w:p w:rsidR="00EB4956" w:rsidRPr="005D43C5" w:rsidRDefault="009B278C" w:rsidP="00CD0992">
            <w:pPr>
              <w:rPr>
                <w:sz w:val="22"/>
                <w:szCs w:val="22"/>
                <w:lang w:eastAsia="ja-JP"/>
              </w:rPr>
            </w:pPr>
            <m:oMathPara>
              <m:oMath>
                <m:sSub>
                  <m:sSubPr>
                    <m:ctrlPr>
                      <w:rPr>
                        <w:rFonts w:ascii="Cambria Math" w:hAnsi="Cambria Math"/>
                        <w:sz w:val="22"/>
                        <w:szCs w:val="22"/>
                        <w:lang w:eastAsia="ja-JP"/>
                      </w:rPr>
                    </m:ctrlPr>
                  </m:sSubPr>
                  <m:e>
                    <m:r>
                      <m:rPr>
                        <m:sty m:val="p"/>
                      </m:rPr>
                      <w:rPr>
                        <w:rFonts w:ascii="Cambria Math" w:hAnsi="Cambria Math"/>
                        <w:sz w:val="22"/>
                        <w:szCs w:val="22"/>
                        <w:lang w:eastAsia="ja-JP"/>
                      </w:rPr>
                      <m:t>L</m:t>
                    </m:r>
                  </m:e>
                  <m:sub>
                    <m:r>
                      <m:rPr>
                        <m:sty m:val="p"/>
                      </m:rPr>
                      <w:rPr>
                        <w:rFonts w:ascii="Cambria Math" w:hAnsi="Cambria Math"/>
                        <w:sz w:val="22"/>
                        <w:szCs w:val="22"/>
                        <w:lang w:eastAsia="ja-JP"/>
                      </w:rPr>
                      <m:t>glass</m:t>
                    </m:r>
                  </m:sub>
                </m:sSub>
                <m:r>
                  <m:rPr>
                    <m:sty m:val="p"/>
                  </m:rPr>
                  <w:rPr>
                    <w:rFonts w:ascii="Cambria Math" w:hAnsi="Cambria Math"/>
                    <w:sz w:val="22"/>
                    <w:szCs w:val="22"/>
                    <w:lang w:eastAsia="ja-JP"/>
                  </w:rPr>
                  <m:t>=2+0.2</m:t>
                </m:r>
                <m:r>
                  <m:rPr>
                    <m:sty m:val="p"/>
                  </m:rPr>
                  <w:rPr>
                    <w:rFonts w:ascii="Cambria Math" w:eastAsia="Cambria Math" w:hAnsi="Cambria Math"/>
                    <w:sz w:val="22"/>
                    <w:szCs w:val="22"/>
                    <w:lang w:eastAsia="ja-JP"/>
                  </w:rPr>
                  <m:t>⋅f</m:t>
                </m:r>
              </m:oMath>
            </m:oMathPara>
          </w:p>
        </w:tc>
      </w:tr>
      <w:tr w:rsidR="00EB4956" w:rsidRPr="005D43C5" w:rsidTr="00CD0992">
        <w:trPr>
          <w:cantSplit/>
        </w:trPr>
        <w:tc>
          <w:tcPr>
            <w:tcW w:w="4621" w:type="dxa"/>
          </w:tcPr>
          <w:p w:rsidR="00EB4956" w:rsidRPr="005D43C5" w:rsidRDefault="00EB4956" w:rsidP="00CD0992">
            <w:pPr>
              <w:rPr>
                <w:sz w:val="22"/>
                <w:szCs w:val="22"/>
                <w:lang w:eastAsia="ja-JP"/>
              </w:rPr>
            </w:pPr>
            <w:r w:rsidRPr="005D43C5">
              <w:rPr>
                <w:sz w:val="22"/>
                <w:szCs w:val="22"/>
                <w:lang w:eastAsia="ja-JP"/>
              </w:rPr>
              <w:t>IRR glass</w:t>
            </w:r>
          </w:p>
        </w:tc>
        <w:tc>
          <w:tcPr>
            <w:tcW w:w="4622" w:type="dxa"/>
          </w:tcPr>
          <w:p w:rsidR="00EB4956" w:rsidRPr="005D43C5" w:rsidRDefault="009B278C" w:rsidP="00CD0992">
            <w:pPr>
              <w:rPr>
                <w:sz w:val="22"/>
                <w:szCs w:val="22"/>
                <w:lang w:eastAsia="ja-JP"/>
              </w:rPr>
            </w:pPr>
            <m:oMathPara>
              <m:oMath>
                <m:sSub>
                  <m:sSubPr>
                    <m:ctrlPr>
                      <w:rPr>
                        <w:rFonts w:ascii="Cambria Math" w:hAnsi="Cambria Math"/>
                        <w:sz w:val="22"/>
                        <w:szCs w:val="22"/>
                        <w:lang w:eastAsia="ja-JP"/>
                      </w:rPr>
                    </m:ctrlPr>
                  </m:sSubPr>
                  <m:e>
                    <m:r>
                      <m:rPr>
                        <m:sty m:val="p"/>
                      </m:rPr>
                      <w:rPr>
                        <w:rFonts w:ascii="Cambria Math" w:hAnsi="Cambria Math"/>
                        <w:sz w:val="22"/>
                        <w:szCs w:val="22"/>
                        <w:lang w:eastAsia="ja-JP"/>
                      </w:rPr>
                      <m:t>L</m:t>
                    </m:r>
                  </m:e>
                  <m:sub>
                    <m:r>
                      <m:rPr>
                        <m:sty m:val="p"/>
                      </m:rPr>
                      <w:rPr>
                        <w:rFonts w:ascii="Cambria Math" w:hAnsi="Cambria Math"/>
                        <w:sz w:val="22"/>
                        <w:szCs w:val="22"/>
                        <w:lang w:eastAsia="ja-JP"/>
                      </w:rPr>
                      <m:t>IRRglass</m:t>
                    </m:r>
                  </m:sub>
                </m:sSub>
                <m:r>
                  <m:rPr>
                    <m:sty m:val="p"/>
                  </m:rPr>
                  <w:rPr>
                    <w:rFonts w:ascii="Cambria Math" w:hAnsi="Cambria Math"/>
                    <w:sz w:val="22"/>
                    <w:szCs w:val="22"/>
                    <w:lang w:eastAsia="ja-JP"/>
                  </w:rPr>
                  <m:t>=23+0.3</m:t>
                </m:r>
                <m:r>
                  <m:rPr>
                    <m:sty m:val="p"/>
                  </m:rPr>
                  <w:rPr>
                    <w:rFonts w:ascii="Cambria Math" w:eastAsia="Cambria Math" w:hAnsi="Cambria Math"/>
                    <w:sz w:val="22"/>
                    <w:szCs w:val="22"/>
                    <w:lang w:eastAsia="ja-JP"/>
                  </w:rPr>
                  <m:t>⋅f</m:t>
                </m:r>
              </m:oMath>
            </m:oMathPara>
          </w:p>
        </w:tc>
      </w:tr>
      <w:tr w:rsidR="00EB4956" w:rsidRPr="005D43C5" w:rsidTr="00CD0992">
        <w:trPr>
          <w:cantSplit/>
        </w:trPr>
        <w:tc>
          <w:tcPr>
            <w:tcW w:w="4621" w:type="dxa"/>
          </w:tcPr>
          <w:p w:rsidR="00EB4956" w:rsidRPr="005D43C5" w:rsidRDefault="00EB4956" w:rsidP="00CD0992">
            <w:pPr>
              <w:rPr>
                <w:sz w:val="22"/>
                <w:szCs w:val="22"/>
                <w:lang w:eastAsia="ja-JP"/>
              </w:rPr>
            </w:pPr>
            <w:r w:rsidRPr="005D43C5">
              <w:rPr>
                <w:sz w:val="22"/>
                <w:szCs w:val="22"/>
                <w:lang w:eastAsia="ja-JP"/>
              </w:rPr>
              <w:t>Concrete</w:t>
            </w:r>
          </w:p>
        </w:tc>
        <w:tc>
          <w:tcPr>
            <w:tcW w:w="4622" w:type="dxa"/>
          </w:tcPr>
          <w:p w:rsidR="00EB4956" w:rsidRPr="005D43C5" w:rsidRDefault="009B278C" w:rsidP="00CD0992">
            <w:pPr>
              <w:rPr>
                <w:sz w:val="22"/>
                <w:szCs w:val="22"/>
                <w:lang w:eastAsia="ja-JP"/>
              </w:rPr>
            </w:pPr>
            <m:oMathPara>
              <m:oMath>
                <m:sSub>
                  <m:sSubPr>
                    <m:ctrlPr>
                      <w:rPr>
                        <w:rFonts w:ascii="Cambria Math" w:hAnsi="Cambria Math"/>
                        <w:sz w:val="22"/>
                        <w:szCs w:val="22"/>
                        <w:lang w:eastAsia="ja-JP"/>
                      </w:rPr>
                    </m:ctrlPr>
                  </m:sSubPr>
                  <m:e>
                    <m:r>
                      <m:rPr>
                        <m:sty m:val="p"/>
                      </m:rPr>
                      <w:rPr>
                        <w:rFonts w:ascii="Cambria Math" w:hAnsi="Cambria Math"/>
                        <w:sz w:val="22"/>
                        <w:szCs w:val="22"/>
                        <w:lang w:eastAsia="ja-JP"/>
                      </w:rPr>
                      <m:t>L</m:t>
                    </m:r>
                  </m:e>
                  <m:sub>
                    <m:r>
                      <m:rPr>
                        <m:sty m:val="p"/>
                      </m:rPr>
                      <w:rPr>
                        <w:rFonts w:ascii="Cambria Math" w:hAnsi="Cambria Math"/>
                        <w:sz w:val="22"/>
                        <w:szCs w:val="22"/>
                        <w:lang w:eastAsia="ja-JP"/>
                      </w:rPr>
                      <m:t>concrete</m:t>
                    </m:r>
                  </m:sub>
                </m:sSub>
                <m:r>
                  <m:rPr>
                    <m:sty m:val="p"/>
                  </m:rPr>
                  <w:rPr>
                    <w:rFonts w:ascii="Cambria Math" w:hAnsi="Cambria Math"/>
                    <w:sz w:val="22"/>
                    <w:szCs w:val="22"/>
                    <w:lang w:eastAsia="ja-JP"/>
                  </w:rPr>
                  <m:t>=5+4</m:t>
                </m:r>
                <m:r>
                  <m:rPr>
                    <m:sty m:val="p"/>
                  </m:rPr>
                  <w:rPr>
                    <w:rFonts w:ascii="Cambria Math" w:eastAsia="Cambria Math" w:hAnsi="Cambria Math"/>
                    <w:sz w:val="22"/>
                    <w:szCs w:val="22"/>
                    <w:lang w:eastAsia="ja-JP"/>
                  </w:rPr>
                  <m:t>⋅f</m:t>
                </m:r>
              </m:oMath>
            </m:oMathPara>
          </w:p>
        </w:tc>
      </w:tr>
    </w:tbl>
    <w:p w:rsidR="00EB4956" w:rsidRPr="0029608A" w:rsidRDefault="00EB4956" w:rsidP="00EB4956">
      <w:pPr>
        <w:rPr>
          <w:rFonts w:ascii="Arial" w:hAnsi="Arial" w:cs="Arial"/>
          <w:sz w:val="22"/>
          <w:szCs w:val="22"/>
          <w:lang w:eastAsia="ja-JP"/>
        </w:rPr>
      </w:pPr>
    </w:p>
    <w:p w:rsidR="00EB4956" w:rsidRPr="004A7209" w:rsidRDefault="00EB4956" w:rsidP="00EB4956">
      <w:pPr>
        <w:rPr>
          <w:sz w:val="22"/>
          <w:szCs w:val="22"/>
          <w:lang w:eastAsia="ja-JP"/>
        </w:rPr>
      </w:pPr>
      <w:r w:rsidRPr="004A7209">
        <w:rPr>
          <w:sz w:val="22"/>
          <w:szCs w:val="22"/>
          <w:lang w:eastAsia="ja-JP"/>
        </w:rPr>
        <w:lastRenderedPageBreak/>
        <w:t xml:space="preserve">The composite penetration loss is obtained through a weighted average of the transmission through two different materials, where the weight is given by the relative surface area of each material over the façade of the building. Two variants of the model are given, a low loss and a high loss model, see </w:t>
      </w:r>
      <w:r w:rsidRPr="004A7209">
        <w:rPr>
          <w:sz w:val="22"/>
          <w:szCs w:val="22"/>
          <w:lang w:eastAsia="ja-JP"/>
        </w:rPr>
        <w:fldChar w:fldCharType="begin"/>
      </w:r>
      <w:r w:rsidRPr="004A7209">
        <w:rPr>
          <w:sz w:val="22"/>
          <w:szCs w:val="22"/>
          <w:lang w:eastAsia="ja-JP"/>
        </w:rPr>
        <w:instrText xml:space="preserve"> REF _Ref445049023  \* MERGEFORMAT </w:instrText>
      </w:r>
      <w:r w:rsidRPr="004A7209">
        <w:rPr>
          <w:sz w:val="22"/>
          <w:szCs w:val="22"/>
          <w:lang w:eastAsia="ja-JP"/>
        </w:rPr>
        <w:fldChar w:fldCharType="separate"/>
      </w:r>
      <w:r w:rsidR="000462E5" w:rsidRPr="000462E5">
        <w:rPr>
          <w:sz w:val="22"/>
          <w:szCs w:val="22"/>
          <w:lang w:eastAsia="ja-JP"/>
        </w:rPr>
        <w:t>Table 2</w:t>
      </w:r>
      <w:r w:rsidRPr="004A7209">
        <w:rPr>
          <w:sz w:val="22"/>
          <w:szCs w:val="22"/>
          <w:lang w:eastAsia="ja-JP"/>
        </w:rPr>
        <w:fldChar w:fldCharType="end"/>
      </w:r>
      <w:r w:rsidRPr="004A7209">
        <w:rPr>
          <w:sz w:val="22"/>
          <w:szCs w:val="22"/>
          <w:lang w:eastAsia="ja-JP"/>
        </w:rPr>
        <w:t xml:space="preserve">. An additional loss of 5 dB has been added to the external wall loss to account for non-perpendicular incidence. The indoor loss has been selected at 0.5 dB/m to maintain consistency with the 3D SCM [5]. Finally, the standard deviation has been tentatively selected based on the experience from the reported measurements. </w:t>
      </w:r>
    </w:p>
    <w:p w:rsidR="00EB4956" w:rsidRPr="005D43C5" w:rsidRDefault="00EB4956" w:rsidP="00EB4956">
      <w:pPr>
        <w:pStyle w:val="Caption"/>
        <w:rPr>
          <w:rFonts w:ascii="Times New Roman" w:eastAsia="MS Mincho" w:hAnsi="Times New Roman" w:cs="Times New Roman"/>
          <w:b w:val="0"/>
          <w:bCs w:val="0"/>
          <w:sz w:val="22"/>
          <w:szCs w:val="22"/>
          <w:lang w:eastAsia="ja-JP"/>
        </w:rPr>
      </w:pPr>
      <w:bookmarkStart w:id="7" w:name="_Ref445049023"/>
      <w:r w:rsidRPr="005D43C5">
        <w:rPr>
          <w:rFonts w:ascii="Times New Roman" w:eastAsia="MS Mincho" w:hAnsi="Times New Roman" w:cs="Times New Roman"/>
          <w:b w:val="0"/>
          <w:bCs w:val="0"/>
          <w:sz w:val="22"/>
          <w:szCs w:val="22"/>
          <w:lang w:eastAsia="ja-JP"/>
        </w:rPr>
        <w:t xml:space="preserve">Table </w:t>
      </w:r>
      <w:r w:rsidRPr="005D43C5">
        <w:rPr>
          <w:rFonts w:ascii="Times New Roman" w:eastAsia="MS Mincho" w:hAnsi="Times New Roman" w:cs="Times New Roman"/>
          <w:b w:val="0"/>
          <w:bCs w:val="0"/>
          <w:sz w:val="22"/>
          <w:szCs w:val="22"/>
          <w:lang w:eastAsia="ja-JP"/>
        </w:rPr>
        <w:fldChar w:fldCharType="begin"/>
      </w:r>
      <w:r w:rsidRPr="005D43C5">
        <w:rPr>
          <w:rFonts w:ascii="Times New Roman" w:eastAsia="MS Mincho" w:hAnsi="Times New Roman" w:cs="Times New Roman"/>
          <w:b w:val="0"/>
          <w:bCs w:val="0"/>
          <w:sz w:val="22"/>
          <w:szCs w:val="22"/>
          <w:lang w:eastAsia="ja-JP"/>
        </w:rPr>
        <w:instrText xml:space="preserve"> SEQ Table \* ARABIC </w:instrText>
      </w:r>
      <w:r w:rsidRPr="005D43C5">
        <w:rPr>
          <w:rFonts w:ascii="Times New Roman" w:eastAsia="MS Mincho" w:hAnsi="Times New Roman" w:cs="Times New Roman"/>
          <w:b w:val="0"/>
          <w:bCs w:val="0"/>
          <w:sz w:val="22"/>
          <w:szCs w:val="22"/>
          <w:lang w:eastAsia="ja-JP"/>
        </w:rPr>
        <w:fldChar w:fldCharType="separate"/>
      </w:r>
      <w:r w:rsidR="000462E5">
        <w:rPr>
          <w:rFonts w:ascii="Times New Roman" w:eastAsia="MS Mincho" w:hAnsi="Times New Roman" w:cs="Times New Roman"/>
          <w:b w:val="0"/>
          <w:bCs w:val="0"/>
          <w:noProof/>
          <w:sz w:val="22"/>
          <w:szCs w:val="22"/>
          <w:lang w:eastAsia="ja-JP"/>
        </w:rPr>
        <w:t>2</w:t>
      </w:r>
      <w:r w:rsidRPr="005D43C5">
        <w:rPr>
          <w:rFonts w:ascii="Times New Roman" w:eastAsia="MS Mincho" w:hAnsi="Times New Roman" w:cs="Times New Roman"/>
          <w:b w:val="0"/>
          <w:bCs w:val="0"/>
          <w:sz w:val="22"/>
          <w:szCs w:val="22"/>
          <w:lang w:eastAsia="ja-JP"/>
        </w:rPr>
        <w:fldChar w:fldCharType="end"/>
      </w:r>
      <w:bookmarkEnd w:id="7"/>
      <w:r w:rsidRPr="005D43C5">
        <w:rPr>
          <w:rFonts w:ascii="Times New Roman" w:eastAsia="MS Mincho" w:hAnsi="Times New Roman" w:cs="Times New Roman"/>
          <w:b w:val="0"/>
          <w:bCs w:val="0"/>
          <w:sz w:val="22"/>
          <w:szCs w:val="22"/>
          <w:lang w:eastAsia="ja-JP"/>
        </w:rPr>
        <w:t xml:space="preserve"> Recommended building penetration loss model</w:t>
      </w:r>
    </w:p>
    <w:tbl>
      <w:tblPr>
        <w:tblStyle w:val="TableGrid"/>
        <w:tblW w:w="0" w:type="auto"/>
        <w:tblLook w:val="04A0" w:firstRow="1" w:lastRow="0" w:firstColumn="1" w:lastColumn="0" w:noHBand="0" w:noVBand="1"/>
      </w:tblPr>
      <w:tblGrid>
        <w:gridCol w:w="2310"/>
        <w:gridCol w:w="3327"/>
        <w:gridCol w:w="1295"/>
        <w:gridCol w:w="2311"/>
      </w:tblGrid>
      <w:tr w:rsidR="00EB4956" w:rsidRPr="005D43C5" w:rsidTr="00CD0992">
        <w:tc>
          <w:tcPr>
            <w:tcW w:w="2310" w:type="dxa"/>
          </w:tcPr>
          <w:p w:rsidR="00EB4956" w:rsidRPr="005D43C5" w:rsidRDefault="00EB4956" w:rsidP="00CD0992">
            <w:pPr>
              <w:rPr>
                <w:sz w:val="22"/>
                <w:szCs w:val="22"/>
                <w:lang w:eastAsia="ja-JP"/>
              </w:rPr>
            </w:pPr>
            <w:r w:rsidRPr="005D43C5">
              <w:rPr>
                <w:sz w:val="22"/>
                <w:szCs w:val="22"/>
                <w:lang w:eastAsia="ja-JP"/>
              </w:rPr>
              <w:t> </w:t>
            </w:r>
          </w:p>
        </w:tc>
        <w:tc>
          <w:tcPr>
            <w:tcW w:w="3327" w:type="dxa"/>
          </w:tcPr>
          <w:p w:rsidR="00EB4956" w:rsidRPr="005D43C5" w:rsidRDefault="00EB4956" w:rsidP="00CD0992">
            <w:pPr>
              <w:rPr>
                <w:sz w:val="22"/>
                <w:szCs w:val="22"/>
                <w:lang w:eastAsia="ja-JP"/>
              </w:rPr>
            </w:pPr>
            <w:r w:rsidRPr="005D43C5">
              <w:rPr>
                <w:sz w:val="22"/>
                <w:szCs w:val="22"/>
                <w:lang w:eastAsia="ja-JP"/>
              </w:rPr>
              <w:t xml:space="preserve">Path loss through external wall: </w:t>
            </w:r>
            <m:oMath>
              <m:sSub>
                <m:sSubPr>
                  <m:ctrlPr>
                    <w:rPr>
                      <w:rFonts w:ascii="Cambria Math" w:hAnsi="Cambria Math"/>
                      <w:sz w:val="22"/>
                      <w:szCs w:val="22"/>
                      <w:lang w:eastAsia="ja-JP"/>
                    </w:rPr>
                  </m:ctrlPr>
                </m:sSubPr>
                <m:e>
                  <m:r>
                    <m:rPr>
                      <m:sty m:val="p"/>
                    </m:rPr>
                    <w:rPr>
                      <w:rFonts w:ascii="Cambria Math" w:hAnsi="Cambria Math"/>
                      <w:sz w:val="22"/>
                      <w:szCs w:val="22"/>
                      <w:lang w:eastAsia="ja-JP"/>
                    </w:rPr>
                    <m:t>PL</m:t>
                  </m:r>
                </m:e>
                <m:sub>
                  <m:r>
                    <m:rPr>
                      <m:sty m:val="p"/>
                    </m:rPr>
                    <w:rPr>
                      <w:rFonts w:ascii="Cambria Math" w:hAnsi="Cambria Math"/>
                      <w:sz w:val="22"/>
                      <w:szCs w:val="22"/>
                      <w:lang w:eastAsia="ja-JP"/>
                    </w:rPr>
                    <m:t>tw</m:t>
                  </m:r>
                </m:sub>
              </m:sSub>
            </m:oMath>
            <w:r w:rsidRPr="005D43C5">
              <w:rPr>
                <w:sz w:val="22"/>
                <w:szCs w:val="22"/>
                <w:lang w:eastAsia="ja-JP"/>
              </w:rPr>
              <w:t xml:space="preserve"> [dB]</w:t>
            </w:r>
          </w:p>
        </w:tc>
        <w:tc>
          <w:tcPr>
            <w:tcW w:w="1295" w:type="dxa"/>
          </w:tcPr>
          <w:p w:rsidR="00EB4956" w:rsidRPr="005D43C5" w:rsidRDefault="00EB4956" w:rsidP="00CD0992">
            <w:pPr>
              <w:rPr>
                <w:sz w:val="22"/>
                <w:szCs w:val="22"/>
                <w:lang w:eastAsia="ja-JP"/>
              </w:rPr>
            </w:pPr>
            <w:r w:rsidRPr="005D43C5">
              <w:rPr>
                <w:sz w:val="22"/>
                <w:szCs w:val="22"/>
                <w:lang w:eastAsia="ja-JP"/>
              </w:rPr>
              <w:t xml:space="preserve">Indoor loss: </w:t>
            </w:r>
            <m:oMath>
              <m:sSub>
                <m:sSubPr>
                  <m:ctrlPr>
                    <w:rPr>
                      <w:rFonts w:ascii="Cambria Math" w:hAnsi="Cambria Math"/>
                      <w:sz w:val="22"/>
                      <w:szCs w:val="22"/>
                      <w:lang w:eastAsia="ja-JP"/>
                    </w:rPr>
                  </m:ctrlPr>
                </m:sSubPr>
                <m:e>
                  <m:r>
                    <m:rPr>
                      <m:sty m:val="p"/>
                    </m:rPr>
                    <w:rPr>
                      <w:rFonts w:ascii="Cambria Math" w:hAnsi="Cambria Math"/>
                      <w:sz w:val="22"/>
                      <w:szCs w:val="22"/>
                      <w:lang w:eastAsia="ja-JP"/>
                    </w:rPr>
                    <m:t>PL</m:t>
                  </m:r>
                </m:e>
                <m:sub>
                  <m:r>
                    <m:rPr>
                      <m:sty m:val="p"/>
                    </m:rPr>
                    <w:rPr>
                      <w:rFonts w:ascii="Cambria Math" w:hAnsi="Cambria Math"/>
                      <w:sz w:val="22"/>
                      <w:szCs w:val="22"/>
                      <w:lang w:eastAsia="ja-JP"/>
                    </w:rPr>
                    <m:t>in</m:t>
                  </m:r>
                </m:sub>
              </m:sSub>
            </m:oMath>
            <w:r w:rsidRPr="005D43C5">
              <w:rPr>
                <w:sz w:val="22"/>
                <w:szCs w:val="22"/>
                <w:lang w:eastAsia="ja-JP"/>
              </w:rPr>
              <w:t xml:space="preserve"> [dB/m]</w:t>
            </w:r>
          </w:p>
        </w:tc>
        <w:tc>
          <w:tcPr>
            <w:tcW w:w="2311" w:type="dxa"/>
          </w:tcPr>
          <w:p w:rsidR="00EB4956" w:rsidRPr="005D43C5" w:rsidRDefault="00EB4956" w:rsidP="00CD0992">
            <w:pPr>
              <w:rPr>
                <w:sz w:val="22"/>
                <w:szCs w:val="22"/>
                <w:lang w:eastAsia="ja-JP"/>
              </w:rPr>
            </w:pPr>
            <w:r w:rsidRPr="005D43C5">
              <w:rPr>
                <w:sz w:val="22"/>
                <w:szCs w:val="22"/>
                <w:lang w:eastAsia="ja-JP"/>
              </w:rPr>
              <w:t xml:space="preserve">Standard deviation: </w:t>
            </w:r>
            <m:oMath>
              <m:r>
                <m:rPr>
                  <m:sty m:val="p"/>
                </m:rPr>
                <w:rPr>
                  <w:rFonts w:ascii="Cambria Math" w:hAnsi="Cambria Math"/>
                  <w:sz w:val="22"/>
                  <w:szCs w:val="22"/>
                  <w:lang w:eastAsia="ja-JP"/>
                </w:rPr>
                <m:t>σ</m:t>
              </m:r>
            </m:oMath>
            <w:r w:rsidRPr="005D43C5">
              <w:rPr>
                <w:sz w:val="22"/>
                <w:szCs w:val="22"/>
                <w:lang w:eastAsia="ja-JP"/>
              </w:rPr>
              <w:t xml:space="preserve"> [dB]</w:t>
            </w:r>
          </w:p>
        </w:tc>
      </w:tr>
      <w:tr w:rsidR="00EB4956" w:rsidRPr="005D43C5" w:rsidTr="00CD0992">
        <w:tc>
          <w:tcPr>
            <w:tcW w:w="2310" w:type="dxa"/>
          </w:tcPr>
          <w:p w:rsidR="00EB4956" w:rsidRPr="005D43C5" w:rsidRDefault="00EB4956" w:rsidP="00CD0992">
            <w:pPr>
              <w:rPr>
                <w:sz w:val="22"/>
                <w:szCs w:val="22"/>
                <w:lang w:eastAsia="ja-JP"/>
              </w:rPr>
            </w:pPr>
            <w:r w:rsidRPr="005D43C5">
              <w:rPr>
                <w:sz w:val="22"/>
                <w:szCs w:val="22"/>
                <w:lang w:eastAsia="ja-JP"/>
              </w:rPr>
              <w:t>Low loss model</w:t>
            </w:r>
          </w:p>
        </w:tc>
        <w:tc>
          <w:tcPr>
            <w:tcW w:w="3327" w:type="dxa"/>
          </w:tcPr>
          <w:p w:rsidR="00EB4956" w:rsidRPr="005D43C5" w:rsidRDefault="00EB4956" w:rsidP="00CD0992">
            <w:pPr>
              <w:rPr>
                <w:sz w:val="22"/>
                <w:szCs w:val="22"/>
                <w:lang w:eastAsia="ja-JP"/>
              </w:rPr>
            </w:pPr>
            <m:oMathPara>
              <m:oMath>
                <m:r>
                  <m:rPr>
                    <m:sty m:val="p"/>
                  </m:rPr>
                  <w:rPr>
                    <w:rFonts w:ascii="Cambria Math" w:hAnsi="Cambria Math"/>
                    <w:sz w:val="22"/>
                    <w:szCs w:val="22"/>
                    <w:lang w:eastAsia="ja-JP"/>
                  </w:rPr>
                  <m:t>5-10</m:t>
                </m:r>
                <m:sSub>
                  <m:sSubPr>
                    <m:ctrlPr>
                      <w:rPr>
                        <w:rFonts w:ascii="Cambria Math" w:hAnsi="Cambria Math"/>
                        <w:sz w:val="22"/>
                        <w:szCs w:val="22"/>
                        <w:lang w:eastAsia="ja-JP"/>
                      </w:rPr>
                    </m:ctrlPr>
                  </m:sSubPr>
                  <m:e>
                    <m:r>
                      <m:rPr>
                        <m:sty m:val="p"/>
                      </m:rPr>
                      <w:rPr>
                        <w:rFonts w:ascii="Cambria Math" w:hAnsi="Cambria Math"/>
                        <w:sz w:val="22"/>
                        <w:szCs w:val="22"/>
                        <w:lang w:eastAsia="ja-JP"/>
                      </w:rPr>
                      <m:t>log</m:t>
                    </m:r>
                  </m:e>
                  <m:sub>
                    <m:r>
                      <m:rPr>
                        <m:sty m:val="p"/>
                      </m:rPr>
                      <w:rPr>
                        <w:rFonts w:ascii="Cambria Math" w:hAnsi="Cambria Math"/>
                        <w:sz w:val="22"/>
                        <w:szCs w:val="22"/>
                        <w:lang w:eastAsia="ja-JP"/>
                      </w:rPr>
                      <m:t>10</m:t>
                    </m:r>
                  </m:sub>
                </m:sSub>
                <m:d>
                  <m:dPr>
                    <m:ctrlPr>
                      <w:rPr>
                        <w:rFonts w:ascii="Cambria Math" w:hAnsi="Cambria Math"/>
                        <w:sz w:val="22"/>
                        <w:szCs w:val="22"/>
                        <w:lang w:eastAsia="ja-JP"/>
                      </w:rPr>
                    </m:ctrlPr>
                  </m:dPr>
                  <m:e>
                    <m:r>
                      <m:rPr>
                        <m:sty m:val="p"/>
                      </m:rPr>
                      <w:rPr>
                        <w:rFonts w:ascii="Cambria Math" w:hAnsi="Cambria Math"/>
                        <w:sz w:val="22"/>
                        <w:szCs w:val="22"/>
                        <w:lang w:eastAsia="ja-JP"/>
                      </w:rPr>
                      <m:t>0.3</m:t>
                    </m:r>
                    <m:r>
                      <m:rPr>
                        <m:sty m:val="p"/>
                      </m:rPr>
                      <w:rPr>
                        <w:rFonts w:ascii="Cambria Math" w:eastAsia="Cambria Math" w:hAnsi="Cambria Math"/>
                        <w:sz w:val="22"/>
                        <w:szCs w:val="22"/>
                        <w:lang w:eastAsia="ja-JP"/>
                      </w:rPr>
                      <m:t>⋅</m:t>
                    </m:r>
                    <m:sSup>
                      <m:sSupPr>
                        <m:ctrlPr>
                          <w:rPr>
                            <w:rFonts w:ascii="Cambria Math" w:eastAsia="Cambria Math" w:hAnsi="Cambria Math"/>
                            <w:sz w:val="22"/>
                            <w:szCs w:val="22"/>
                            <w:lang w:eastAsia="ja-JP"/>
                          </w:rPr>
                        </m:ctrlPr>
                      </m:sSupPr>
                      <m:e>
                        <m:r>
                          <m:rPr>
                            <m:sty m:val="p"/>
                          </m:rPr>
                          <w:rPr>
                            <w:rFonts w:ascii="Cambria Math" w:eastAsia="Cambria Math" w:hAnsi="Cambria Math"/>
                            <w:sz w:val="22"/>
                            <w:szCs w:val="22"/>
                            <w:lang w:eastAsia="ja-JP"/>
                          </w:rPr>
                          <m:t>10</m:t>
                        </m:r>
                      </m:e>
                      <m:sup>
                        <m:r>
                          <m:rPr>
                            <m:sty m:val="p"/>
                          </m:rPr>
                          <w:rPr>
                            <w:rFonts w:ascii="Cambria Math" w:eastAsia="Cambria Math" w:hAnsi="Cambria Math"/>
                            <w:sz w:val="22"/>
                            <w:szCs w:val="22"/>
                            <w:lang w:eastAsia="ja-JP"/>
                          </w:rPr>
                          <m:t>-</m:t>
                        </m:r>
                        <m:f>
                          <m:fPr>
                            <m:type m:val="lin"/>
                            <m:ctrlPr>
                              <w:rPr>
                                <w:rFonts w:ascii="Cambria Math" w:eastAsia="Cambria Math" w:hAnsi="Cambria Math"/>
                                <w:sz w:val="22"/>
                                <w:szCs w:val="22"/>
                                <w:lang w:eastAsia="ja-JP"/>
                              </w:rPr>
                            </m:ctrlPr>
                          </m:fPr>
                          <m:num>
                            <m:sSub>
                              <m:sSubPr>
                                <m:ctrlPr>
                                  <w:rPr>
                                    <w:rFonts w:ascii="Cambria Math" w:eastAsia="Cambria Math" w:hAnsi="Cambria Math"/>
                                    <w:sz w:val="22"/>
                                    <w:szCs w:val="22"/>
                                    <w:lang w:eastAsia="ja-JP"/>
                                  </w:rPr>
                                </m:ctrlPr>
                              </m:sSubPr>
                              <m:e>
                                <m:r>
                                  <m:rPr>
                                    <m:sty m:val="p"/>
                                  </m:rPr>
                                  <w:rPr>
                                    <w:rFonts w:ascii="Cambria Math" w:eastAsia="Cambria Math" w:hAnsi="Cambria Math"/>
                                    <w:sz w:val="22"/>
                                    <w:szCs w:val="22"/>
                                    <w:lang w:eastAsia="ja-JP"/>
                                  </w:rPr>
                                  <m:t>L</m:t>
                                </m:r>
                              </m:e>
                              <m:sub>
                                <m:r>
                                  <m:rPr>
                                    <m:sty m:val="p"/>
                                  </m:rPr>
                                  <w:rPr>
                                    <w:rFonts w:ascii="Cambria Math" w:eastAsia="Cambria Math" w:hAnsi="Cambria Math"/>
                                    <w:sz w:val="22"/>
                                    <w:szCs w:val="22"/>
                                    <w:lang w:eastAsia="ja-JP"/>
                                  </w:rPr>
                                  <m:t>glass</m:t>
                                </m:r>
                              </m:sub>
                            </m:sSub>
                          </m:num>
                          <m:den>
                            <m:r>
                              <m:rPr>
                                <m:sty m:val="p"/>
                              </m:rPr>
                              <w:rPr>
                                <w:rFonts w:ascii="Cambria Math" w:eastAsia="Cambria Math" w:hAnsi="Cambria Math"/>
                                <w:sz w:val="22"/>
                                <w:szCs w:val="22"/>
                                <w:lang w:eastAsia="ja-JP"/>
                              </w:rPr>
                              <m:t>10</m:t>
                            </m:r>
                          </m:den>
                        </m:f>
                      </m:sup>
                    </m:sSup>
                    <m:r>
                      <m:rPr>
                        <m:sty m:val="p"/>
                      </m:rPr>
                      <w:rPr>
                        <w:rFonts w:ascii="Cambria Math" w:eastAsia="Cambria Math" w:hAnsi="Cambria Math"/>
                        <w:sz w:val="22"/>
                        <w:szCs w:val="22"/>
                        <w:lang w:eastAsia="ja-JP"/>
                      </w:rPr>
                      <m:t>+</m:t>
                    </m:r>
                    <m:r>
                      <m:rPr>
                        <m:sty m:val="p"/>
                      </m:rPr>
                      <w:rPr>
                        <w:rFonts w:ascii="Cambria Math" w:hAnsi="Cambria Math"/>
                        <w:sz w:val="22"/>
                        <w:szCs w:val="22"/>
                        <w:lang w:eastAsia="ja-JP"/>
                      </w:rPr>
                      <m:t>0.7</m:t>
                    </m:r>
                    <m:r>
                      <m:rPr>
                        <m:sty m:val="p"/>
                      </m:rPr>
                      <w:rPr>
                        <w:rFonts w:ascii="Cambria Math" w:eastAsia="Cambria Math" w:hAnsi="Cambria Math"/>
                        <w:sz w:val="22"/>
                        <w:szCs w:val="22"/>
                        <w:lang w:eastAsia="ja-JP"/>
                      </w:rPr>
                      <m:t>⋅</m:t>
                    </m:r>
                    <m:sSup>
                      <m:sSupPr>
                        <m:ctrlPr>
                          <w:rPr>
                            <w:rFonts w:ascii="Cambria Math" w:eastAsia="Cambria Math" w:hAnsi="Cambria Math"/>
                            <w:sz w:val="22"/>
                            <w:szCs w:val="22"/>
                            <w:lang w:eastAsia="ja-JP"/>
                          </w:rPr>
                        </m:ctrlPr>
                      </m:sSupPr>
                      <m:e>
                        <m:r>
                          <m:rPr>
                            <m:sty m:val="p"/>
                          </m:rPr>
                          <w:rPr>
                            <w:rFonts w:ascii="Cambria Math" w:eastAsia="Cambria Math" w:hAnsi="Cambria Math"/>
                            <w:sz w:val="22"/>
                            <w:szCs w:val="22"/>
                            <w:lang w:eastAsia="ja-JP"/>
                          </w:rPr>
                          <m:t>10</m:t>
                        </m:r>
                      </m:e>
                      <m:sup>
                        <m:r>
                          <m:rPr>
                            <m:sty m:val="p"/>
                          </m:rPr>
                          <w:rPr>
                            <w:rFonts w:ascii="Cambria Math" w:eastAsia="Cambria Math" w:hAnsi="Cambria Math"/>
                            <w:sz w:val="22"/>
                            <w:szCs w:val="22"/>
                            <w:lang w:eastAsia="ja-JP"/>
                          </w:rPr>
                          <m:t>-</m:t>
                        </m:r>
                        <m:f>
                          <m:fPr>
                            <m:type m:val="lin"/>
                            <m:ctrlPr>
                              <w:rPr>
                                <w:rFonts w:ascii="Cambria Math" w:eastAsia="Cambria Math" w:hAnsi="Cambria Math"/>
                                <w:sz w:val="22"/>
                                <w:szCs w:val="22"/>
                                <w:lang w:eastAsia="ja-JP"/>
                              </w:rPr>
                            </m:ctrlPr>
                          </m:fPr>
                          <m:num>
                            <m:sSub>
                              <m:sSubPr>
                                <m:ctrlPr>
                                  <w:rPr>
                                    <w:rFonts w:ascii="Cambria Math" w:eastAsia="Cambria Math" w:hAnsi="Cambria Math"/>
                                    <w:sz w:val="22"/>
                                    <w:szCs w:val="22"/>
                                    <w:lang w:eastAsia="ja-JP"/>
                                  </w:rPr>
                                </m:ctrlPr>
                              </m:sSubPr>
                              <m:e>
                                <m:r>
                                  <m:rPr>
                                    <m:sty m:val="p"/>
                                  </m:rPr>
                                  <w:rPr>
                                    <w:rFonts w:ascii="Cambria Math" w:eastAsia="Cambria Math" w:hAnsi="Cambria Math"/>
                                    <w:sz w:val="22"/>
                                    <w:szCs w:val="22"/>
                                    <w:lang w:eastAsia="ja-JP"/>
                                  </w:rPr>
                                  <m:t>L</m:t>
                                </m:r>
                              </m:e>
                              <m:sub>
                                <m:r>
                                  <m:rPr>
                                    <m:sty m:val="p"/>
                                  </m:rPr>
                                  <w:rPr>
                                    <w:rFonts w:ascii="Cambria Math" w:eastAsia="Cambria Math" w:hAnsi="Cambria Math"/>
                                    <w:sz w:val="22"/>
                                    <w:szCs w:val="22"/>
                                    <w:lang w:eastAsia="ja-JP"/>
                                  </w:rPr>
                                  <m:t>concrete</m:t>
                                </m:r>
                              </m:sub>
                            </m:sSub>
                          </m:num>
                          <m:den>
                            <m:r>
                              <m:rPr>
                                <m:sty m:val="p"/>
                              </m:rPr>
                              <w:rPr>
                                <w:rFonts w:ascii="Cambria Math" w:eastAsia="Cambria Math" w:hAnsi="Cambria Math"/>
                                <w:sz w:val="22"/>
                                <w:szCs w:val="22"/>
                                <w:lang w:eastAsia="ja-JP"/>
                              </w:rPr>
                              <m:t>10</m:t>
                            </m:r>
                          </m:den>
                        </m:f>
                      </m:sup>
                    </m:sSup>
                  </m:e>
                </m:d>
              </m:oMath>
            </m:oMathPara>
          </w:p>
        </w:tc>
        <w:tc>
          <w:tcPr>
            <w:tcW w:w="1295" w:type="dxa"/>
          </w:tcPr>
          <w:p w:rsidR="00EB4956" w:rsidRPr="005D43C5" w:rsidRDefault="00EB4956" w:rsidP="00CD0992">
            <w:pPr>
              <w:rPr>
                <w:sz w:val="22"/>
                <w:szCs w:val="22"/>
                <w:lang w:eastAsia="ja-JP"/>
              </w:rPr>
            </w:pPr>
            <w:r w:rsidRPr="005D43C5">
              <w:rPr>
                <w:sz w:val="22"/>
                <w:szCs w:val="22"/>
                <w:lang w:eastAsia="ja-JP"/>
              </w:rPr>
              <w:t>0.5</w:t>
            </w:r>
          </w:p>
        </w:tc>
        <w:tc>
          <w:tcPr>
            <w:tcW w:w="2311" w:type="dxa"/>
          </w:tcPr>
          <w:p w:rsidR="00EB4956" w:rsidRPr="005D43C5" w:rsidRDefault="00EB4956" w:rsidP="00CD0992">
            <w:pPr>
              <w:rPr>
                <w:sz w:val="22"/>
                <w:szCs w:val="22"/>
                <w:lang w:eastAsia="ja-JP"/>
              </w:rPr>
            </w:pPr>
            <w:r w:rsidRPr="005D43C5">
              <w:rPr>
                <w:sz w:val="22"/>
                <w:szCs w:val="22"/>
                <w:lang w:eastAsia="ja-JP"/>
              </w:rPr>
              <w:t>[3]</w:t>
            </w:r>
          </w:p>
        </w:tc>
      </w:tr>
      <w:tr w:rsidR="00EB4956" w:rsidRPr="005D43C5" w:rsidTr="00CD0992">
        <w:tc>
          <w:tcPr>
            <w:tcW w:w="2310" w:type="dxa"/>
          </w:tcPr>
          <w:p w:rsidR="00EB4956" w:rsidRPr="005D43C5" w:rsidRDefault="00EB4956" w:rsidP="00CD0992">
            <w:pPr>
              <w:rPr>
                <w:sz w:val="22"/>
                <w:szCs w:val="22"/>
                <w:lang w:eastAsia="ja-JP"/>
              </w:rPr>
            </w:pPr>
            <w:r w:rsidRPr="005D43C5">
              <w:rPr>
                <w:sz w:val="22"/>
                <w:szCs w:val="22"/>
                <w:lang w:eastAsia="ja-JP"/>
              </w:rPr>
              <w:t>High loss model</w:t>
            </w:r>
          </w:p>
        </w:tc>
        <w:tc>
          <w:tcPr>
            <w:tcW w:w="3327" w:type="dxa"/>
          </w:tcPr>
          <w:p w:rsidR="00EB4956" w:rsidRPr="005D43C5" w:rsidRDefault="00EB4956" w:rsidP="00CD0992">
            <w:pPr>
              <w:rPr>
                <w:sz w:val="22"/>
                <w:szCs w:val="22"/>
                <w:lang w:eastAsia="ja-JP"/>
              </w:rPr>
            </w:pPr>
            <m:oMathPara>
              <m:oMath>
                <m:r>
                  <m:rPr>
                    <m:sty m:val="p"/>
                  </m:rPr>
                  <w:rPr>
                    <w:rFonts w:ascii="Cambria Math" w:hAnsi="Cambria Math"/>
                    <w:sz w:val="22"/>
                    <w:szCs w:val="22"/>
                    <w:lang w:eastAsia="ja-JP"/>
                  </w:rPr>
                  <m:t>5-10</m:t>
                </m:r>
                <m:sSub>
                  <m:sSubPr>
                    <m:ctrlPr>
                      <w:rPr>
                        <w:rFonts w:ascii="Cambria Math" w:hAnsi="Cambria Math"/>
                        <w:sz w:val="22"/>
                        <w:szCs w:val="22"/>
                        <w:lang w:eastAsia="ja-JP"/>
                      </w:rPr>
                    </m:ctrlPr>
                  </m:sSubPr>
                  <m:e>
                    <m:r>
                      <m:rPr>
                        <m:sty m:val="p"/>
                      </m:rPr>
                      <w:rPr>
                        <w:rFonts w:ascii="Cambria Math" w:hAnsi="Cambria Math"/>
                        <w:sz w:val="22"/>
                        <w:szCs w:val="22"/>
                        <w:lang w:eastAsia="ja-JP"/>
                      </w:rPr>
                      <m:t>log</m:t>
                    </m:r>
                  </m:e>
                  <m:sub>
                    <m:r>
                      <m:rPr>
                        <m:sty m:val="p"/>
                      </m:rPr>
                      <w:rPr>
                        <w:rFonts w:ascii="Cambria Math" w:hAnsi="Cambria Math"/>
                        <w:sz w:val="22"/>
                        <w:szCs w:val="22"/>
                        <w:lang w:eastAsia="ja-JP"/>
                      </w:rPr>
                      <m:t>10</m:t>
                    </m:r>
                  </m:sub>
                </m:sSub>
                <m:d>
                  <m:dPr>
                    <m:ctrlPr>
                      <w:rPr>
                        <w:rFonts w:ascii="Cambria Math" w:hAnsi="Cambria Math"/>
                        <w:sz w:val="22"/>
                        <w:szCs w:val="22"/>
                        <w:lang w:eastAsia="ja-JP"/>
                      </w:rPr>
                    </m:ctrlPr>
                  </m:dPr>
                  <m:e>
                    <m:r>
                      <m:rPr>
                        <m:sty m:val="p"/>
                      </m:rPr>
                      <w:rPr>
                        <w:rFonts w:ascii="Cambria Math" w:hAnsi="Cambria Math"/>
                        <w:sz w:val="22"/>
                        <w:szCs w:val="22"/>
                        <w:lang w:eastAsia="ja-JP"/>
                      </w:rPr>
                      <m:t>0.7</m:t>
                    </m:r>
                    <m:r>
                      <m:rPr>
                        <m:sty m:val="p"/>
                      </m:rPr>
                      <w:rPr>
                        <w:rFonts w:ascii="Cambria Math" w:eastAsia="Cambria Math" w:hAnsi="Cambria Math"/>
                        <w:sz w:val="22"/>
                        <w:szCs w:val="22"/>
                        <w:lang w:eastAsia="ja-JP"/>
                      </w:rPr>
                      <m:t>⋅</m:t>
                    </m:r>
                    <m:sSup>
                      <m:sSupPr>
                        <m:ctrlPr>
                          <w:rPr>
                            <w:rFonts w:ascii="Cambria Math" w:eastAsia="Cambria Math" w:hAnsi="Cambria Math"/>
                            <w:sz w:val="22"/>
                            <w:szCs w:val="22"/>
                            <w:lang w:eastAsia="ja-JP"/>
                          </w:rPr>
                        </m:ctrlPr>
                      </m:sSupPr>
                      <m:e>
                        <m:r>
                          <m:rPr>
                            <m:sty m:val="p"/>
                          </m:rPr>
                          <w:rPr>
                            <w:rFonts w:ascii="Cambria Math" w:eastAsia="Cambria Math" w:hAnsi="Cambria Math"/>
                            <w:sz w:val="22"/>
                            <w:szCs w:val="22"/>
                            <w:lang w:eastAsia="ja-JP"/>
                          </w:rPr>
                          <m:t>10</m:t>
                        </m:r>
                      </m:e>
                      <m:sup>
                        <m:r>
                          <m:rPr>
                            <m:sty m:val="p"/>
                          </m:rPr>
                          <w:rPr>
                            <w:rFonts w:ascii="Cambria Math" w:eastAsia="Cambria Math" w:hAnsi="Cambria Math"/>
                            <w:sz w:val="22"/>
                            <w:szCs w:val="22"/>
                            <w:lang w:eastAsia="ja-JP"/>
                          </w:rPr>
                          <m:t>-</m:t>
                        </m:r>
                        <m:f>
                          <m:fPr>
                            <m:type m:val="lin"/>
                            <m:ctrlPr>
                              <w:rPr>
                                <w:rFonts w:ascii="Cambria Math" w:eastAsia="Cambria Math" w:hAnsi="Cambria Math"/>
                                <w:sz w:val="22"/>
                                <w:szCs w:val="22"/>
                                <w:lang w:eastAsia="ja-JP"/>
                              </w:rPr>
                            </m:ctrlPr>
                          </m:fPr>
                          <m:num>
                            <m:sSub>
                              <m:sSubPr>
                                <m:ctrlPr>
                                  <w:rPr>
                                    <w:rFonts w:ascii="Cambria Math" w:eastAsia="Cambria Math" w:hAnsi="Cambria Math"/>
                                    <w:sz w:val="22"/>
                                    <w:szCs w:val="22"/>
                                    <w:lang w:eastAsia="ja-JP"/>
                                  </w:rPr>
                                </m:ctrlPr>
                              </m:sSubPr>
                              <m:e>
                                <m:r>
                                  <m:rPr>
                                    <m:sty m:val="p"/>
                                  </m:rPr>
                                  <w:rPr>
                                    <w:rFonts w:ascii="Cambria Math" w:eastAsia="Cambria Math" w:hAnsi="Cambria Math"/>
                                    <w:sz w:val="22"/>
                                    <w:szCs w:val="22"/>
                                    <w:lang w:eastAsia="ja-JP"/>
                                  </w:rPr>
                                  <m:t>L</m:t>
                                </m:r>
                              </m:e>
                              <m:sub>
                                <m:r>
                                  <m:rPr>
                                    <m:sty m:val="p"/>
                                  </m:rPr>
                                  <w:rPr>
                                    <w:rFonts w:ascii="Cambria Math" w:eastAsia="Cambria Math" w:hAnsi="Cambria Math"/>
                                    <w:sz w:val="22"/>
                                    <w:szCs w:val="22"/>
                                    <w:lang w:eastAsia="ja-JP"/>
                                  </w:rPr>
                                  <m:t>IRRglass</m:t>
                                </m:r>
                              </m:sub>
                            </m:sSub>
                          </m:num>
                          <m:den>
                            <m:r>
                              <m:rPr>
                                <m:sty m:val="p"/>
                              </m:rPr>
                              <w:rPr>
                                <w:rFonts w:ascii="Cambria Math" w:eastAsia="Cambria Math" w:hAnsi="Cambria Math"/>
                                <w:sz w:val="22"/>
                                <w:szCs w:val="22"/>
                                <w:lang w:eastAsia="ja-JP"/>
                              </w:rPr>
                              <m:t>10</m:t>
                            </m:r>
                          </m:den>
                        </m:f>
                      </m:sup>
                    </m:sSup>
                    <m:r>
                      <m:rPr>
                        <m:sty m:val="p"/>
                      </m:rPr>
                      <w:rPr>
                        <w:rFonts w:ascii="Cambria Math" w:eastAsia="Cambria Math" w:hAnsi="Cambria Math"/>
                        <w:sz w:val="22"/>
                        <w:szCs w:val="22"/>
                        <w:lang w:eastAsia="ja-JP"/>
                      </w:rPr>
                      <m:t>+</m:t>
                    </m:r>
                    <m:r>
                      <m:rPr>
                        <m:sty m:val="p"/>
                      </m:rPr>
                      <w:rPr>
                        <w:rFonts w:ascii="Cambria Math" w:hAnsi="Cambria Math"/>
                        <w:sz w:val="22"/>
                        <w:szCs w:val="22"/>
                        <w:lang w:eastAsia="ja-JP"/>
                      </w:rPr>
                      <m:t>0.3</m:t>
                    </m:r>
                    <m:r>
                      <m:rPr>
                        <m:sty m:val="p"/>
                      </m:rPr>
                      <w:rPr>
                        <w:rFonts w:ascii="Cambria Math" w:eastAsia="Cambria Math" w:hAnsi="Cambria Math"/>
                        <w:sz w:val="22"/>
                        <w:szCs w:val="22"/>
                        <w:lang w:eastAsia="ja-JP"/>
                      </w:rPr>
                      <m:t>⋅</m:t>
                    </m:r>
                    <m:sSup>
                      <m:sSupPr>
                        <m:ctrlPr>
                          <w:rPr>
                            <w:rFonts w:ascii="Cambria Math" w:eastAsia="Cambria Math" w:hAnsi="Cambria Math"/>
                            <w:sz w:val="22"/>
                            <w:szCs w:val="22"/>
                            <w:lang w:eastAsia="ja-JP"/>
                          </w:rPr>
                        </m:ctrlPr>
                      </m:sSupPr>
                      <m:e>
                        <m:r>
                          <m:rPr>
                            <m:sty m:val="p"/>
                          </m:rPr>
                          <w:rPr>
                            <w:rFonts w:ascii="Cambria Math" w:eastAsia="Cambria Math" w:hAnsi="Cambria Math"/>
                            <w:sz w:val="22"/>
                            <w:szCs w:val="22"/>
                            <w:lang w:eastAsia="ja-JP"/>
                          </w:rPr>
                          <m:t>10</m:t>
                        </m:r>
                      </m:e>
                      <m:sup>
                        <m:r>
                          <m:rPr>
                            <m:sty m:val="p"/>
                          </m:rPr>
                          <w:rPr>
                            <w:rFonts w:ascii="Cambria Math" w:eastAsia="Cambria Math" w:hAnsi="Cambria Math"/>
                            <w:sz w:val="22"/>
                            <w:szCs w:val="22"/>
                            <w:lang w:eastAsia="ja-JP"/>
                          </w:rPr>
                          <m:t>-</m:t>
                        </m:r>
                        <m:f>
                          <m:fPr>
                            <m:type m:val="lin"/>
                            <m:ctrlPr>
                              <w:rPr>
                                <w:rFonts w:ascii="Cambria Math" w:eastAsia="Cambria Math" w:hAnsi="Cambria Math"/>
                                <w:sz w:val="22"/>
                                <w:szCs w:val="22"/>
                                <w:lang w:eastAsia="ja-JP"/>
                              </w:rPr>
                            </m:ctrlPr>
                          </m:fPr>
                          <m:num>
                            <m:sSub>
                              <m:sSubPr>
                                <m:ctrlPr>
                                  <w:rPr>
                                    <w:rFonts w:ascii="Cambria Math" w:eastAsia="Cambria Math" w:hAnsi="Cambria Math"/>
                                    <w:sz w:val="22"/>
                                    <w:szCs w:val="22"/>
                                    <w:lang w:eastAsia="ja-JP"/>
                                  </w:rPr>
                                </m:ctrlPr>
                              </m:sSubPr>
                              <m:e>
                                <m:r>
                                  <m:rPr>
                                    <m:sty m:val="p"/>
                                  </m:rPr>
                                  <w:rPr>
                                    <w:rFonts w:ascii="Cambria Math" w:eastAsia="Cambria Math" w:hAnsi="Cambria Math"/>
                                    <w:sz w:val="22"/>
                                    <w:szCs w:val="22"/>
                                    <w:lang w:eastAsia="ja-JP"/>
                                  </w:rPr>
                                  <m:t>L</m:t>
                                </m:r>
                              </m:e>
                              <m:sub>
                                <m:r>
                                  <m:rPr>
                                    <m:sty m:val="p"/>
                                  </m:rPr>
                                  <w:rPr>
                                    <w:rFonts w:ascii="Cambria Math" w:eastAsia="Cambria Math" w:hAnsi="Cambria Math"/>
                                    <w:sz w:val="22"/>
                                    <w:szCs w:val="22"/>
                                    <w:lang w:eastAsia="ja-JP"/>
                                  </w:rPr>
                                  <m:t>concrete</m:t>
                                </m:r>
                              </m:sub>
                            </m:sSub>
                          </m:num>
                          <m:den>
                            <m:r>
                              <m:rPr>
                                <m:sty m:val="p"/>
                              </m:rPr>
                              <w:rPr>
                                <w:rFonts w:ascii="Cambria Math" w:eastAsia="Cambria Math" w:hAnsi="Cambria Math"/>
                                <w:sz w:val="22"/>
                                <w:szCs w:val="22"/>
                                <w:lang w:eastAsia="ja-JP"/>
                              </w:rPr>
                              <m:t>10</m:t>
                            </m:r>
                          </m:den>
                        </m:f>
                      </m:sup>
                    </m:sSup>
                  </m:e>
                </m:d>
              </m:oMath>
            </m:oMathPara>
          </w:p>
        </w:tc>
        <w:tc>
          <w:tcPr>
            <w:tcW w:w="1295" w:type="dxa"/>
          </w:tcPr>
          <w:p w:rsidR="00EB4956" w:rsidRPr="005D43C5" w:rsidRDefault="00EB4956" w:rsidP="00CD0992">
            <w:pPr>
              <w:rPr>
                <w:sz w:val="22"/>
                <w:szCs w:val="22"/>
                <w:lang w:eastAsia="ja-JP"/>
              </w:rPr>
            </w:pPr>
            <w:r w:rsidRPr="005D43C5">
              <w:rPr>
                <w:sz w:val="22"/>
                <w:szCs w:val="22"/>
                <w:lang w:eastAsia="ja-JP"/>
              </w:rPr>
              <w:t>0.5</w:t>
            </w:r>
          </w:p>
        </w:tc>
        <w:tc>
          <w:tcPr>
            <w:tcW w:w="2311" w:type="dxa"/>
          </w:tcPr>
          <w:p w:rsidR="00EB4956" w:rsidRPr="005D43C5" w:rsidRDefault="00EB4956" w:rsidP="00CD0992">
            <w:pPr>
              <w:rPr>
                <w:sz w:val="22"/>
                <w:szCs w:val="22"/>
                <w:lang w:eastAsia="ja-JP"/>
              </w:rPr>
            </w:pPr>
            <w:r w:rsidRPr="005D43C5">
              <w:rPr>
                <w:sz w:val="22"/>
                <w:szCs w:val="22"/>
                <w:lang w:eastAsia="ja-JP"/>
              </w:rPr>
              <w:t>[5]</w:t>
            </w:r>
          </w:p>
        </w:tc>
      </w:tr>
    </w:tbl>
    <w:p w:rsidR="00EB4956" w:rsidRPr="0029608A" w:rsidRDefault="00EB4956" w:rsidP="00EB4956">
      <w:pPr>
        <w:rPr>
          <w:rFonts w:ascii="Arial" w:hAnsi="Arial" w:cs="Arial"/>
          <w:sz w:val="22"/>
          <w:szCs w:val="22"/>
          <w:lang w:eastAsia="ja-JP"/>
        </w:rPr>
      </w:pPr>
    </w:p>
    <w:p w:rsidR="00EB4956" w:rsidRPr="004A7209" w:rsidRDefault="00620F6A" w:rsidP="00EB4956">
      <w:pPr>
        <w:rPr>
          <w:sz w:val="22"/>
          <w:szCs w:val="22"/>
          <w:lang w:eastAsia="ja-JP"/>
        </w:rPr>
      </w:pPr>
      <w:r>
        <w:rPr>
          <w:sz w:val="22"/>
          <w:szCs w:val="22"/>
          <w:lang w:eastAsia="ja-JP"/>
        </w:rPr>
        <w:fldChar w:fldCharType="begin"/>
      </w:r>
      <w:r>
        <w:rPr>
          <w:sz w:val="22"/>
          <w:szCs w:val="22"/>
          <w:lang w:eastAsia="ja-JP"/>
        </w:rPr>
        <w:instrText xml:space="preserve"> REF _Ref445049457 \h </w:instrText>
      </w:r>
      <w:r>
        <w:rPr>
          <w:sz w:val="22"/>
          <w:szCs w:val="22"/>
          <w:lang w:eastAsia="ja-JP"/>
        </w:rPr>
      </w:r>
      <w:r>
        <w:rPr>
          <w:sz w:val="22"/>
          <w:szCs w:val="22"/>
          <w:lang w:eastAsia="ja-JP"/>
        </w:rPr>
        <w:fldChar w:fldCharType="separate"/>
      </w:r>
      <w:r w:rsidR="000462E5" w:rsidRPr="004A7209">
        <w:rPr>
          <w:sz w:val="22"/>
          <w:szCs w:val="22"/>
          <w:lang w:eastAsia="ja-JP"/>
        </w:rPr>
        <w:t xml:space="preserve">Figure </w:t>
      </w:r>
      <w:r w:rsidR="000462E5">
        <w:rPr>
          <w:noProof/>
          <w:sz w:val="22"/>
          <w:szCs w:val="22"/>
          <w:lang w:eastAsia="ja-JP"/>
        </w:rPr>
        <w:t>2</w:t>
      </w:r>
      <w:r>
        <w:rPr>
          <w:sz w:val="22"/>
          <w:szCs w:val="22"/>
          <w:lang w:eastAsia="ja-JP"/>
        </w:rPr>
        <w:fldChar w:fldCharType="end"/>
      </w:r>
      <w:r>
        <w:rPr>
          <w:sz w:val="22"/>
          <w:szCs w:val="22"/>
          <w:lang w:eastAsia="ja-JP"/>
        </w:rPr>
        <w:t xml:space="preserve"> shows a</w:t>
      </w:r>
      <w:r w:rsidR="00EB4956" w:rsidRPr="004A7209">
        <w:rPr>
          <w:sz w:val="22"/>
          <w:szCs w:val="22"/>
          <w:lang w:eastAsia="ja-JP"/>
        </w:rPr>
        <w:t xml:space="preserve"> comparison between the model components and aggregate behaviour and the reported measurements.</w:t>
      </w:r>
    </w:p>
    <w:p w:rsidR="00EB4956" w:rsidRPr="0029608A" w:rsidRDefault="00EB4956" w:rsidP="00D64456">
      <w:pPr>
        <w:jc w:val="center"/>
        <w:rPr>
          <w:rFonts w:ascii="Arial" w:hAnsi="Arial" w:cs="Arial"/>
          <w:sz w:val="22"/>
          <w:szCs w:val="22"/>
          <w:lang w:eastAsia="ja-JP"/>
        </w:rPr>
      </w:pPr>
      <w:r w:rsidRPr="0029608A">
        <w:rPr>
          <w:rFonts w:ascii="Arial" w:hAnsi="Arial" w:cs="Arial"/>
          <w:noProof/>
          <w:sz w:val="22"/>
          <w:szCs w:val="22"/>
          <w:lang w:val="en-US" w:eastAsia="zh-CN"/>
        </w:rPr>
        <w:drawing>
          <wp:inline distT="0" distB="0" distL="0" distR="0" wp14:anchorId="415A062A" wp14:editId="35AB4982">
            <wp:extent cx="2667600" cy="2001600"/>
            <wp:effectExtent l="0" t="0" r="0" b="0"/>
            <wp:docPr id="2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67600" cy="2001600"/>
                    </a:xfrm>
                    <a:prstGeom prst="rect">
                      <a:avLst/>
                    </a:prstGeom>
                    <a:noFill/>
                    <a:ln>
                      <a:noFill/>
                    </a:ln>
                    <a:effectLst/>
                    <a:extLst/>
                  </pic:spPr>
                </pic:pic>
              </a:graphicData>
            </a:graphic>
          </wp:inline>
        </w:drawing>
      </w:r>
      <w:r w:rsidRPr="0029608A">
        <w:rPr>
          <w:rFonts w:ascii="Arial" w:hAnsi="Arial" w:cs="Arial"/>
          <w:noProof/>
          <w:sz w:val="22"/>
          <w:szCs w:val="22"/>
          <w:lang w:val="en-US" w:eastAsia="zh-CN"/>
        </w:rPr>
        <w:drawing>
          <wp:inline distT="0" distB="0" distL="0" distR="0" wp14:anchorId="072FC850" wp14:editId="4F244E7F">
            <wp:extent cx="2667600" cy="2001600"/>
            <wp:effectExtent l="0" t="0" r="0" b="0"/>
            <wp:docPr id="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67600" cy="2001600"/>
                    </a:xfrm>
                    <a:prstGeom prst="rect">
                      <a:avLst/>
                    </a:prstGeom>
                    <a:noFill/>
                    <a:ln>
                      <a:noFill/>
                    </a:ln>
                    <a:effectLst/>
                    <a:extLst/>
                  </pic:spPr>
                </pic:pic>
              </a:graphicData>
            </a:graphic>
          </wp:inline>
        </w:drawing>
      </w:r>
    </w:p>
    <w:p w:rsidR="00EB4956" w:rsidRDefault="00EB4956" w:rsidP="00EB4956">
      <w:pPr>
        <w:pStyle w:val="ColorfulList-Accent11"/>
        <w:spacing w:before="0" w:beforeAutospacing="0" w:after="180" w:afterAutospacing="0"/>
        <w:jc w:val="both"/>
        <w:rPr>
          <w:sz w:val="22"/>
          <w:szCs w:val="22"/>
          <w:lang w:eastAsia="ja-JP"/>
        </w:rPr>
      </w:pPr>
      <w:bookmarkStart w:id="8" w:name="_Ref445049457"/>
      <w:r w:rsidRPr="004A7209">
        <w:rPr>
          <w:sz w:val="22"/>
          <w:szCs w:val="22"/>
          <w:lang w:eastAsia="ja-JP"/>
        </w:rPr>
        <w:t xml:space="preserve">Figure </w:t>
      </w:r>
      <w:r w:rsidRPr="004A7209">
        <w:rPr>
          <w:sz w:val="22"/>
          <w:szCs w:val="22"/>
          <w:lang w:eastAsia="ja-JP"/>
        </w:rPr>
        <w:fldChar w:fldCharType="begin"/>
      </w:r>
      <w:r w:rsidRPr="004A7209">
        <w:rPr>
          <w:sz w:val="22"/>
          <w:szCs w:val="22"/>
          <w:lang w:eastAsia="ja-JP"/>
        </w:rPr>
        <w:instrText xml:space="preserve"> SEQ Figure \* ARABIC </w:instrText>
      </w:r>
      <w:r w:rsidRPr="004A7209">
        <w:rPr>
          <w:sz w:val="22"/>
          <w:szCs w:val="22"/>
          <w:lang w:eastAsia="ja-JP"/>
        </w:rPr>
        <w:fldChar w:fldCharType="separate"/>
      </w:r>
      <w:r w:rsidR="00D37943">
        <w:rPr>
          <w:noProof/>
          <w:sz w:val="22"/>
          <w:szCs w:val="22"/>
          <w:lang w:eastAsia="ja-JP"/>
        </w:rPr>
        <w:t>2</w:t>
      </w:r>
      <w:r w:rsidRPr="004A7209">
        <w:rPr>
          <w:sz w:val="22"/>
          <w:szCs w:val="22"/>
          <w:lang w:eastAsia="ja-JP"/>
        </w:rPr>
        <w:fldChar w:fldCharType="end"/>
      </w:r>
      <w:bookmarkEnd w:id="8"/>
      <w:r w:rsidRPr="004A7209">
        <w:rPr>
          <w:sz w:val="22"/>
          <w:szCs w:val="22"/>
          <w:lang w:eastAsia="ja-JP"/>
        </w:rPr>
        <w:t xml:space="preserve"> Comparison between the material loss model and measurements (left) and the composite penetration loss model for normal inci</w:t>
      </w:r>
      <w:r w:rsidR="00620F6A">
        <w:rPr>
          <w:sz w:val="22"/>
          <w:szCs w:val="22"/>
          <w:lang w:eastAsia="ja-JP"/>
        </w:rPr>
        <w:t xml:space="preserve">dence and measurements (right) </w:t>
      </w:r>
      <w:r w:rsidR="00620F6A">
        <w:rPr>
          <w:sz w:val="22"/>
          <w:szCs w:val="22"/>
          <w:lang w:eastAsia="ja-JP"/>
        </w:rPr>
        <w:fldChar w:fldCharType="begin"/>
      </w:r>
      <w:r w:rsidR="00620F6A">
        <w:rPr>
          <w:sz w:val="22"/>
          <w:szCs w:val="22"/>
          <w:lang w:eastAsia="ja-JP"/>
        </w:rPr>
        <w:instrText xml:space="preserve"> REF _Ref447268164 \r \h </w:instrText>
      </w:r>
      <w:r w:rsidR="00620F6A">
        <w:rPr>
          <w:sz w:val="22"/>
          <w:szCs w:val="22"/>
          <w:lang w:eastAsia="ja-JP"/>
        </w:rPr>
      </w:r>
      <w:r w:rsidR="00620F6A">
        <w:rPr>
          <w:sz w:val="22"/>
          <w:szCs w:val="22"/>
          <w:lang w:eastAsia="ja-JP"/>
        </w:rPr>
        <w:fldChar w:fldCharType="separate"/>
      </w:r>
      <w:r w:rsidR="000462E5">
        <w:rPr>
          <w:sz w:val="22"/>
          <w:szCs w:val="22"/>
          <w:lang w:eastAsia="ja-JP"/>
        </w:rPr>
        <w:t>[4]</w:t>
      </w:r>
      <w:r w:rsidR="00620F6A">
        <w:rPr>
          <w:sz w:val="22"/>
          <w:szCs w:val="22"/>
          <w:lang w:eastAsia="ja-JP"/>
        </w:rPr>
        <w:fldChar w:fldCharType="end"/>
      </w:r>
    </w:p>
    <w:p w:rsidR="00EB4956" w:rsidRPr="00EB4956" w:rsidRDefault="00EB4956" w:rsidP="00EB4956">
      <w:pPr>
        <w:pStyle w:val="ColorfulList-Accent11"/>
        <w:spacing w:before="0" w:beforeAutospacing="0" w:after="180" w:afterAutospacing="0"/>
        <w:jc w:val="both"/>
        <w:rPr>
          <w:b/>
          <w:sz w:val="20"/>
          <w:szCs w:val="20"/>
        </w:rPr>
      </w:pPr>
    </w:p>
    <w:p w:rsidR="00FE5BAC" w:rsidRDefault="002B0C22" w:rsidP="00FE5BAC">
      <w:pPr>
        <w:pStyle w:val="Heading1"/>
        <w:keepLines w:val="0"/>
        <w:pBdr>
          <w:top w:val="none" w:sz="0" w:space="0" w:color="auto"/>
        </w:pBdr>
        <w:overflowPunct/>
        <w:autoSpaceDE/>
        <w:autoSpaceDN/>
        <w:adjustRightInd/>
        <w:spacing w:before="120" w:after="120"/>
        <w:ind w:left="432" w:hanging="432"/>
        <w:jc w:val="both"/>
        <w:textAlignment w:val="auto"/>
      </w:pPr>
      <w:bookmarkStart w:id="9" w:name="_Toc436774893"/>
      <w:bookmarkEnd w:id="2"/>
      <w:bookmarkEnd w:id="3"/>
      <w:r>
        <w:t>3</w:t>
      </w:r>
      <w:r w:rsidR="00FE5BAC">
        <w:t xml:space="preserve">. </w:t>
      </w:r>
      <w:bookmarkEnd w:id="9"/>
      <w:r w:rsidR="00D64456">
        <w:t>Energy Efficient Windows</w:t>
      </w:r>
      <w:r w:rsidR="00FE5BAC">
        <w:t xml:space="preserve"> </w:t>
      </w:r>
    </w:p>
    <w:p w:rsidR="001762A9" w:rsidRDefault="00B46DE0" w:rsidP="00875C47">
      <w:pPr>
        <w:pStyle w:val="ColorfulList-Accent11"/>
        <w:spacing w:before="0" w:beforeAutospacing="0" w:after="180" w:afterAutospacing="0"/>
        <w:jc w:val="both"/>
        <w:rPr>
          <w:sz w:val="22"/>
        </w:rPr>
      </w:pPr>
      <w:r>
        <w:rPr>
          <w:sz w:val="22"/>
        </w:rPr>
        <w:t>As evident from the building penetration loss models and measurement data, t</w:t>
      </w:r>
      <w:r w:rsidRPr="00B46DE0">
        <w:rPr>
          <w:sz w:val="22"/>
        </w:rPr>
        <w:t xml:space="preserve">he type of glass used in windows play a major role in determining the building penetration </w:t>
      </w:r>
      <w:r>
        <w:rPr>
          <w:sz w:val="22"/>
        </w:rPr>
        <w:t>loss</w:t>
      </w:r>
      <w:r w:rsidRPr="00B46DE0">
        <w:rPr>
          <w:sz w:val="22"/>
        </w:rPr>
        <w:t>.</w:t>
      </w:r>
      <w:r w:rsidR="00875C47">
        <w:rPr>
          <w:sz w:val="22"/>
        </w:rPr>
        <w:t xml:space="preserve"> </w:t>
      </w:r>
      <w:r w:rsidR="007D78AA">
        <w:rPr>
          <w:sz w:val="22"/>
        </w:rPr>
        <w:t xml:space="preserve">Energy efficient windows are increasingly used in new building construction and building renovation projects. </w:t>
      </w:r>
      <w:r w:rsidR="00D0501B">
        <w:rPr>
          <w:sz w:val="22"/>
        </w:rPr>
        <w:t>Majority of the old buildings in the U.S. and Europe are fitted with single-pane</w:t>
      </w:r>
      <w:r w:rsidR="00C348D6">
        <w:rPr>
          <w:sz w:val="22"/>
        </w:rPr>
        <w:t xml:space="preserve"> (or single-glazing)</w:t>
      </w:r>
      <w:r w:rsidR="00D0501B">
        <w:rPr>
          <w:sz w:val="22"/>
        </w:rPr>
        <w:t xml:space="preserve"> windows or clear double-pane</w:t>
      </w:r>
      <w:r w:rsidR="00C348D6">
        <w:rPr>
          <w:sz w:val="22"/>
        </w:rPr>
        <w:t xml:space="preserve"> (or double-glazing)</w:t>
      </w:r>
      <w:r w:rsidR="00D0501B">
        <w:rPr>
          <w:sz w:val="22"/>
        </w:rPr>
        <w:t xml:space="preserve"> windows while most of the new buildings use energy efficient windows such as </w:t>
      </w:r>
      <w:r w:rsidR="008F7D8C">
        <w:rPr>
          <w:sz w:val="22"/>
        </w:rPr>
        <w:t xml:space="preserve">low-emissivity </w:t>
      </w:r>
      <w:r w:rsidR="00DA744C">
        <w:rPr>
          <w:sz w:val="22"/>
        </w:rPr>
        <w:t xml:space="preserve">(“low-e”) </w:t>
      </w:r>
      <w:r w:rsidR="00D0501B">
        <w:rPr>
          <w:sz w:val="22"/>
        </w:rPr>
        <w:t xml:space="preserve">double-pane windows and triple-pane windows. </w:t>
      </w:r>
      <w:r w:rsidR="000427AF">
        <w:rPr>
          <w:sz w:val="22"/>
        </w:rPr>
        <w:t>Typically a single</w:t>
      </w:r>
      <w:r w:rsidR="0080088A">
        <w:rPr>
          <w:sz w:val="22"/>
        </w:rPr>
        <w:t xml:space="preserve"> thin layer of metallic coating </w:t>
      </w:r>
      <w:r w:rsidR="00DA744C">
        <w:rPr>
          <w:sz w:val="22"/>
        </w:rPr>
        <w:t>is</w:t>
      </w:r>
      <w:r w:rsidR="0080088A">
        <w:rPr>
          <w:sz w:val="22"/>
        </w:rPr>
        <w:t xml:space="preserve"> applied to the</w:t>
      </w:r>
      <w:r w:rsidR="00DA744C">
        <w:rPr>
          <w:sz w:val="22"/>
        </w:rPr>
        <w:t xml:space="preserve"> low-e</w:t>
      </w:r>
      <w:r w:rsidR="0080088A">
        <w:rPr>
          <w:sz w:val="22"/>
        </w:rPr>
        <w:t xml:space="preserve"> double-pane windows. A </w:t>
      </w:r>
      <w:r w:rsidR="00431FE7">
        <w:rPr>
          <w:sz w:val="22"/>
        </w:rPr>
        <w:t xml:space="preserve">low-e </w:t>
      </w:r>
      <w:r w:rsidR="0080088A">
        <w:rPr>
          <w:sz w:val="22"/>
        </w:rPr>
        <w:t xml:space="preserve">triple-pane window typically has two layers of metallic coating. These metallic coating significantly increase the penetration loss of radio signals. </w:t>
      </w:r>
      <w:r w:rsidR="00431FE7">
        <w:rPr>
          <w:sz w:val="22"/>
        </w:rPr>
        <w:t>Some of the</w:t>
      </w:r>
      <w:r w:rsidR="004544B7">
        <w:rPr>
          <w:sz w:val="22"/>
        </w:rPr>
        <w:t xml:space="preserve"> low-e </w:t>
      </w:r>
      <w:r w:rsidR="00D0501B">
        <w:rPr>
          <w:sz w:val="22"/>
        </w:rPr>
        <w:t>windows are filled with argon gas to</w:t>
      </w:r>
      <w:r w:rsidR="009A7077">
        <w:rPr>
          <w:sz w:val="22"/>
        </w:rPr>
        <w:t xml:space="preserve"> further</w:t>
      </w:r>
      <w:r w:rsidR="00D0501B">
        <w:rPr>
          <w:sz w:val="22"/>
        </w:rPr>
        <w:t xml:space="preserve"> </w:t>
      </w:r>
      <w:r w:rsidR="006E60BF">
        <w:rPr>
          <w:sz w:val="22"/>
        </w:rPr>
        <w:t xml:space="preserve">improve thermal insulation and energy efficiency. </w:t>
      </w:r>
      <w:r w:rsidR="0080088A">
        <w:rPr>
          <w:sz w:val="22"/>
        </w:rPr>
        <w:t>But argon gas fill does not increase penetration loss</w:t>
      </w:r>
      <w:r w:rsidR="004544B7">
        <w:rPr>
          <w:sz w:val="22"/>
        </w:rPr>
        <w:t xml:space="preserve"> for radio waves</w:t>
      </w:r>
      <w:r w:rsidR="00B853A8">
        <w:rPr>
          <w:sz w:val="22"/>
        </w:rPr>
        <w:t xml:space="preserve"> in the frequency of interest</w:t>
      </w:r>
      <w:r w:rsidR="00E13875">
        <w:rPr>
          <w:sz w:val="22"/>
        </w:rPr>
        <w:t xml:space="preserve"> for 5G</w:t>
      </w:r>
      <w:r w:rsidR="00B853A8">
        <w:rPr>
          <w:sz w:val="22"/>
        </w:rPr>
        <w:t xml:space="preserve"> (up to 100 GHz)</w:t>
      </w:r>
      <w:r w:rsidR="0080088A">
        <w:rPr>
          <w:sz w:val="22"/>
        </w:rPr>
        <w:t>.</w:t>
      </w:r>
      <w:r w:rsidR="000427AF">
        <w:rPr>
          <w:sz w:val="22"/>
        </w:rPr>
        <w:t xml:space="preserve"> Tinted windows a</w:t>
      </w:r>
      <w:r w:rsidR="00431FE7">
        <w:rPr>
          <w:sz w:val="22"/>
        </w:rPr>
        <w:t xml:space="preserve">re another type of energy efficient windows. </w:t>
      </w:r>
      <w:r w:rsidR="00A16216">
        <w:rPr>
          <w:sz w:val="22"/>
          <w:szCs w:val="22"/>
          <w:lang w:eastAsia="ja-JP"/>
        </w:rPr>
        <w:t xml:space="preserve">Tinting refers to the process of adding alloying materials to the glass while coating applies a very thin layer of metallic particles onto the glass. </w:t>
      </w:r>
      <w:r w:rsidR="00431FE7">
        <w:rPr>
          <w:sz w:val="22"/>
        </w:rPr>
        <w:t xml:space="preserve">As a result, the colour of the tinted windows depend on the thickness of the glass. </w:t>
      </w:r>
      <w:r w:rsidR="00634718">
        <w:rPr>
          <w:sz w:val="22"/>
        </w:rPr>
        <w:t xml:space="preserve">Tinted windows can result in significant </w:t>
      </w:r>
      <w:r w:rsidR="00634718">
        <w:rPr>
          <w:sz w:val="22"/>
        </w:rPr>
        <w:lastRenderedPageBreak/>
        <w:t>penetration loss for radio waves because metallic materials are added to the whole glass. However</w:t>
      </w:r>
      <w:r w:rsidR="00431FE7">
        <w:rPr>
          <w:sz w:val="22"/>
        </w:rPr>
        <w:t>, tinted windows absorb heat and reradiate it</w:t>
      </w:r>
      <w:r w:rsidR="00B54752">
        <w:rPr>
          <w:sz w:val="22"/>
        </w:rPr>
        <w:t xml:space="preserve"> into the building</w:t>
      </w:r>
      <w:r w:rsidR="00431FE7">
        <w:rPr>
          <w:sz w:val="22"/>
        </w:rPr>
        <w:t>, making it a less favourable choice than</w:t>
      </w:r>
      <w:r w:rsidR="00634718">
        <w:rPr>
          <w:sz w:val="22"/>
        </w:rPr>
        <w:t xml:space="preserve"> </w:t>
      </w:r>
      <w:r w:rsidR="00431FE7">
        <w:rPr>
          <w:sz w:val="22"/>
        </w:rPr>
        <w:t>low-e coated windows when it comes to energy saving.</w:t>
      </w:r>
    </w:p>
    <w:p w:rsidR="00CD0992" w:rsidRPr="00792A11" w:rsidRDefault="00897D1C" w:rsidP="003A413F">
      <w:pPr>
        <w:spacing w:before="120"/>
        <w:jc w:val="both"/>
        <w:rPr>
          <w:sz w:val="22"/>
        </w:rPr>
      </w:pPr>
      <w:r>
        <w:rPr>
          <w:sz w:val="22"/>
          <w:szCs w:val="22"/>
          <w:lang w:eastAsia="ja-JP"/>
        </w:rPr>
        <w:t xml:space="preserve">As </w:t>
      </w:r>
      <w:r w:rsidRPr="00DA48E6">
        <w:rPr>
          <w:sz w:val="22"/>
          <w:szCs w:val="22"/>
          <w:lang w:eastAsia="ja-JP"/>
        </w:rPr>
        <w:t xml:space="preserve">provided in </w:t>
      </w:r>
      <w:r w:rsidRPr="00DA48E6">
        <w:rPr>
          <w:sz w:val="22"/>
          <w:szCs w:val="22"/>
          <w:lang w:eastAsia="ja-JP"/>
        </w:rPr>
        <w:fldChar w:fldCharType="begin"/>
      </w:r>
      <w:r w:rsidRPr="00DA48E6">
        <w:rPr>
          <w:sz w:val="22"/>
          <w:szCs w:val="22"/>
          <w:lang w:eastAsia="ja-JP"/>
        </w:rPr>
        <w:instrText xml:space="preserve"> REF _Ref445048671 \h  \* MERGEFORMAT </w:instrText>
      </w:r>
      <w:r w:rsidRPr="00DA48E6">
        <w:rPr>
          <w:sz w:val="22"/>
          <w:szCs w:val="22"/>
          <w:lang w:eastAsia="ja-JP"/>
        </w:rPr>
      </w:r>
      <w:r w:rsidRPr="00DA48E6">
        <w:rPr>
          <w:sz w:val="22"/>
          <w:szCs w:val="22"/>
          <w:lang w:eastAsia="ja-JP"/>
        </w:rPr>
        <w:fldChar w:fldCharType="separate"/>
      </w:r>
      <w:r w:rsidR="000462E5" w:rsidRPr="000462E5">
        <w:rPr>
          <w:bCs/>
          <w:sz w:val="22"/>
          <w:szCs w:val="22"/>
          <w:lang w:eastAsia="ja-JP"/>
        </w:rPr>
        <w:t xml:space="preserve">Table </w:t>
      </w:r>
      <w:r w:rsidR="000462E5" w:rsidRPr="000462E5">
        <w:rPr>
          <w:bCs/>
          <w:noProof/>
          <w:sz w:val="22"/>
          <w:szCs w:val="22"/>
          <w:lang w:eastAsia="ja-JP"/>
        </w:rPr>
        <w:t>1</w:t>
      </w:r>
      <w:r w:rsidRPr="00DA48E6">
        <w:rPr>
          <w:sz w:val="22"/>
          <w:szCs w:val="22"/>
          <w:lang w:eastAsia="ja-JP"/>
        </w:rPr>
        <w:fldChar w:fldCharType="end"/>
      </w:r>
      <w:r>
        <w:rPr>
          <w:sz w:val="22"/>
          <w:szCs w:val="22"/>
          <w:lang w:eastAsia="ja-JP"/>
        </w:rPr>
        <w:t>, the penetration loss of clear glass can be well approximated by</w:t>
      </w:r>
      <w:r w:rsidR="00A62365">
        <w:rPr>
          <w:sz w:val="22"/>
          <w:szCs w:val="22"/>
          <w:lang w:eastAsia="ja-JP"/>
        </w:rPr>
        <w:t xml:space="preserve"> </w:t>
      </w:r>
      <m:oMath>
        <m:sSub>
          <m:sSubPr>
            <m:ctrlPr>
              <w:rPr>
                <w:rFonts w:ascii="Cambria Math" w:hAnsi="Cambria Math"/>
                <w:sz w:val="22"/>
                <w:szCs w:val="22"/>
                <w:lang w:eastAsia="ja-JP"/>
              </w:rPr>
            </m:ctrlPr>
          </m:sSubPr>
          <m:e>
            <m:r>
              <m:rPr>
                <m:sty m:val="p"/>
              </m:rPr>
              <w:rPr>
                <w:rFonts w:ascii="Cambria Math" w:hAnsi="Cambria Math"/>
                <w:sz w:val="22"/>
                <w:szCs w:val="22"/>
                <w:lang w:eastAsia="ja-JP"/>
              </w:rPr>
              <m:t>L</m:t>
            </m:r>
          </m:e>
          <m:sub>
            <m:r>
              <m:rPr>
                <m:sty m:val="p"/>
              </m:rPr>
              <w:rPr>
                <w:rFonts w:ascii="Cambria Math" w:hAnsi="Cambria Math"/>
                <w:sz w:val="22"/>
                <w:szCs w:val="22"/>
                <w:lang w:eastAsia="ja-JP"/>
              </w:rPr>
              <m:t>glass</m:t>
            </m:r>
          </m:sub>
        </m:sSub>
        <m:r>
          <m:rPr>
            <m:sty m:val="p"/>
          </m:rPr>
          <w:rPr>
            <w:rFonts w:ascii="Cambria Math" w:hAnsi="Cambria Math"/>
            <w:sz w:val="22"/>
            <w:szCs w:val="22"/>
            <w:lang w:eastAsia="ja-JP"/>
          </w:rPr>
          <m:t>=2+0.2</m:t>
        </m:r>
        <m:r>
          <m:rPr>
            <m:sty m:val="p"/>
          </m:rPr>
          <w:rPr>
            <w:rFonts w:ascii="Cambria Math" w:eastAsia="Cambria Math" w:hAnsi="Cambria Math"/>
            <w:sz w:val="22"/>
            <w:szCs w:val="22"/>
            <w:lang w:eastAsia="ja-JP"/>
          </w:rPr>
          <m:t>⋅f</m:t>
        </m:r>
      </m:oMath>
      <w:r>
        <w:rPr>
          <w:sz w:val="22"/>
          <w:szCs w:val="22"/>
          <w:lang w:eastAsia="ja-JP"/>
        </w:rPr>
        <w:t>. The penetration loss of IRR glass and triple-pane windows with two layers of low-e coating can be well approximated by</w:t>
      </w:r>
      <w:r w:rsidR="00A62365">
        <w:rPr>
          <w:sz w:val="22"/>
          <w:szCs w:val="22"/>
          <w:lang w:eastAsia="ja-JP"/>
        </w:rPr>
        <w:t xml:space="preserve"> </w:t>
      </w:r>
      <m:oMath>
        <m:sSub>
          <m:sSubPr>
            <m:ctrlPr>
              <w:rPr>
                <w:rFonts w:ascii="Cambria Math" w:hAnsi="Cambria Math"/>
                <w:sz w:val="22"/>
                <w:szCs w:val="22"/>
                <w:lang w:eastAsia="ja-JP"/>
              </w:rPr>
            </m:ctrlPr>
          </m:sSubPr>
          <m:e>
            <m:r>
              <m:rPr>
                <m:sty m:val="p"/>
              </m:rPr>
              <w:rPr>
                <w:rFonts w:ascii="Cambria Math" w:hAnsi="Cambria Math"/>
                <w:sz w:val="22"/>
                <w:szCs w:val="22"/>
                <w:lang w:eastAsia="ja-JP"/>
              </w:rPr>
              <m:t>L</m:t>
            </m:r>
          </m:e>
          <m:sub>
            <m:r>
              <m:rPr>
                <m:sty m:val="p"/>
              </m:rPr>
              <w:rPr>
                <w:rFonts w:ascii="Cambria Math" w:hAnsi="Cambria Math"/>
                <w:sz w:val="22"/>
                <w:szCs w:val="22"/>
                <w:lang w:eastAsia="ja-JP"/>
              </w:rPr>
              <m:t>IRRglass</m:t>
            </m:r>
          </m:sub>
        </m:sSub>
        <m:r>
          <m:rPr>
            <m:sty m:val="p"/>
          </m:rPr>
          <w:rPr>
            <w:rFonts w:ascii="Cambria Math" w:hAnsi="Cambria Math"/>
            <w:sz w:val="22"/>
            <w:szCs w:val="22"/>
            <w:lang w:eastAsia="ja-JP"/>
          </w:rPr>
          <m:t>=23+0.3</m:t>
        </m:r>
        <m:r>
          <m:rPr>
            <m:sty m:val="p"/>
          </m:rPr>
          <w:rPr>
            <w:rFonts w:ascii="Cambria Math" w:eastAsia="Cambria Math" w:hAnsi="Cambria Math"/>
            <w:sz w:val="22"/>
            <w:szCs w:val="22"/>
            <w:lang w:eastAsia="ja-JP"/>
          </w:rPr>
          <m:t>⋅f</m:t>
        </m:r>
      </m:oMath>
      <w:r>
        <w:rPr>
          <w:sz w:val="22"/>
          <w:szCs w:val="22"/>
          <w:lang w:eastAsia="ja-JP"/>
        </w:rPr>
        <w:t xml:space="preserve">. </w:t>
      </w:r>
      <w:r w:rsidR="00DA48E6">
        <w:rPr>
          <w:sz w:val="22"/>
          <w:szCs w:val="22"/>
          <w:lang w:eastAsia="ja-JP"/>
        </w:rPr>
        <w:t xml:space="preserve">When it comes to penetration loss, </w:t>
      </w:r>
      <w:r>
        <w:rPr>
          <w:sz w:val="22"/>
          <w:szCs w:val="22"/>
          <w:lang w:eastAsia="ja-JP"/>
        </w:rPr>
        <w:t xml:space="preserve">however, </w:t>
      </w:r>
      <w:r w:rsidR="00DA48E6">
        <w:rPr>
          <w:sz w:val="22"/>
          <w:szCs w:val="22"/>
          <w:lang w:eastAsia="ja-JP"/>
        </w:rPr>
        <w:t xml:space="preserve">the difference between windows with a single layer of low-emissivity coating vs. windows with two layers of low-emissivity coating or window tinting should not be ignored. </w:t>
      </w:r>
      <w:r w:rsidR="009037E5">
        <w:rPr>
          <w:sz w:val="22"/>
          <w:szCs w:val="22"/>
          <w:lang w:eastAsia="ja-JP"/>
        </w:rPr>
        <w:t xml:space="preserve">As observed in </w:t>
      </w:r>
      <w:r w:rsidR="009037E5">
        <w:rPr>
          <w:sz w:val="22"/>
          <w:szCs w:val="22"/>
          <w:lang w:eastAsia="ja-JP"/>
        </w:rPr>
        <w:fldChar w:fldCharType="begin"/>
      </w:r>
      <w:r w:rsidR="009037E5">
        <w:rPr>
          <w:sz w:val="22"/>
          <w:szCs w:val="22"/>
          <w:lang w:eastAsia="ja-JP"/>
        </w:rPr>
        <w:instrText xml:space="preserve"> REF _Ref447029953 \r \h </w:instrText>
      </w:r>
      <w:r w:rsidR="00953C02">
        <w:rPr>
          <w:sz w:val="22"/>
          <w:szCs w:val="22"/>
          <w:lang w:eastAsia="ja-JP"/>
        </w:rPr>
        <w:instrText xml:space="preserve"> \* MERGEFORMAT </w:instrText>
      </w:r>
      <w:r w:rsidR="009037E5">
        <w:rPr>
          <w:sz w:val="22"/>
          <w:szCs w:val="22"/>
          <w:lang w:eastAsia="ja-JP"/>
        </w:rPr>
      </w:r>
      <w:r w:rsidR="009037E5">
        <w:rPr>
          <w:sz w:val="22"/>
          <w:szCs w:val="22"/>
          <w:lang w:eastAsia="ja-JP"/>
        </w:rPr>
        <w:fldChar w:fldCharType="separate"/>
      </w:r>
      <w:r w:rsidR="000462E5">
        <w:rPr>
          <w:sz w:val="22"/>
          <w:szCs w:val="22"/>
          <w:lang w:eastAsia="ja-JP"/>
        </w:rPr>
        <w:t>[7]</w:t>
      </w:r>
      <w:r w:rsidR="009037E5">
        <w:rPr>
          <w:sz w:val="22"/>
          <w:szCs w:val="22"/>
          <w:lang w:eastAsia="ja-JP"/>
        </w:rPr>
        <w:fldChar w:fldCharType="end"/>
      </w:r>
      <w:r w:rsidR="009037E5">
        <w:rPr>
          <w:sz w:val="22"/>
          <w:szCs w:val="22"/>
          <w:lang w:eastAsia="ja-JP"/>
        </w:rPr>
        <w:t xml:space="preserve">, double-pane windows </w:t>
      </w:r>
      <w:r w:rsidR="00A554C2">
        <w:rPr>
          <w:sz w:val="22"/>
          <w:szCs w:val="22"/>
          <w:lang w:eastAsia="ja-JP"/>
        </w:rPr>
        <w:t>(</w:t>
      </w:r>
      <w:r w:rsidR="009037E5">
        <w:rPr>
          <w:sz w:val="22"/>
          <w:szCs w:val="22"/>
          <w:lang w:eastAsia="ja-JP"/>
        </w:rPr>
        <w:t xml:space="preserve">with </w:t>
      </w:r>
      <w:r w:rsidR="00A554C2">
        <w:rPr>
          <w:sz w:val="22"/>
          <w:szCs w:val="22"/>
          <w:lang w:eastAsia="ja-JP"/>
        </w:rPr>
        <w:t xml:space="preserve">a single layer of </w:t>
      </w:r>
      <w:r w:rsidR="009037E5">
        <w:rPr>
          <w:sz w:val="22"/>
          <w:szCs w:val="22"/>
          <w:lang w:eastAsia="ja-JP"/>
        </w:rPr>
        <w:t>low-e coating</w:t>
      </w:r>
      <w:r w:rsidR="00A554C2">
        <w:rPr>
          <w:sz w:val="22"/>
          <w:szCs w:val="22"/>
          <w:lang w:eastAsia="ja-JP"/>
        </w:rPr>
        <w:t>)</w:t>
      </w:r>
      <w:r w:rsidR="009037E5">
        <w:rPr>
          <w:sz w:val="22"/>
          <w:szCs w:val="22"/>
          <w:lang w:eastAsia="ja-JP"/>
        </w:rPr>
        <w:t xml:space="preserve"> gives 22 ~ 25 dB penetration loss while a triple-pane window </w:t>
      </w:r>
      <w:r w:rsidR="00A554C2">
        <w:rPr>
          <w:sz w:val="22"/>
          <w:szCs w:val="22"/>
          <w:lang w:eastAsia="ja-JP"/>
        </w:rPr>
        <w:t xml:space="preserve">(with two layers of low-e coating) </w:t>
      </w:r>
      <w:r w:rsidR="009037E5">
        <w:rPr>
          <w:sz w:val="22"/>
          <w:szCs w:val="22"/>
          <w:lang w:eastAsia="ja-JP"/>
        </w:rPr>
        <w:t xml:space="preserve">gives 35 ~ 40 dB penetration loss at 38 GHz. </w:t>
      </w:r>
      <w:r w:rsidR="00CD0992">
        <w:rPr>
          <w:sz w:val="22"/>
          <w:szCs w:val="22"/>
          <w:lang w:eastAsia="ja-JP"/>
        </w:rPr>
        <w:t>For the purpose of studying the penetration loss of radio waves through these windows, we can treat single-pane window</w:t>
      </w:r>
      <w:r w:rsidR="00A40CBC">
        <w:rPr>
          <w:sz w:val="22"/>
          <w:szCs w:val="22"/>
          <w:lang w:eastAsia="ja-JP"/>
        </w:rPr>
        <w:t>s</w:t>
      </w:r>
      <w:r w:rsidR="00CD0992">
        <w:rPr>
          <w:sz w:val="22"/>
          <w:szCs w:val="22"/>
          <w:lang w:eastAsia="ja-JP"/>
        </w:rPr>
        <w:t>, clear double-pane window</w:t>
      </w:r>
      <w:r w:rsidR="00A40CBC">
        <w:rPr>
          <w:sz w:val="22"/>
          <w:szCs w:val="22"/>
          <w:lang w:eastAsia="ja-JP"/>
        </w:rPr>
        <w:t>s</w:t>
      </w:r>
      <w:r w:rsidR="00CD0992">
        <w:rPr>
          <w:sz w:val="22"/>
          <w:szCs w:val="22"/>
          <w:lang w:eastAsia="ja-JP"/>
        </w:rPr>
        <w:t xml:space="preserve"> (with or without argon gas filled) as low loss (</w:t>
      </w:r>
      <w:r w:rsidR="00A554C2" w:rsidRPr="00A554C2">
        <w:rPr>
          <w:i/>
          <w:sz w:val="22"/>
          <w:szCs w:val="22"/>
          <w:lang w:eastAsia="ja-JP"/>
        </w:rPr>
        <w:t>e.g.</w:t>
      </w:r>
      <w:r w:rsidR="00A554C2">
        <w:rPr>
          <w:sz w:val="22"/>
          <w:szCs w:val="22"/>
          <w:lang w:eastAsia="ja-JP"/>
        </w:rPr>
        <w:t xml:space="preserve">, </w:t>
      </w:r>
      <w:r w:rsidR="0013313F">
        <w:rPr>
          <w:sz w:val="22"/>
          <w:szCs w:val="22"/>
          <w:lang w:eastAsia="ja-JP"/>
        </w:rPr>
        <w:t>&lt;</w:t>
      </w:r>
      <w:r w:rsidR="00CD0992">
        <w:rPr>
          <w:sz w:val="22"/>
          <w:szCs w:val="22"/>
          <w:lang w:eastAsia="ja-JP"/>
        </w:rPr>
        <w:t>10 dB</w:t>
      </w:r>
      <w:r w:rsidR="0013313F">
        <w:rPr>
          <w:sz w:val="22"/>
          <w:szCs w:val="22"/>
          <w:lang w:eastAsia="ja-JP"/>
        </w:rPr>
        <w:t xml:space="preserve"> at </w:t>
      </w:r>
      <w:r w:rsidR="00A17220">
        <w:rPr>
          <w:sz w:val="22"/>
          <w:szCs w:val="22"/>
          <w:lang w:eastAsia="ja-JP"/>
        </w:rPr>
        <w:t>30 ~ 40</w:t>
      </w:r>
      <w:r w:rsidR="0013313F">
        <w:rPr>
          <w:sz w:val="22"/>
          <w:szCs w:val="22"/>
          <w:lang w:eastAsia="ja-JP"/>
        </w:rPr>
        <w:t xml:space="preserve"> GHz</w:t>
      </w:r>
      <w:r w:rsidR="00CD0992">
        <w:rPr>
          <w:sz w:val="22"/>
          <w:szCs w:val="22"/>
          <w:lang w:eastAsia="ja-JP"/>
        </w:rPr>
        <w:t>), double pane window with low-e coating as medium loss (</w:t>
      </w:r>
      <w:r w:rsidR="00A554C2" w:rsidRPr="00A554C2">
        <w:rPr>
          <w:i/>
          <w:sz w:val="22"/>
          <w:szCs w:val="22"/>
          <w:lang w:eastAsia="ja-JP"/>
        </w:rPr>
        <w:t>e.g.</w:t>
      </w:r>
      <w:r w:rsidR="00A554C2">
        <w:rPr>
          <w:sz w:val="22"/>
          <w:szCs w:val="22"/>
          <w:lang w:eastAsia="ja-JP"/>
        </w:rPr>
        <w:t xml:space="preserve">, </w:t>
      </w:r>
      <w:r w:rsidR="00CD0992">
        <w:rPr>
          <w:sz w:val="22"/>
          <w:szCs w:val="22"/>
          <w:lang w:eastAsia="ja-JP"/>
        </w:rPr>
        <w:t>~20 dB</w:t>
      </w:r>
      <w:r w:rsidR="0013313F">
        <w:rPr>
          <w:sz w:val="22"/>
          <w:szCs w:val="22"/>
          <w:lang w:eastAsia="ja-JP"/>
        </w:rPr>
        <w:t xml:space="preserve"> at </w:t>
      </w:r>
      <w:r w:rsidR="00A17220">
        <w:rPr>
          <w:sz w:val="22"/>
          <w:szCs w:val="22"/>
          <w:lang w:eastAsia="ja-JP"/>
        </w:rPr>
        <w:t xml:space="preserve">30 ~ </w:t>
      </w:r>
      <w:r w:rsidR="0013313F">
        <w:rPr>
          <w:sz w:val="22"/>
          <w:szCs w:val="22"/>
          <w:lang w:eastAsia="ja-JP"/>
        </w:rPr>
        <w:t>40 GHz</w:t>
      </w:r>
      <w:r w:rsidR="00CD0992">
        <w:rPr>
          <w:sz w:val="22"/>
          <w:szCs w:val="22"/>
          <w:lang w:eastAsia="ja-JP"/>
        </w:rPr>
        <w:t>), and tinted window and triple-pane windows as high loss (</w:t>
      </w:r>
      <w:r w:rsidR="00A554C2" w:rsidRPr="00A554C2">
        <w:rPr>
          <w:i/>
          <w:sz w:val="22"/>
          <w:szCs w:val="22"/>
          <w:lang w:eastAsia="ja-JP"/>
        </w:rPr>
        <w:t>e.g.</w:t>
      </w:r>
      <w:r w:rsidR="00A554C2">
        <w:rPr>
          <w:sz w:val="22"/>
          <w:szCs w:val="22"/>
          <w:lang w:eastAsia="ja-JP"/>
        </w:rPr>
        <w:t xml:space="preserve">, </w:t>
      </w:r>
      <w:r w:rsidR="00CD0992">
        <w:rPr>
          <w:sz w:val="22"/>
          <w:szCs w:val="22"/>
          <w:lang w:eastAsia="ja-JP"/>
        </w:rPr>
        <w:t>30</w:t>
      </w:r>
      <w:r w:rsidR="000366CE">
        <w:rPr>
          <w:sz w:val="22"/>
          <w:szCs w:val="22"/>
          <w:lang w:eastAsia="ja-JP"/>
        </w:rPr>
        <w:t xml:space="preserve"> ~ 40</w:t>
      </w:r>
      <w:r w:rsidR="00CD0992">
        <w:rPr>
          <w:sz w:val="22"/>
          <w:szCs w:val="22"/>
          <w:lang w:eastAsia="ja-JP"/>
        </w:rPr>
        <w:t xml:space="preserve"> dB</w:t>
      </w:r>
      <w:r w:rsidR="00A17220">
        <w:rPr>
          <w:sz w:val="22"/>
          <w:szCs w:val="22"/>
          <w:lang w:eastAsia="ja-JP"/>
        </w:rPr>
        <w:t xml:space="preserve"> at 30 ~ 40 </w:t>
      </w:r>
      <w:r w:rsidR="0013313F">
        <w:rPr>
          <w:sz w:val="22"/>
          <w:szCs w:val="22"/>
          <w:lang w:eastAsia="ja-JP"/>
        </w:rPr>
        <w:t>GHz</w:t>
      </w:r>
      <w:r w:rsidR="00CD0992">
        <w:rPr>
          <w:sz w:val="22"/>
          <w:szCs w:val="22"/>
          <w:lang w:eastAsia="ja-JP"/>
        </w:rPr>
        <w:t>).</w:t>
      </w:r>
      <w:r w:rsidR="00F71806">
        <w:rPr>
          <w:sz w:val="22"/>
          <w:szCs w:val="22"/>
          <w:lang w:eastAsia="ja-JP"/>
        </w:rPr>
        <w:t xml:space="preserve"> For simplicity, we propose to use the average of </w:t>
      </w:r>
      <w:r w:rsidR="00461413">
        <w:rPr>
          <w:sz w:val="22"/>
          <w:szCs w:val="22"/>
          <w:lang w:eastAsia="ja-JP"/>
        </w:rPr>
        <w:t xml:space="preserve"> </w:t>
      </w:r>
      <m:oMath>
        <m:f>
          <m:fPr>
            <m:ctrlPr>
              <w:rPr>
                <w:rFonts w:ascii="Cambria Math" w:hAnsi="Cambria Math"/>
                <w:sz w:val="22"/>
                <w:szCs w:val="22"/>
                <w:lang w:eastAsia="ja-JP"/>
              </w:rPr>
            </m:ctrlPr>
          </m:fPr>
          <m:num>
            <m:d>
              <m:dPr>
                <m:ctrlPr>
                  <w:rPr>
                    <w:rFonts w:ascii="Cambria Math" w:hAnsi="Cambria Math"/>
                    <w:i/>
                    <w:sz w:val="22"/>
                    <w:szCs w:val="22"/>
                    <w:lang w:eastAsia="ja-JP"/>
                  </w:rPr>
                </m:ctrlPr>
              </m:dPr>
              <m:e>
                <m:sSub>
                  <m:sSubPr>
                    <m:ctrlPr>
                      <w:rPr>
                        <w:rFonts w:ascii="Cambria Math" w:hAnsi="Cambria Math"/>
                        <w:sz w:val="22"/>
                        <w:szCs w:val="22"/>
                        <w:lang w:eastAsia="ja-JP"/>
                      </w:rPr>
                    </m:ctrlPr>
                  </m:sSubPr>
                  <m:e>
                    <m:r>
                      <m:rPr>
                        <m:sty m:val="p"/>
                      </m:rPr>
                      <w:rPr>
                        <w:rFonts w:ascii="Cambria Math" w:hAnsi="Cambria Math"/>
                        <w:sz w:val="22"/>
                        <w:szCs w:val="22"/>
                        <w:lang w:eastAsia="ja-JP"/>
                      </w:rPr>
                      <m:t>L</m:t>
                    </m:r>
                  </m:e>
                  <m:sub>
                    <m:r>
                      <m:rPr>
                        <m:sty m:val="p"/>
                      </m:rPr>
                      <w:rPr>
                        <w:rFonts w:ascii="Cambria Math" w:hAnsi="Cambria Math"/>
                        <w:sz w:val="22"/>
                        <w:szCs w:val="22"/>
                        <w:lang w:eastAsia="ja-JP"/>
                      </w:rPr>
                      <m:t>glass</m:t>
                    </m:r>
                  </m:sub>
                </m:sSub>
                <m:r>
                  <w:rPr>
                    <w:rFonts w:ascii="Cambria Math" w:hAnsi="Cambria Math"/>
                    <w:sz w:val="22"/>
                    <w:szCs w:val="22"/>
                    <w:lang w:eastAsia="ja-JP"/>
                  </w:rPr>
                  <m:t>+</m:t>
                </m:r>
                <m:sSub>
                  <m:sSubPr>
                    <m:ctrlPr>
                      <w:rPr>
                        <w:rFonts w:ascii="Cambria Math" w:hAnsi="Cambria Math"/>
                        <w:sz w:val="22"/>
                        <w:szCs w:val="22"/>
                        <w:lang w:eastAsia="ja-JP"/>
                      </w:rPr>
                    </m:ctrlPr>
                  </m:sSubPr>
                  <m:e>
                    <m:r>
                      <m:rPr>
                        <m:sty m:val="p"/>
                      </m:rPr>
                      <w:rPr>
                        <w:rFonts w:ascii="Cambria Math" w:hAnsi="Cambria Math"/>
                        <w:sz w:val="22"/>
                        <w:szCs w:val="22"/>
                        <w:lang w:eastAsia="ja-JP"/>
                      </w:rPr>
                      <m:t>L</m:t>
                    </m:r>
                  </m:e>
                  <m:sub>
                    <m:r>
                      <m:rPr>
                        <m:sty m:val="p"/>
                      </m:rPr>
                      <w:rPr>
                        <w:rFonts w:ascii="Cambria Math" w:hAnsi="Cambria Math"/>
                        <w:sz w:val="22"/>
                        <w:szCs w:val="22"/>
                        <w:lang w:eastAsia="ja-JP"/>
                      </w:rPr>
                      <m:t>IRRglass</m:t>
                    </m:r>
                  </m:sub>
                </m:sSub>
              </m:e>
            </m:d>
          </m:num>
          <m:den>
            <m:r>
              <m:rPr>
                <m:sty m:val="p"/>
              </m:rPr>
              <w:rPr>
                <w:rFonts w:ascii="Cambria Math" w:hAnsi="Cambria Math"/>
                <w:sz w:val="22"/>
                <w:szCs w:val="22"/>
                <w:lang w:eastAsia="ja-JP"/>
              </w:rPr>
              <m:t>2</m:t>
            </m:r>
          </m:den>
        </m:f>
        <m:r>
          <m:rPr>
            <m:sty m:val="p"/>
          </m:rPr>
          <w:rPr>
            <w:rFonts w:ascii="Cambria Math" w:hAnsi="Cambria Math"/>
            <w:sz w:val="22"/>
            <w:szCs w:val="22"/>
            <w:lang w:eastAsia="ja-JP"/>
          </w:rPr>
          <m:t>=12.5+0.25</m:t>
        </m:r>
        <m:r>
          <m:rPr>
            <m:sty m:val="p"/>
          </m:rPr>
          <w:rPr>
            <w:rFonts w:ascii="Cambria Math" w:eastAsia="Cambria Math" w:hAnsi="Cambria Math"/>
            <w:sz w:val="22"/>
            <w:szCs w:val="22"/>
            <w:lang w:eastAsia="ja-JP"/>
          </w:rPr>
          <m:t>⋅f</m:t>
        </m:r>
      </m:oMath>
      <w:r w:rsidR="00F71806">
        <w:rPr>
          <w:sz w:val="22"/>
          <w:szCs w:val="22"/>
          <w:lang w:eastAsia="ja-JP"/>
        </w:rPr>
        <w:t xml:space="preserve"> as the approximation of the penetration loss for the windows with medium loss.</w:t>
      </w:r>
      <w:r w:rsidR="007E47FA">
        <w:rPr>
          <w:sz w:val="22"/>
          <w:szCs w:val="22"/>
          <w:lang w:eastAsia="ja-JP"/>
        </w:rPr>
        <w:t xml:space="preserve"> For example, the formula would yield 2</w:t>
      </w:r>
      <w:r w:rsidR="000B37D2">
        <w:rPr>
          <w:sz w:val="22"/>
          <w:szCs w:val="22"/>
          <w:lang w:eastAsia="ja-JP"/>
        </w:rPr>
        <w:t>2</w:t>
      </w:r>
      <w:r w:rsidR="007E47FA">
        <w:rPr>
          <w:sz w:val="22"/>
          <w:szCs w:val="22"/>
          <w:lang w:eastAsia="ja-JP"/>
        </w:rPr>
        <w:t xml:space="preserve"> dB as the penetration loss at 38 GHz, </w:t>
      </w:r>
      <w:r w:rsidR="00ED6055">
        <w:rPr>
          <w:sz w:val="22"/>
          <w:szCs w:val="22"/>
          <w:lang w:eastAsia="ja-JP"/>
        </w:rPr>
        <w:t xml:space="preserve">well matching the measurement data </w:t>
      </w:r>
      <w:r w:rsidR="007E47FA">
        <w:rPr>
          <w:sz w:val="22"/>
          <w:szCs w:val="22"/>
          <w:lang w:eastAsia="ja-JP"/>
        </w:rPr>
        <w:t xml:space="preserve">in </w:t>
      </w:r>
      <w:r w:rsidR="007E47FA">
        <w:rPr>
          <w:sz w:val="22"/>
          <w:szCs w:val="22"/>
          <w:lang w:eastAsia="ja-JP"/>
        </w:rPr>
        <w:fldChar w:fldCharType="begin"/>
      </w:r>
      <w:r w:rsidR="007E47FA">
        <w:rPr>
          <w:sz w:val="22"/>
          <w:szCs w:val="22"/>
          <w:lang w:eastAsia="ja-JP"/>
        </w:rPr>
        <w:instrText xml:space="preserve"> REF _Ref447029953 \r \h </w:instrText>
      </w:r>
      <w:r w:rsidR="007E47FA">
        <w:rPr>
          <w:sz w:val="22"/>
          <w:szCs w:val="22"/>
          <w:lang w:eastAsia="ja-JP"/>
        </w:rPr>
      </w:r>
      <w:r w:rsidR="007E47FA">
        <w:rPr>
          <w:sz w:val="22"/>
          <w:szCs w:val="22"/>
          <w:lang w:eastAsia="ja-JP"/>
        </w:rPr>
        <w:fldChar w:fldCharType="separate"/>
      </w:r>
      <w:r w:rsidR="000462E5">
        <w:rPr>
          <w:sz w:val="22"/>
          <w:szCs w:val="22"/>
          <w:lang w:eastAsia="ja-JP"/>
        </w:rPr>
        <w:t>[7]</w:t>
      </w:r>
      <w:r w:rsidR="007E47FA">
        <w:rPr>
          <w:sz w:val="22"/>
          <w:szCs w:val="22"/>
          <w:lang w:eastAsia="ja-JP"/>
        </w:rPr>
        <w:fldChar w:fldCharType="end"/>
      </w:r>
      <w:r w:rsidR="007E47FA">
        <w:rPr>
          <w:sz w:val="22"/>
          <w:szCs w:val="22"/>
          <w:lang w:eastAsia="ja-JP"/>
        </w:rPr>
        <w:t xml:space="preserve">. </w:t>
      </w:r>
    </w:p>
    <w:p w:rsidR="008B730E" w:rsidRDefault="008B730E" w:rsidP="008B730E">
      <w:pPr>
        <w:keepNext/>
        <w:jc w:val="center"/>
      </w:pPr>
      <w:r w:rsidRPr="008B730E">
        <w:rPr>
          <w:noProof/>
          <w:lang w:val="en-US" w:eastAsia="zh-CN"/>
        </w:rPr>
        <w:drawing>
          <wp:inline distT="0" distB="0" distL="0" distR="0" wp14:anchorId="3EE44922" wp14:editId="56D685E0">
            <wp:extent cx="2928938" cy="2104590"/>
            <wp:effectExtent l="0" t="0" r="508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39438" cy="2112135"/>
                    </a:xfrm>
                    <a:prstGeom prst="rect">
                      <a:avLst/>
                    </a:prstGeom>
                    <a:noFill/>
                    <a:ln>
                      <a:noFill/>
                    </a:ln>
                  </pic:spPr>
                </pic:pic>
              </a:graphicData>
            </a:graphic>
          </wp:inline>
        </w:drawing>
      </w:r>
    </w:p>
    <w:p w:rsidR="008B730E" w:rsidRDefault="008B730E" w:rsidP="00F815DB">
      <w:pPr>
        <w:pStyle w:val="Caption"/>
        <w:spacing w:after="120"/>
      </w:pPr>
      <w:bookmarkStart w:id="10" w:name="_Ref447037216"/>
      <w:r>
        <w:t xml:space="preserve">Figure </w:t>
      </w:r>
      <w:r w:rsidR="009B278C">
        <w:fldChar w:fldCharType="begin"/>
      </w:r>
      <w:r w:rsidR="009B278C">
        <w:instrText xml:space="preserve"> SEQ Figure \* ARABIC </w:instrText>
      </w:r>
      <w:r w:rsidR="009B278C">
        <w:fldChar w:fldCharType="separate"/>
      </w:r>
      <w:r w:rsidR="00D37943">
        <w:rPr>
          <w:noProof/>
        </w:rPr>
        <w:t>3</w:t>
      </w:r>
      <w:r w:rsidR="009B278C">
        <w:rPr>
          <w:noProof/>
        </w:rPr>
        <w:fldChar w:fldCharType="end"/>
      </w:r>
      <w:bookmarkEnd w:id="10"/>
      <w:r>
        <w:t xml:space="preserve">. Glazing type distribution in the EU building stock </w:t>
      </w:r>
      <w:r w:rsidR="00BE1D64">
        <w:fldChar w:fldCharType="begin"/>
      </w:r>
      <w:r w:rsidR="00BE1D64">
        <w:instrText xml:space="preserve"> REF _Ref446947882 \r \h </w:instrText>
      </w:r>
      <w:r w:rsidR="00BE1D64">
        <w:fldChar w:fldCharType="separate"/>
      </w:r>
      <w:r w:rsidR="000462E5">
        <w:t>[8]</w:t>
      </w:r>
      <w:r w:rsidR="00BE1D64">
        <w:fldChar w:fldCharType="end"/>
      </w:r>
    </w:p>
    <w:p w:rsidR="007067AA" w:rsidRDefault="008A0E48" w:rsidP="00A21E2E">
      <w:pPr>
        <w:spacing w:after="120"/>
        <w:jc w:val="both"/>
        <w:rPr>
          <w:sz w:val="22"/>
          <w:szCs w:val="22"/>
          <w:lang w:eastAsia="ja-JP"/>
        </w:rPr>
      </w:pPr>
      <w:r>
        <w:rPr>
          <w:sz w:val="22"/>
          <w:szCs w:val="22"/>
          <w:lang w:eastAsia="ja-JP"/>
        </w:rPr>
        <w:t>Most of the building windows are either single-pane window or double-pane windows without tinting or low-e</w:t>
      </w:r>
      <w:r w:rsidR="00051AD7">
        <w:rPr>
          <w:sz w:val="22"/>
          <w:szCs w:val="22"/>
          <w:lang w:eastAsia="ja-JP"/>
        </w:rPr>
        <w:t>missivity</w:t>
      </w:r>
      <w:r>
        <w:rPr>
          <w:sz w:val="22"/>
          <w:szCs w:val="22"/>
          <w:lang w:eastAsia="ja-JP"/>
        </w:rPr>
        <w:t xml:space="preserve"> coating. </w:t>
      </w:r>
      <w:r w:rsidR="00455700">
        <w:rPr>
          <w:sz w:val="22"/>
          <w:szCs w:val="22"/>
          <w:lang w:eastAsia="ja-JP"/>
        </w:rPr>
        <w:t xml:space="preserve">As shown in </w:t>
      </w:r>
      <w:r w:rsidR="00455700">
        <w:rPr>
          <w:sz w:val="22"/>
          <w:szCs w:val="22"/>
          <w:lang w:eastAsia="ja-JP"/>
        </w:rPr>
        <w:fldChar w:fldCharType="begin"/>
      </w:r>
      <w:r w:rsidR="00455700">
        <w:rPr>
          <w:sz w:val="22"/>
          <w:szCs w:val="22"/>
          <w:lang w:eastAsia="ja-JP"/>
        </w:rPr>
        <w:instrText xml:space="preserve"> REF _Ref447037216 \h </w:instrText>
      </w:r>
      <w:r w:rsidR="00AC1207">
        <w:rPr>
          <w:sz w:val="22"/>
          <w:szCs w:val="22"/>
          <w:lang w:eastAsia="ja-JP"/>
        </w:rPr>
        <w:instrText xml:space="preserve"> \* MERGEFORMAT </w:instrText>
      </w:r>
      <w:r w:rsidR="00455700">
        <w:rPr>
          <w:sz w:val="22"/>
          <w:szCs w:val="22"/>
          <w:lang w:eastAsia="ja-JP"/>
        </w:rPr>
      </w:r>
      <w:r w:rsidR="00455700">
        <w:rPr>
          <w:sz w:val="22"/>
          <w:szCs w:val="22"/>
          <w:lang w:eastAsia="ja-JP"/>
        </w:rPr>
        <w:fldChar w:fldCharType="separate"/>
      </w:r>
      <w:r w:rsidR="000462E5">
        <w:t xml:space="preserve">Figure </w:t>
      </w:r>
      <w:r w:rsidR="000462E5">
        <w:rPr>
          <w:noProof/>
        </w:rPr>
        <w:t>3</w:t>
      </w:r>
      <w:r w:rsidR="00455700">
        <w:rPr>
          <w:sz w:val="22"/>
          <w:szCs w:val="22"/>
          <w:lang w:eastAsia="ja-JP"/>
        </w:rPr>
        <w:fldChar w:fldCharType="end"/>
      </w:r>
      <w:r w:rsidR="00455700">
        <w:rPr>
          <w:sz w:val="22"/>
          <w:szCs w:val="22"/>
          <w:lang w:eastAsia="ja-JP"/>
        </w:rPr>
        <w:t xml:space="preserve">, </w:t>
      </w:r>
      <w:r w:rsidR="00AC36FF">
        <w:rPr>
          <w:sz w:val="22"/>
          <w:szCs w:val="22"/>
          <w:lang w:eastAsia="ja-JP"/>
        </w:rPr>
        <w:t xml:space="preserve">a TNO report </w:t>
      </w:r>
      <w:r w:rsidR="00AC36FF">
        <w:rPr>
          <w:sz w:val="22"/>
          <w:szCs w:val="22"/>
          <w:lang w:eastAsia="ja-JP"/>
        </w:rPr>
        <w:fldChar w:fldCharType="begin"/>
      </w:r>
      <w:r w:rsidR="00AC36FF">
        <w:rPr>
          <w:sz w:val="22"/>
          <w:szCs w:val="22"/>
          <w:lang w:eastAsia="ja-JP"/>
        </w:rPr>
        <w:instrText xml:space="preserve"> REF _Ref446947882 \r \h </w:instrText>
      </w:r>
      <w:r w:rsidR="00AC1207">
        <w:rPr>
          <w:sz w:val="22"/>
          <w:szCs w:val="22"/>
          <w:lang w:eastAsia="ja-JP"/>
        </w:rPr>
        <w:instrText xml:space="preserve"> \* MERGEFORMAT </w:instrText>
      </w:r>
      <w:r w:rsidR="00AC36FF">
        <w:rPr>
          <w:sz w:val="22"/>
          <w:szCs w:val="22"/>
          <w:lang w:eastAsia="ja-JP"/>
        </w:rPr>
      </w:r>
      <w:r w:rsidR="00AC36FF">
        <w:rPr>
          <w:sz w:val="22"/>
          <w:szCs w:val="22"/>
          <w:lang w:eastAsia="ja-JP"/>
        </w:rPr>
        <w:fldChar w:fldCharType="separate"/>
      </w:r>
      <w:r w:rsidR="000462E5">
        <w:rPr>
          <w:sz w:val="22"/>
          <w:szCs w:val="22"/>
          <w:lang w:eastAsia="ja-JP"/>
        </w:rPr>
        <w:t>[8]</w:t>
      </w:r>
      <w:r w:rsidR="00AC36FF">
        <w:rPr>
          <w:sz w:val="22"/>
          <w:szCs w:val="22"/>
          <w:lang w:eastAsia="ja-JP"/>
        </w:rPr>
        <w:fldChar w:fldCharType="end"/>
      </w:r>
      <w:r w:rsidR="00AC36FF">
        <w:rPr>
          <w:sz w:val="22"/>
          <w:szCs w:val="22"/>
          <w:lang w:eastAsia="ja-JP"/>
        </w:rPr>
        <w:t xml:space="preserve"> estimates </w:t>
      </w:r>
      <w:r w:rsidR="00455700">
        <w:rPr>
          <w:sz w:val="22"/>
          <w:szCs w:val="22"/>
          <w:lang w:eastAsia="ja-JP"/>
        </w:rPr>
        <w:t>around</w:t>
      </w:r>
      <w:r w:rsidR="00BE1D64" w:rsidRPr="00BE1D64">
        <w:rPr>
          <w:sz w:val="22"/>
          <w:szCs w:val="22"/>
          <w:lang w:eastAsia="ja-JP"/>
        </w:rPr>
        <w:t xml:space="preserve"> 1</w:t>
      </w:r>
      <w:r w:rsidR="00455700">
        <w:rPr>
          <w:sz w:val="22"/>
          <w:szCs w:val="22"/>
          <w:lang w:eastAsia="ja-JP"/>
        </w:rPr>
        <w:t>4</w:t>
      </w:r>
      <w:r w:rsidR="00BE1D64" w:rsidRPr="00BE1D64">
        <w:rPr>
          <w:sz w:val="22"/>
          <w:szCs w:val="22"/>
          <w:lang w:eastAsia="ja-JP"/>
        </w:rPr>
        <w:t xml:space="preserve">% of </w:t>
      </w:r>
      <w:r w:rsidR="005A6256">
        <w:rPr>
          <w:sz w:val="22"/>
          <w:szCs w:val="22"/>
          <w:lang w:eastAsia="ja-JP"/>
        </w:rPr>
        <w:t xml:space="preserve">Europe’s windows </w:t>
      </w:r>
      <w:r w:rsidR="00455700">
        <w:rPr>
          <w:sz w:val="22"/>
          <w:szCs w:val="22"/>
          <w:lang w:eastAsia="ja-JP"/>
        </w:rPr>
        <w:t xml:space="preserve">in 2010 </w:t>
      </w:r>
      <w:r w:rsidR="005A6256">
        <w:rPr>
          <w:sz w:val="22"/>
          <w:szCs w:val="22"/>
          <w:lang w:eastAsia="ja-JP"/>
        </w:rPr>
        <w:t xml:space="preserve">contains energy-saving glasses </w:t>
      </w:r>
      <w:r w:rsidR="00DC18CC">
        <w:rPr>
          <w:sz w:val="22"/>
          <w:szCs w:val="22"/>
          <w:lang w:eastAsia="ja-JP"/>
        </w:rPr>
        <w:t>(</w:t>
      </w:r>
      <w:r w:rsidR="00AC0584">
        <w:rPr>
          <w:sz w:val="22"/>
          <w:szCs w:val="22"/>
          <w:lang w:eastAsia="ja-JP"/>
        </w:rPr>
        <w:t>12% for l</w:t>
      </w:r>
      <w:r w:rsidR="00DC18CC">
        <w:rPr>
          <w:sz w:val="22"/>
          <w:szCs w:val="22"/>
          <w:lang w:eastAsia="ja-JP"/>
        </w:rPr>
        <w:t xml:space="preserve">ow-e coated double glazing </w:t>
      </w:r>
      <w:r w:rsidR="00AC0584">
        <w:rPr>
          <w:sz w:val="22"/>
          <w:szCs w:val="22"/>
          <w:lang w:eastAsia="ja-JP"/>
        </w:rPr>
        <w:t xml:space="preserve">windows and 2% for </w:t>
      </w:r>
      <w:r w:rsidR="00DC18CC">
        <w:rPr>
          <w:sz w:val="22"/>
          <w:szCs w:val="22"/>
          <w:lang w:eastAsia="ja-JP"/>
        </w:rPr>
        <w:t>triple glazing</w:t>
      </w:r>
      <w:r w:rsidR="00AC0584">
        <w:rPr>
          <w:sz w:val="22"/>
          <w:szCs w:val="22"/>
          <w:lang w:eastAsia="ja-JP"/>
        </w:rPr>
        <w:t xml:space="preserve"> windows</w:t>
      </w:r>
      <w:r w:rsidR="00DC18CC">
        <w:rPr>
          <w:sz w:val="22"/>
          <w:szCs w:val="22"/>
          <w:lang w:eastAsia="ja-JP"/>
        </w:rPr>
        <w:t>)</w:t>
      </w:r>
      <w:r w:rsidR="00AC0584">
        <w:rPr>
          <w:sz w:val="22"/>
          <w:szCs w:val="22"/>
          <w:lang w:eastAsia="ja-JP"/>
        </w:rPr>
        <w:t xml:space="preserve"> </w:t>
      </w:r>
      <w:r w:rsidR="005A6256">
        <w:rPr>
          <w:sz w:val="22"/>
          <w:szCs w:val="22"/>
          <w:lang w:eastAsia="ja-JP"/>
        </w:rPr>
        <w:t xml:space="preserve">whereas these solutions have been available on the market for over 20 years. </w:t>
      </w:r>
      <w:r w:rsidR="00C82E55">
        <w:rPr>
          <w:sz w:val="22"/>
          <w:szCs w:val="22"/>
          <w:lang w:eastAsia="ja-JP"/>
        </w:rPr>
        <w:t xml:space="preserve">The situation in the U.S. is similar. According to the U.S. Energy Information Administration (EIA) Commercial Buildings Energy Consumption Survey (CBECS) 2012 </w:t>
      </w:r>
      <w:r w:rsidR="00C82E55">
        <w:rPr>
          <w:sz w:val="22"/>
          <w:szCs w:val="22"/>
          <w:lang w:eastAsia="ja-JP"/>
        </w:rPr>
        <w:fldChar w:fldCharType="begin"/>
      </w:r>
      <w:r w:rsidR="00C82E55">
        <w:rPr>
          <w:sz w:val="22"/>
          <w:szCs w:val="22"/>
          <w:lang w:eastAsia="ja-JP"/>
        </w:rPr>
        <w:instrText xml:space="preserve"> REF _Ref447095950 \r \h  \* MERGEFORMAT </w:instrText>
      </w:r>
      <w:r w:rsidR="00C82E55">
        <w:rPr>
          <w:sz w:val="22"/>
          <w:szCs w:val="22"/>
          <w:lang w:eastAsia="ja-JP"/>
        </w:rPr>
      </w:r>
      <w:r w:rsidR="00C82E55">
        <w:rPr>
          <w:sz w:val="22"/>
          <w:szCs w:val="22"/>
          <w:lang w:eastAsia="ja-JP"/>
        </w:rPr>
        <w:fldChar w:fldCharType="separate"/>
      </w:r>
      <w:r w:rsidR="000462E5">
        <w:rPr>
          <w:sz w:val="22"/>
          <w:szCs w:val="22"/>
          <w:lang w:eastAsia="ja-JP"/>
        </w:rPr>
        <w:t>[11]</w:t>
      </w:r>
      <w:r w:rsidR="00C82E55">
        <w:rPr>
          <w:sz w:val="22"/>
          <w:szCs w:val="22"/>
          <w:lang w:eastAsia="ja-JP"/>
        </w:rPr>
        <w:fldChar w:fldCharType="end"/>
      </w:r>
      <w:r w:rsidR="00C82E55">
        <w:rPr>
          <w:sz w:val="22"/>
          <w:szCs w:val="22"/>
          <w:lang w:eastAsia="ja-JP"/>
        </w:rPr>
        <w:t>, there are total around 5.6 million commercial buildings in the U.S. Among them, 65% of the windows are clear, 28% are tinted, and 7% are reflective.</w:t>
      </w:r>
      <w:r w:rsidR="00C82E55">
        <w:rPr>
          <w:rStyle w:val="FootnoteReference"/>
          <w:szCs w:val="22"/>
          <w:lang w:eastAsia="ja-JP"/>
        </w:rPr>
        <w:footnoteReference w:id="1"/>
      </w:r>
      <w:r w:rsidR="00C82E55">
        <w:rPr>
          <w:szCs w:val="22"/>
          <w:lang w:eastAsia="ja-JP"/>
        </w:rPr>
        <w:t xml:space="preserve"> </w:t>
      </w:r>
      <w:r w:rsidR="00C82E55">
        <w:rPr>
          <w:sz w:val="22"/>
          <w:szCs w:val="22"/>
          <w:lang w:eastAsia="ja-JP"/>
        </w:rPr>
        <w:t xml:space="preserve"> According to the U.S. EIA Residential Buildings Energy Consumption Survey (RECS) 2005</w:t>
      </w:r>
      <w:r w:rsidR="00E37C2F">
        <w:rPr>
          <w:sz w:val="22"/>
          <w:szCs w:val="22"/>
          <w:lang w:eastAsia="ja-JP"/>
        </w:rPr>
        <w:t xml:space="preserve"> </w:t>
      </w:r>
      <w:r w:rsidR="00E37C2F">
        <w:rPr>
          <w:sz w:val="22"/>
          <w:szCs w:val="22"/>
          <w:lang w:eastAsia="ja-JP"/>
        </w:rPr>
        <w:fldChar w:fldCharType="begin"/>
      </w:r>
      <w:r w:rsidR="00E37C2F">
        <w:rPr>
          <w:sz w:val="22"/>
          <w:szCs w:val="22"/>
          <w:lang w:eastAsia="ja-JP"/>
        </w:rPr>
        <w:instrText xml:space="preserve"> REF _Ref447272651 \r \h </w:instrText>
      </w:r>
      <w:r w:rsidR="00E37C2F">
        <w:rPr>
          <w:sz w:val="22"/>
          <w:szCs w:val="22"/>
          <w:lang w:eastAsia="ja-JP"/>
        </w:rPr>
      </w:r>
      <w:r w:rsidR="00E37C2F">
        <w:rPr>
          <w:sz w:val="22"/>
          <w:szCs w:val="22"/>
          <w:lang w:eastAsia="ja-JP"/>
        </w:rPr>
        <w:fldChar w:fldCharType="separate"/>
      </w:r>
      <w:r w:rsidR="000462E5">
        <w:rPr>
          <w:sz w:val="22"/>
          <w:szCs w:val="22"/>
          <w:lang w:eastAsia="ja-JP"/>
        </w:rPr>
        <w:t>[12]</w:t>
      </w:r>
      <w:r w:rsidR="00E37C2F">
        <w:rPr>
          <w:sz w:val="22"/>
          <w:szCs w:val="22"/>
          <w:lang w:eastAsia="ja-JP"/>
        </w:rPr>
        <w:fldChar w:fldCharType="end"/>
      </w:r>
      <w:r w:rsidR="00C82E55">
        <w:rPr>
          <w:sz w:val="22"/>
          <w:szCs w:val="22"/>
          <w:lang w:eastAsia="ja-JP"/>
        </w:rPr>
        <w:t xml:space="preserve">, there are total around 109.2 million of residential buildings in the U.S. Among them, around 46.4% (50.7 million homes) have single-pane windows, around 46.3% (50.6 million homes) have </w:t>
      </w:r>
      <w:r w:rsidR="00AF36FD">
        <w:rPr>
          <w:sz w:val="22"/>
          <w:szCs w:val="22"/>
          <w:lang w:eastAsia="ja-JP"/>
        </w:rPr>
        <w:t xml:space="preserve">clear </w:t>
      </w:r>
      <w:r w:rsidR="00C82E55">
        <w:rPr>
          <w:sz w:val="22"/>
          <w:szCs w:val="22"/>
          <w:lang w:eastAsia="ja-JP"/>
        </w:rPr>
        <w:t>double-pane windows, and around 7.2% (7.9 million homes) have double-pane windows with low-e coating.</w:t>
      </w:r>
      <w:r w:rsidR="00C82E55">
        <w:rPr>
          <w:rStyle w:val="FootnoteReference"/>
          <w:szCs w:val="22"/>
          <w:lang w:eastAsia="ja-JP"/>
        </w:rPr>
        <w:footnoteReference w:id="2"/>
      </w:r>
      <w:r w:rsidR="00C82E55">
        <w:rPr>
          <w:sz w:val="22"/>
          <w:szCs w:val="22"/>
          <w:lang w:eastAsia="ja-JP"/>
        </w:rPr>
        <w:t xml:space="preserve"> We further weight-average these data based on the square footage of the buildings to take into account the fact that commercial buildings are typically larger than residential buildings.</w:t>
      </w:r>
      <w:r w:rsidR="00C82E55">
        <w:rPr>
          <w:rStyle w:val="FootnoteReference"/>
          <w:szCs w:val="22"/>
          <w:lang w:eastAsia="ja-JP"/>
        </w:rPr>
        <w:footnoteReference w:id="3"/>
      </w:r>
      <w:r w:rsidR="00C82E55">
        <w:rPr>
          <w:sz w:val="22"/>
          <w:szCs w:val="22"/>
          <w:lang w:eastAsia="ja-JP"/>
        </w:rPr>
        <w:t xml:space="preserve"> The results are</w:t>
      </w:r>
      <w:r w:rsidR="003B76A6">
        <w:rPr>
          <w:sz w:val="22"/>
          <w:szCs w:val="22"/>
          <w:lang w:eastAsia="ja-JP"/>
        </w:rPr>
        <w:t xml:space="preserve"> tabulated </w:t>
      </w:r>
      <w:r w:rsidR="003B76A6" w:rsidRPr="00D20F14">
        <w:rPr>
          <w:sz w:val="22"/>
          <w:szCs w:val="22"/>
          <w:lang w:eastAsia="ja-JP"/>
        </w:rPr>
        <w:t xml:space="preserve">in </w:t>
      </w:r>
      <w:r w:rsidR="003B76A6" w:rsidRPr="00D20F14">
        <w:rPr>
          <w:sz w:val="22"/>
          <w:szCs w:val="22"/>
          <w:lang w:eastAsia="ja-JP"/>
        </w:rPr>
        <w:fldChar w:fldCharType="begin"/>
      </w:r>
      <w:r w:rsidR="003B76A6" w:rsidRPr="00D20F14">
        <w:rPr>
          <w:sz w:val="22"/>
          <w:szCs w:val="22"/>
          <w:lang w:eastAsia="ja-JP"/>
        </w:rPr>
        <w:instrText xml:space="preserve"> REF _Ref447273146 \h </w:instrText>
      </w:r>
      <w:r w:rsidR="00D20F14">
        <w:rPr>
          <w:sz w:val="22"/>
          <w:szCs w:val="22"/>
          <w:lang w:eastAsia="ja-JP"/>
        </w:rPr>
        <w:instrText xml:space="preserve"> \* MERGEFORMAT </w:instrText>
      </w:r>
      <w:r w:rsidR="003B76A6" w:rsidRPr="00D20F14">
        <w:rPr>
          <w:sz w:val="22"/>
          <w:szCs w:val="22"/>
          <w:lang w:eastAsia="ja-JP"/>
        </w:rPr>
      </w:r>
      <w:r w:rsidR="003B76A6" w:rsidRPr="00D20F14">
        <w:rPr>
          <w:sz w:val="22"/>
          <w:szCs w:val="22"/>
          <w:lang w:eastAsia="ja-JP"/>
        </w:rPr>
        <w:fldChar w:fldCharType="separate"/>
      </w:r>
      <w:r w:rsidR="000462E5" w:rsidRPr="000462E5">
        <w:rPr>
          <w:sz w:val="22"/>
          <w:szCs w:val="22"/>
        </w:rPr>
        <w:t xml:space="preserve">Table </w:t>
      </w:r>
      <w:r w:rsidR="000462E5" w:rsidRPr="000462E5">
        <w:rPr>
          <w:noProof/>
          <w:sz w:val="22"/>
          <w:szCs w:val="22"/>
        </w:rPr>
        <w:t>3</w:t>
      </w:r>
      <w:r w:rsidR="003B76A6" w:rsidRPr="00D20F14">
        <w:rPr>
          <w:sz w:val="22"/>
          <w:szCs w:val="22"/>
          <w:lang w:eastAsia="ja-JP"/>
        </w:rPr>
        <w:fldChar w:fldCharType="end"/>
      </w:r>
      <w:r w:rsidR="00D20F14" w:rsidRPr="00D20F14">
        <w:rPr>
          <w:sz w:val="22"/>
          <w:szCs w:val="22"/>
          <w:lang w:eastAsia="ja-JP"/>
        </w:rPr>
        <w:t>.</w:t>
      </w:r>
    </w:p>
    <w:p w:rsidR="008A63EF" w:rsidRDefault="008A63EF" w:rsidP="008A63EF">
      <w:pPr>
        <w:pStyle w:val="Caption"/>
      </w:pPr>
      <w:bookmarkStart w:id="11" w:name="_Ref447273146"/>
      <w:r>
        <w:t xml:space="preserve">Table </w:t>
      </w:r>
      <w:r w:rsidR="009B278C">
        <w:fldChar w:fldCharType="begin"/>
      </w:r>
      <w:r w:rsidR="009B278C">
        <w:instrText xml:space="preserve"> SEQ Table \* ARABIC </w:instrText>
      </w:r>
      <w:r w:rsidR="009B278C">
        <w:fldChar w:fldCharType="separate"/>
      </w:r>
      <w:r w:rsidR="000462E5">
        <w:rPr>
          <w:noProof/>
        </w:rPr>
        <w:t>3</w:t>
      </w:r>
      <w:r w:rsidR="009B278C">
        <w:rPr>
          <w:noProof/>
        </w:rPr>
        <w:fldChar w:fldCharType="end"/>
      </w:r>
      <w:bookmarkEnd w:id="11"/>
      <w:r>
        <w:t>. Building and Window stock in the U.S.</w:t>
      </w:r>
    </w:p>
    <w:tbl>
      <w:tblPr>
        <w:tblW w:w="9705" w:type="dxa"/>
        <w:tblLook w:val="04A0" w:firstRow="1" w:lastRow="0" w:firstColumn="1" w:lastColumn="0" w:noHBand="0" w:noVBand="1"/>
      </w:tblPr>
      <w:tblGrid>
        <w:gridCol w:w="1695"/>
        <w:gridCol w:w="1440"/>
        <w:gridCol w:w="1440"/>
        <w:gridCol w:w="1710"/>
        <w:gridCol w:w="1260"/>
        <w:gridCol w:w="2160"/>
      </w:tblGrid>
      <w:tr w:rsidR="008A63EF" w:rsidRPr="00D20F14" w:rsidTr="009C53A7">
        <w:trPr>
          <w:trHeight w:val="744"/>
        </w:trPr>
        <w:tc>
          <w:tcPr>
            <w:tcW w:w="1695" w:type="dxa"/>
            <w:tcBorders>
              <w:top w:val="single" w:sz="12" w:space="0" w:color="auto"/>
              <w:left w:val="single" w:sz="12" w:space="0" w:color="auto"/>
              <w:bottom w:val="single" w:sz="12" w:space="0" w:color="auto"/>
              <w:right w:val="single" w:sz="12" w:space="0" w:color="auto"/>
            </w:tcBorders>
            <w:shd w:val="clear" w:color="auto" w:fill="auto"/>
            <w:vAlign w:val="bottom"/>
            <w:hideMark/>
          </w:tcPr>
          <w:p w:rsidR="008A63EF" w:rsidRPr="00997354" w:rsidRDefault="008A63EF" w:rsidP="009C53A7">
            <w:pPr>
              <w:overflowPunct/>
              <w:autoSpaceDE/>
              <w:autoSpaceDN/>
              <w:adjustRightInd/>
              <w:spacing w:after="0"/>
              <w:textAlignment w:val="auto"/>
              <w:rPr>
                <w:rFonts w:eastAsia="Times New Roman"/>
                <w:color w:val="000000"/>
                <w:sz w:val="22"/>
                <w:szCs w:val="24"/>
                <w:lang w:val="en-US" w:eastAsia="zh-CN"/>
              </w:rPr>
            </w:pPr>
            <w:r w:rsidRPr="00997354">
              <w:rPr>
                <w:rFonts w:eastAsia="Times New Roman"/>
                <w:color w:val="000000"/>
                <w:sz w:val="22"/>
                <w:szCs w:val="24"/>
                <w:lang w:val="en-US" w:eastAsia="zh-CN"/>
              </w:rPr>
              <w:t> </w:t>
            </w:r>
          </w:p>
        </w:tc>
        <w:tc>
          <w:tcPr>
            <w:tcW w:w="1440" w:type="dxa"/>
            <w:tcBorders>
              <w:top w:val="single" w:sz="12" w:space="0" w:color="auto"/>
              <w:left w:val="nil"/>
              <w:bottom w:val="single" w:sz="12" w:space="0" w:color="auto"/>
              <w:right w:val="single" w:sz="4" w:space="0" w:color="auto"/>
            </w:tcBorders>
            <w:shd w:val="clear" w:color="auto" w:fill="auto"/>
            <w:vAlign w:val="bottom"/>
            <w:hideMark/>
          </w:tcPr>
          <w:p w:rsidR="008A63EF" w:rsidRPr="00997354" w:rsidRDefault="008A63EF" w:rsidP="009C53A7">
            <w:pPr>
              <w:overflowPunct/>
              <w:autoSpaceDE/>
              <w:autoSpaceDN/>
              <w:adjustRightInd/>
              <w:spacing w:after="0"/>
              <w:textAlignment w:val="auto"/>
              <w:rPr>
                <w:rFonts w:eastAsia="Times New Roman"/>
                <w:color w:val="000000"/>
                <w:sz w:val="22"/>
                <w:szCs w:val="24"/>
                <w:lang w:val="en-US" w:eastAsia="zh-CN"/>
              </w:rPr>
            </w:pPr>
            <w:r w:rsidRPr="00997354">
              <w:rPr>
                <w:rFonts w:eastAsia="Times New Roman"/>
                <w:color w:val="000000"/>
                <w:sz w:val="22"/>
                <w:szCs w:val="24"/>
                <w:lang w:val="en-US" w:eastAsia="zh-CN"/>
              </w:rPr>
              <w:t>Number of buildings (million)</w:t>
            </w:r>
          </w:p>
        </w:tc>
        <w:tc>
          <w:tcPr>
            <w:tcW w:w="1440" w:type="dxa"/>
            <w:tcBorders>
              <w:top w:val="single" w:sz="12" w:space="0" w:color="auto"/>
              <w:left w:val="nil"/>
              <w:bottom w:val="single" w:sz="12" w:space="0" w:color="auto"/>
              <w:right w:val="single" w:sz="4" w:space="0" w:color="auto"/>
            </w:tcBorders>
            <w:shd w:val="clear" w:color="auto" w:fill="auto"/>
            <w:vAlign w:val="bottom"/>
            <w:hideMark/>
          </w:tcPr>
          <w:p w:rsidR="008A63EF" w:rsidRPr="00997354" w:rsidRDefault="008A63EF" w:rsidP="009C53A7">
            <w:pPr>
              <w:overflowPunct/>
              <w:autoSpaceDE/>
              <w:autoSpaceDN/>
              <w:adjustRightInd/>
              <w:spacing w:after="0"/>
              <w:textAlignment w:val="auto"/>
              <w:rPr>
                <w:rFonts w:eastAsia="Times New Roman"/>
                <w:color w:val="000000"/>
                <w:sz w:val="22"/>
                <w:szCs w:val="24"/>
                <w:lang w:val="en-US" w:eastAsia="zh-CN"/>
              </w:rPr>
            </w:pPr>
            <w:r w:rsidRPr="00997354">
              <w:rPr>
                <w:rFonts w:eastAsia="Times New Roman"/>
                <w:color w:val="000000"/>
                <w:sz w:val="22"/>
                <w:szCs w:val="24"/>
                <w:lang w:val="en-US" w:eastAsia="zh-CN"/>
              </w:rPr>
              <w:t>Total area (billion square foot)</w:t>
            </w:r>
          </w:p>
        </w:tc>
        <w:tc>
          <w:tcPr>
            <w:tcW w:w="1710" w:type="dxa"/>
            <w:tcBorders>
              <w:top w:val="single" w:sz="12" w:space="0" w:color="auto"/>
              <w:left w:val="nil"/>
              <w:bottom w:val="single" w:sz="12" w:space="0" w:color="auto"/>
              <w:right w:val="single" w:sz="4" w:space="0" w:color="auto"/>
            </w:tcBorders>
            <w:shd w:val="clear" w:color="auto" w:fill="auto"/>
            <w:vAlign w:val="bottom"/>
            <w:hideMark/>
          </w:tcPr>
          <w:p w:rsidR="008A63EF" w:rsidRPr="00997354" w:rsidRDefault="008A63EF" w:rsidP="009C53A7">
            <w:pPr>
              <w:overflowPunct/>
              <w:autoSpaceDE/>
              <w:autoSpaceDN/>
              <w:adjustRightInd/>
              <w:spacing w:after="0"/>
              <w:textAlignment w:val="auto"/>
              <w:rPr>
                <w:rFonts w:eastAsia="Times New Roman"/>
                <w:color w:val="000000"/>
                <w:sz w:val="22"/>
                <w:szCs w:val="24"/>
                <w:lang w:val="en-US" w:eastAsia="zh-CN"/>
              </w:rPr>
            </w:pPr>
            <w:r w:rsidRPr="00997354">
              <w:rPr>
                <w:rFonts w:eastAsia="Times New Roman"/>
                <w:color w:val="000000"/>
                <w:sz w:val="22"/>
                <w:szCs w:val="24"/>
                <w:lang w:val="en-US" w:eastAsia="zh-CN"/>
              </w:rPr>
              <w:t>Clear windows (single- or double-pane)</w:t>
            </w:r>
          </w:p>
        </w:tc>
        <w:tc>
          <w:tcPr>
            <w:tcW w:w="1260" w:type="dxa"/>
            <w:tcBorders>
              <w:top w:val="single" w:sz="12" w:space="0" w:color="auto"/>
              <w:left w:val="nil"/>
              <w:bottom w:val="single" w:sz="12" w:space="0" w:color="auto"/>
              <w:right w:val="nil"/>
            </w:tcBorders>
            <w:shd w:val="clear" w:color="auto" w:fill="auto"/>
            <w:vAlign w:val="bottom"/>
            <w:hideMark/>
          </w:tcPr>
          <w:p w:rsidR="008A63EF" w:rsidRPr="00997354" w:rsidRDefault="008A63EF" w:rsidP="009C53A7">
            <w:pPr>
              <w:overflowPunct/>
              <w:autoSpaceDE/>
              <w:autoSpaceDN/>
              <w:adjustRightInd/>
              <w:spacing w:after="0"/>
              <w:textAlignment w:val="auto"/>
              <w:rPr>
                <w:rFonts w:eastAsia="Times New Roman"/>
                <w:color w:val="000000"/>
                <w:sz w:val="22"/>
                <w:szCs w:val="24"/>
                <w:lang w:val="en-US" w:eastAsia="zh-CN"/>
              </w:rPr>
            </w:pPr>
            <w:r w:rsidRPr="00997354">
              <w:rPr>
                <w:rFonts w:eastAsia="Times New Roman"/>
                <w:color w:val="000000"/>
                <w:sz w:val="22"/>
                <w:szCs w:val="24"/>
                <w:lang w:val="en-US" w:eastAsia="zh-CN"/>
              </w:rPr>
              <w:t>Single-layer low-e coated</w:t>
            </w:r>
          </w:p>
        </w:tc>
        <w:tc>
          <w:tcPr>
            <w:tcW w:w="2160" w:type="dxa"/>
            <w:tcBorders>
              <w:top w:val="single" w:sz="12" w:space="0" w:color="auto"/>
              <w:left w:val="single" w:sz="4" w:space="0" w:color="auto"/>
              <w:bottom w:val="single" w:sz="12" w:space="0" w:color="auto"/>
              <w:right w:val="single" w:sz="12" w:space="0" w:color="auto"/>
            </w:tcBorders>
            <w:shd w:val="clear" w:color="auto" w:fill="auto"/>
            <w:vAlign w:val="bottom"/>
            <w:hideMark/>
          </w:tcPr>
          <w:p w:rsidR="008A63EF" w:rsidRPr="00997354" w:rsidRDefault="008A63EF" w:rsidP="009C53A7">
            <w:pPr>
              <w:overflowPunct/>
              <w:autoSpaceDE/>
              <w:autoSpaceDN/>
              <w:adjustRightInd/>
              <w:spacing w:after="0"/>
              <w:textAlignment w:val="auto"/>
              <w:rPr>
                <w:rFonts w:eastAsia="Times New Roman"/>
                <w:color w:val="000000"/>
                <w:sz w:val="22"/>
                <w:szCs w:val="24"/>
                <w:lang w:val="en-US" w:eastAsia="zh-CN"/>
              </w:rPr>
            </w:pPr>
            <w:r w:rsidRPr="00997354">
              <w:rPr>
                <w:rFonts w:eastAsia="Times New Roman"/>
                <w:color w:val="000000"/>
                <w:sz w:val="22"/>
                <w:szCs w:val="24"/>
                <w:lang w:val="en-US" w:eastAsia="zh-CN"/>
              </w:rPr>
              <w:t>Tinted, reflective, or double-layer low-e coated</w:t>
            </w:r>
          </w:p>
        </w:tc>
      </w:tr>
      <w:tr w:rsidR="008A63EF" w:rsidRPr="00D20F14" w:rsidTr="009C53A7">
        <w:trPr>
          <w:trHeight w:val="372"/>
        </w:trPr>
        <w:tc>
          <w:tcPr>
            <w:tcW w:w="1695" w:type="dxa"/>
            <w:tcBorders>
              <w:top w:val="nil"/>
              <w:left w:val="single" w:sz="12" w:space="0" w:color="auto"/>
              <w:bottom w:val="single" w:sz="4" w:space="0" w:color="auto"/>
              <w:right w:val="single" w:sz="12" w:space="0" w:color="auto"/>
            </w:tcBorders>
            <w:shd w:val="clear" w:color="auto" w:fill="auto"/>
            <w:noWrap/>
            <w:vAlign w:val="bottom"/>
            <w:hideMark/>
          </w:tcPr>
          <w:p w:rsidR="008A63EF" w:rsidRPr="00997354" w:rsidRDefault="008A63EF" w:rsidP="009C53A7">
            <w:pPr>
              <w:overflowPunct/>
              <w:autoSpaceDE/>
              <w:autoSpaceDN/>
              <w:adjustRightInd/>
              <w:spacing w:after="0"/>
              <w:textAlignment w:val="auto"/>
              <w:rPr>
                <w:rFonts w:eastAsia="Times New Roman"/>
                <w:color w:val="000000"/>
                <w:sz w:val="22"/>
                <w:szCs w:val="24"/>
                <w:lang w:val="en-US" w:eastAsia="zh-CN"/>
              </w:rPr>
            </w:pPr>
            <w:r w:rsidRPr="00997354">
              <w:rPr>
                <w:rFonts w:eastAsia="Times New Roman"/>
                <w:color w:val="000000"/>
                <w:sz w:val="22"/>
                <w:szCs w:val="24"/>
                <w:lang w:val="en-US" w:eastAsia="zh-CN"/>
              </w:rPr>
              <w:lastRenderedPageBreak/>
              <w:t>Commercial buildings</w:t>
            </w:r>
          </w:p>
        </w:tc>
        <w:tc>
          <w:tcPr>
            <w:tcW w:w="1440" w:type="dxa"/>
            <w:tcBorders>
              <w:top w:val="nil"/>
              <w:left w:val="nil"/>
              <w:bottom w:val="single" w:sz="4" w:space="0" w:color="auto"/>
              <w:right w:val="single" w:sz="4" w:space="0" w:color="auto"/>
            </w:tcBorders>
            <w:shd w:val="clear" w:color="auto" w:fill="auto"/>
            <w:noWrap/>
            <w:vAlign w:val="bottom"/>
            <w:hideMark/>
          </w:tcPr>
          <w:p w:rsidR="008A63EF" w:rsidRPr="00997354" w:rsidRDefault="008A63EF" w:rsidP="009C53A7">
            <w:pPr>
              <w:overflowPunct/>
              <w:autoSpaceDE/>
              <w:autoSpaceDN/>
              <w:adjustRightInd/>
              <w:spacing w:after="0"/>
              <w:jc w:val="right"/>
              <w:textAlignment w:val="auto"/>
              <w:rPr>
                <w:rFonts w:eastAsia="Times New Roman"/>
                <w:color w:val="000000"/>
                <w:sz w:val="22"/>
                <w:szCs w:val="24"/>
                <w:lang w:val="en-US" w:eastAsia="zh-CN"/>
              </w:rPr>
            </w:pPr>
            <w:r w:rsidRPr="00997354">
              <w:rPr>
                <w:rFonts w:eastAsia="Times New Roman"/>
                <w:color w:val="000000"/>
                <w:sz w:val="22"/>
                <w:szCs w:val="24"/>
                <w:lang w:val="en-US" w:eastAsia="zh-CN"/>
              </w:rPr>
              <w:t>5.6</w:t>
            </w:r>
          </w:p>
        </w:tc>
        <w:tc>
          <w:tcPr>
            <w:tcW w:w="1440" w:type="dxa"/>
            <w:tcBorders>
              <w:top w:val="nil"/>
              <w:left w:val="nil"/>
              <w:bottom w:val="single" w:sz="4" w:space="0" w:color="auto"/>
              <w:right w:val="single" w:sz="4" w:space="0" w:color="auto"/>
            </w:tcBorders>
            <w:shd w:val="clear" w:color="auto" w:fill="auto"/>
            <w:noWrap/>
            <w:vAlign w:val="bottom"/>
            <w:hideMark/>
          </w:tcPr>
          <w:p w:rsidR="008A63EF" w:rsidRPr="00997354" w:rsidRDefault="008A63EF" w:rsidP="009C53A7">
            <w:pPr>
              <w:overflowPunct/>
              <w:autoSpaceDE/>
              <w:autoSpaceDN/>
              <w:adjustRightInd/>
              <w:spacing w:after="0"/>
              <w:jc w:val="right"/>
              <w:textAlignment w:val="auto"/>
              <w:rPr>
                <w:rFonts w:eastAsia="Times New Roman"/>
                <w:color w:val="000000"/>
                <w:sz w:val="22"/>
                <w:szCs w:val="24"/>
                <w:lang w:val="en-US" w:eastAsia="zh-CN"/>
              </w:rPr>
            </w:pPr>
            <w:r w:rsidRPr="00997354">
              <w:rPr>
                <w:rFonts w:eastAsia="Times New Roman"/>
                <w:color w:val="000000"/>
                <w:sz w:val="22"/>
                <w:szCs w:val="24"/>
                <w:lang w:val="en-US" w:eastAsia="zh-CN"/>
              </w:rPr>
              <w:t>87</w:t>
            </w:r>
          </w:p>
        </w:tc>
        <w:tc>
          <w:tcPr>
            <w:tcW w:w="1710" w:type="dxa"/>
            <w:tcBorders>
              <w:top w:val="nil"/>
              <w:left w:val="nil"/>
              <w:bottom w:val="single" w:sz="4" w:space="0" w:color="auto"/>
              <w:right w:val="single" w:sz="4" w:space="0" w:color="auto"/>
            </w:tcBorders>
            <w:shd w:val="clear" w:color="auto" w:fill="auto"/>
            <w:noWrap/>
            <w:vAlign w:val="bottom"/>
            <w:hideMark/>
          </w:tcPr>
          <w:p w:rsidR="008A63EF" w:rsidRPr="00997354" w:rsidRDefault="008A63EF" w:rsidP="009C53A7">
            <w:pPr>
              <w:overflowPunct/>
              <w:autoSpaceDE/>
              <w:autoSpaceDN/>
              <w:adjustRightInd/>
              <w:spacing w:after="0"/>
              <w:jc w:val="right"/>
              <w:textAlignment w:val="auto"/>
              <w:rPr>
                <w:rFonts w:eastAsia="Times New Roman"/>
                <w:color w:val="000000"/>
                <w:sz w:val="22"/>
                <w:szCs w:val="24"/>
                <w:lang w:val="en-US" w:eastAsia="zh-CN"/>
              </w:rPr>
            </w:pPr>
            <w:r w:rsidRPr="00997354">
              <w:rPr>
                <w:rFonts w:eastAsia="Times New Roman"/>
                <w:color w:val="000000"/>
                <w:sz w:val="22"/>
                <w:szCs w:val="24"/>
                <w:lang w:val="en-US" w:eastAsia="zh-CN"/>
              </w:rPr>
              <w:t>65%</w:t>
            </w:r>
          </w:p>
        </w:tc>
        <w:tc>
          <w:tcPr>
            <w:tcW w:w="1260" w:type="dxa"/>
            <w:tcBorders>
              <w:top w:val="nil"/>
              <w:left w:val="single" w:sz="4" w:space="0" w:color="auto"/>
              <w:bottom w:val="single" w:sz="4" w:space="0" w:color="auto"/>
              <w:right w:val="nil"/>
            </w:tcBorders>
            <w:shd w:val="clear" w:color="auto" w:fill="auto"/>
            <w:noWrap/>
            <w:vAlign w:val="bottom"/>
            <w:hideMark/>
          </w:tcPr>
          <w:p w:rsidR="008A63EF" w:rsidRPr="00997354" w:rsidRDefault="008A63EF" w:rsidP="009C53A7">
            <w:pPr>
              <w:overflowPunct/>
              <w:autoSpaceDE/>
              <w:autoSpaceDN/>
              <w:adjustRightInd/>
              <w:spacing w:after="0"/>
              <w:jc w:val="right"/>
              <w:textAlignment w:val="auto"/>
              <w:rPr>
                <w:rFonts w:eastAsia="Times New Roman"/>
                <w:color w:val="000000"/>
                <w:sz w:val="22"/>
                <w:szCs w:val="24"/>
                <w:lang w:val="en-US" w:eastAsia="zh-CN"/>
              </w:rPr>
            </w:pPr>
            <w:r w:rsidRPr="00997354">
              <w:rPr>
                <w:rFonts w:eastAsia="Times New Roman"/>
                <w:color w:val="000000"/>
                <w:sz w:val="22"/>
                <w:szCs w:val="24"/>
                <w:lang w:val="en-US" w:eastAsia="zh-CN"/>
              </w:rPr>
              <w:t>2%</w:t>
            </w:r>
          </w:p>
        </w:tc>
        <w:tc>
          <w:tcPr>
            <w:tcW w:w="2160" w:type="dxa"/>
            <w:tcBorders>
              <w:top w:val="nil"/>
              <w:left w:val="single" w:sz="4" w:space="0" w:color="auto"/>
              <w:bottom w:val="single" w:sz="4" w:space="0" w:color="auto"/>
              <w:right w:val="single" w:sz="12" w:space="0" w:color="auto"/>
            </w:tcBorders>
            <w:shd w:val="clear" w:color="auto" w:fill="auto"/>
            <w:noWrap/>
            <w:vAlign w:val="bottom"/>
            <w:hideMark/>
          </w:tcPr>
          <w:p w:rsidR="008A63EF" w:rsidRPr="00997354" w:rsidRDefault="008A63EF" w:rsidP="009C53A7">
            <w:pPr>
              <w:overflowPunct/>
              <w:autoSpaceDE/>
              <w:autoSpaceDN/>
              <w:adjustRightInd/>
              <w:spacing w:after="0"/>
              <w:jc w:val="right"/>
              <w:textAlignment w:val="auto"/>
              <w:rPr>
                <w:rFonts w:eastAsia="Times New Roman"/>
                <w:color w:val="000000"/>
                <w:sz w:val="22"/>
                <w:szCs w:val="24"/>
                <w:lang w:val="en-US" w:eastAsia="zh-CN"/>
              </w:rPr>
            </w:pPr>
            <w:r w:rsidRPr="00997354">
              <w:rPr>
                <w:rFonts w:eastAsia="Times New Roman"/>
                <w:color w:val="000000"/>
                <w:sz w:val="22"/>
                <w:szCs w:val="24"/>
                <w:lang w:val="en-US" w:eastAsia="zh-CN"/>
              </w:rPr>
              <w:t>33%</w:t>
            </w:r>
          </w:p>
        </w:tc>
      </w:tr>
      <w:tr w:rsidR="008A63EF" w:rsidRPr="00D20F14" w:rsidTr="009C53A7">
        <w:trPr>
          <w:trHeight w:val="360"/>
        </w:trPr>
        <w:tc>
          <w:tcPr>
            <w:tcW w:w="1695" w:type="dxa"/>
            <w:tcBorders>
              <w:top w:val="nil"/>
              <w:left w:val="single" w:sz="12" w:space="0" w:color="auto"/>
              <w:bottom w:val="single" w:sz="4" w:space="0" w:color="auto"/>
              <w:right w:val="single" w:sz="12" w:space="0" w:color="auto"/>
            </w:tcBorders>
            <w:shd w:val="clear" w:color="auto" w:fill="auto"/>
            <w:noWrap/>
            <w:vAlign w:val="bottom"/>
            <w:hideMark/>
          </w:tcPr>
          <w:p w:rsidR="008A63EF" w:rsidRPr="00997354" w:rsidRDefault="008A63EF" w:rsidP="009C53A7">
            <w:pPr>
              <w:overflowPunct/>
              <w:autoSpaceDE/>
              <w:autoSpaceDN/>
              <w:adjustRightInd/>
              <w:spacing w:after="0"/>
              <w:textAlignment w:val="auto"/>
              <w:rPr>
                <w:rFonts w:eastAsia="Times New Roman"/>
                <w:color w:val="000000"/>
                <w:sz w:val="22"/>
                <w:szCs w:val="24"/>
                <w:lang w:val="en-US" w:eastAsia="zh-CN"/>
              </w:rPr>
            </w:pPr>
            <w:r w:rsidRPr="00997354">
              <w:rPr>
                <w:rFonts w:eastAsia="Times New Roman"/>
                <w:color w:val="000000"/>
                <w:sz w:val="22"/>
                <w:szCs w:val="24"/>
                <w:lang w:val="en-US" w:eastAsia="zh-CN"/>
              </w:rPr>
              <w:t>Residential buildings</w:t>
            </w:r>
          </w:p>
        </w:tc>
        <w:tc>
          <w:tcPr>
            <w:tcW w:w="1440" w:type="dxa"/>
            <w:tcBorders>
              <w:top w:val="nil"/>
              <w:left w:val="nil"/>
              <w:bottom w:val="single" w:sz="4" w:space="0" w:color="auto"/>
              <w:right w:val="single" w:sz="4" w:space="0" w:color="auto"/>
            </w:tcBorders>
            <w:shd w:val="clear" w:color="auto" w:fill="auto"/>
            <w:noWrap/>
            <w:vAlign w:val="bottom"/>
            <w:hideMark/>
          </w:tcPr>
          <w:p w:rsidR="008A63EF" w:rsidRPr="00997354" w:rsidRDefault="008A63EF" w:rsidP="009C53A7">
            <w:pPr>
              <w:overflowPunct/>
              <w:autoSpaceDE/>
              <w:autoSpaceDN/>
              <w:adjustRightInd/>
              <w:spacing w:after="0"/>
              <w:jc w:val="right"/>
              <w:textAlignment w:val="auto"/>
              <w:rPr>
                <w:rFonts w:eastAsia="Times New Roman"/>
                <w:color w:val="000000"/>
                <w:sz w:val="22"/>
                <w:szCs w:val="24"/>
                <w:lang w:val="en-US" w:eastAsia="zh-CN"/>
              </w:rPr>
            </w:pPr>
            <w:r w:rsidRPr="00997354">
              <w:rPr>
                <w:rFonts w:eastAsia="Times New Roman"/>
                <w:color w:val="000000"/>
                <w:sz w:val="22"/>
                <w:szCs w:val="24"/>
                <w:lang w:val="en-US" w:eastAsia="zh-CN"/>
              </w:rPr>
              <w:t>109.2</w:t>
            </w:r>
          </w:p>
        </w:tc>
        <w:tc>
          <w:tcPr>
            <w:tcW w:w="1440" w:type="dxa"/>
            <w:tcBorders>
              <w:top w:val="nil"/>
              <w:left w:val="nil"/>
              <w:bottom w:val="single" w:sz="4" w:space="0" w:color="auto"/>
              <w:right w:val="single" w:sz="4" w:space="0" w:color="auto"/>
            </w:tcBorders>
            <w:shd w:val="clear" w:color="auto" w:fill="auto"/>
            <w:noWrap/>
            <w:vAlign w:val="bottom"/>
            <w:hideMark/>
          </w:tcPr>
          <w:p w:rsidR="008A63EF" w:rsidRPr="00997354" w:rsidRDefault="008A63EF" w:rsidP="009C53A7">
            <w:pPr>
              <w:overflowPunct/>
              <w:autoSpaceDE/>
              <w:autoSpaceDN/>
              <w:adjustRightInd/>
              <w:spacing w:after="0"/>
              <w:jc w:val="right"/>
              <w:textAlignment w:val="auto"/>
              <w:rPr>
                <w:rFonts w:eastAsia="Times New Roman"/>
                <w:color w:val="000000"/>
                <w:sz w:val="22"/>
                <w:szCs w:val="24"/>
                <w:lang w:val="en-US" w:eastAsia="zh-CN"/>
              </w:rPr>
            </w:pPr>
            <w:r w:rsidRPr="00997354">
              <w:rPr>
                <w:rFonts w:eastAsia="Times New Roman"/>
                <w:color w:val="000000"/>
                <w:sz w:val="22"/>
                <w:szCs w:val="24"/>
                <w:lang w:val="en-US" w:eastAsia="zh-CN"/>
              </w:rPr>
              <w:t>223.9</w:t>
            </w:r>
          </w:p>
        </w:tc>
        <w:tc>
          <w:tcPr>
            <w:tcW w:w="1710" w:type="dxa"/>
            <w:tcBorders>
              <w:top w:val="nil"/>
              <w:left w:val="nil"/>
              <w:bottom w:val="single" w:sz="4" w:space="0" w:color="auto"/>
              <w:right w:val="single" w:sz="4" w:space="0" w:color="auto"/>
            </w:tcBorders>
            <w:shd w:val="clear" w:color="auto" w:fill="auto"/>
            <w:noWrap/>
            <w:vAlign w:val="bottom"/>
            <w:hideMark/>
          </w:tcPr>
          <w:p w:rsidR="008A63EF" w:rsidRPr="00997354" w:rsidRDefault="008A63EF" w:rsidP="009C53A7">
            <w:pPr>
              <w:overflowPunct/>
              <w:autoSpaceDE/>
              <w:autoSpaceDN/>
              <w:adjustRightInd/>
              <w:spacing w:after="0"/>
              <w:jc w:val="right"/>
              <w:textAlignment w:val="auto"/>
              <w:rPr>
                <w:rFonts w:eastAsia="Times New Roman"/>
                <w:color w:val="000000"/>
                <w:sz w:val="22"/>
                <w:szCs w:val="24"/>
                <w:lang w:val="en-US" w:eastAsia="zh-CN"/>
              </w:rPr>
            </w:pPr>
            <w:r w:rsidRPr="00997354">
              <w:rPr>
                <w:rFonts w:eastAsia="Times New Roman"/>
                <w:color w:val="000000"/>
                <w:sz w:val="22"/>
                <w:szCs w:val="24"/>
                <w:lang w:val="en-US" w:eastAsia="zh-CN"/>
              </w:rPr>
              <w:t>93%</w:t>
            </w:r>
          </w:p>
        </w:tc>
        <w:tc>
          <w:tcPr>
            <w:tcW w:w="1260" w:type="dxa"/>
            <w:tcBorders>
              <w:top w:val="single" w:sz="4" w:space="0" w:color="auto"/>
              <w:left w:val="nil"/>
              <w:bottom w:val="single" w:sz="4" w:space="0" w:color="auto"/>
              <w:right w:val="nil"/>
            </w:tcBorders>
            <w:shd w:val="clear" w:color="auto" w:fill="auto"/>
            <w:noWrap/>
            <w:vAlign w:val="bottom"/>
            <w:hideMark/>
          </w:tcPr>
          <w:p w:rsidR="008A63EF" w:rsidRPr="00997354" w:rsidRDefault="008A63EF" w:rsidP="009C53A7">
            <w:pPr>
              <w:overflowPunct/>
              <w:autoSpaceDE/>
              <w:autoSpaceDN/>
              <w:adjustRightInd/>
              <w:spacing w:after="0"/>
              <w:jc w:val="right"/>
              <w:textAlignment w:val="auto"/>
              <w:rPr>
                <w:rFonts w:eastAsia="Times New Roman"/>
                <w:color w:val="000000"/>
                <w:sz w:val="22"/>
                <w:szCs w:val="24"/>
                <w:lang w:val="en-US" w:eastAsia="zh-CN"/>
              </w:rPr>
            </w:pPr>
            <w:r w:rsidRPr="00997354">
              <w:rPr>
                <w:rFonts w:eastAsia="Times New Roman"/>
                <w:color w:val="000000"/>
                <w:sz w:val="22"/>
                <w:szCs w:val="24"/>
                <w:lang w:val="en-US" w:eastAsia="zh-CN"/>
              </w:rPr>
              <w:t>7%</w:t>
            </w:r>
          </w:p>
        </w:tc>
        <w:tc>
          <w:tcPr>
            <w:tcW w:w="2160" w:type="dxa"/>
            <w:tcBorders>
              <w:top w:val="nil"/>
              <w:left w:val="single" w:sz="4" w:space="0" w:color="auto"/>
              <w:bottom w:val="single" w:sz="4" w:space="0" w:color="auto"/>
              <w:right w:val="single" w:sz="12" w:space="0" w:color="auto"/>
            </w:tcBorders>
            <w:shd w:val="clear" w:color="auto" w:fill="auto"/>
            <w:noWrap/>
            <w:vAlign w:val="bottom"/>
            <w:hideMark/>
          </w:tcPr>
          <w:p w:rsidR="008A63EF" w:rsidRPr="00997354" w:rsidRDefault="008A63EF" w:rsidP="009C53A7">
            <w:pPr>
              <w:overflowPunct/>
              <w:autoSpaceDE/>
              <w:autoSpaceDN/>
              <w:adjustRightInd/>
              <w:spacing w:after="0"/>
              <w:jc w:val="right"/>
              <w:textAlignment w:val="auto"/>
              <w:rPr>
                <w:rFonts w:eastAsia="Times New Roman"/>
                <w:color w:val="000000"/>
                <w:sz w:val="22"/>
                <w:szCs w:val="24"/>
                <w:lang w:val="en-US" w:eastAsia="zh-CN"/>
              </w:rPr>
            </w:pPr>
            <w:r w:rsidRPr="00997354">
              <w:rPr>
                <w:rFonts w:eastAsia="Times New Roman"/>
                <w:color w:val="000000"/>
                <w:sz w:val="22"/>
                <w:szCs w:val="24"/>
                <w:lang w:val="en-US" w:eastAsia="zh-CN"/>
              </w:rPr>
              <w:t>0%</w:t>
            </w:r>
          </w:p>
        </w:tc>
      </w:tr>
      <w:tr w:rsidR="008A63EF" w:rsidRPr="00D20F14" w:rsidTr="009C53A7">
        <w:trPr>
          <w:trHeight w:val="372"/>
        </w:trPr>
        <w:tc>
          <w:tcPr>
            <w:tcW w:w="1695" w:type="dxa"/>
            <w:tcBorders>
              <w:top w:val="nil"/>
              <w:left w:val="single" w:sz="12" w:space="0" w:color="auto"/>
              <w:bottom w:val="single" w:sz="12" w:space="0" w:color="auto"/>
              <w:right w:val="single" w:sz="12" w:space="0" w:color="auto"/>
            </w:tcBorders>
            <w:shd w:val="clear" w:color="auto" w:fill="auto"/>
            <w:noWrap/>
            <w:vAlign w:val="bottom"/>
            <w:hideMark/>
          </w:tcPr>
          <w:p w:rsidR="008A63EF" w:rsidRPr="00997354" w:rsidRDefault="008A63EF" w:rsidP="009C53A7">
            <w:pPr>
              <w:overflowPunct/>
              <w:autoSpaceDE/>
              <w:autoSpaceDN/>
              <w:adjustRightInd/>
              <w:spacing w:after="0"/>
              <w:textAlignment w:val="auto"/>
              <w:rPr>
                <w:rFonts w:eastAsia="Times New Roman"/>
                <w:color w:val="000000"/>
                <w:sz w:val="22"/>
                <w:szCs w:val="24"/>
                <w:lang w:val="en-US" w:eastAsia="zh-CN"/>
              </w:rPr>
            </w:pPr>
            <w:r w:rsidRPr="00997354">
              <w:rPr>
                <w:rFonts w:eastAsia="Times New Roman"/>
                <w:color w:val="000000"/>
                <w:sz w:val="22"/>
                <w:szCs w:val="24"/>
                <w:lang w:val="en-US" w:eastAsia="zh-CN"/>
              </w:rPr>
              <w:t>Total</w:t>
            </w:r>
          </w:p>
        </w:tc>
        <w:tc>
          <w:tcPr>
            <w:tcW w:w="1440" w:type="dxa"/>
            <w:tcBorders>
              <w:top w:val="nil"/>
              <w:left w:val="nil"/>
              <w:bottom w:val="single" w:sz="12" w:space="0" w:color="auto"/>
              <w:right w:val="single" w:sz="4" w:space="0" w:color="auto"/>
            </w:tcBorders>
            <w:shd w:val="clear" w:color="auto" w:fill="auto"/>
            <w:noWrap/>
            <w:vAlign w:val="bottom"/>
            <w:hideMark/>
          </w:tcPr>
          <w:p w:rsidR="008A63EF" w:rsidRPr="00997354" w:rsidRDefault="008A63EF" w:rsidP="009C53A7">
            <w:pPr>
              <w:overflowPunct/>
              <w:autoSpaceDE/>
              <w:autoSpaceDN/>
              <w:adjustRightInd/>
              <w:spacing w:after="0"/>
              <w:jc w:val="right"/>
              <w:textAlignment w:val="auto"/>
              <w:rPr>
                <w:rFonts w:eastAsia="Times New Roman"/>
                <w:color w:val="000000"/>
                <w:sz w:val="22"/>
                <w:szCs w:val="24"/>
                <w:lang w:val="en-US" w:eastAsia="zh-CN"/>
              </w:rPr>
            </w:pPr>
            <w:r w:rsidRPr="00997354">
              <w:rPr>
                <w:rFonts w:eastAsia="Times New Roman"/>
                <w:color w:val="000000"/>
                <w:sz w:val="22"/>
                <w:szCs w:val="24"/>
                <w:lang w:val="en-US" w:eastAsia="zh-CN"/>
              </w:rPr>
              <w:t>114.8</w:t>
            </w:r>
          </w:p>
        </w:tc>
        <w:tc>
          <w:tcPr>
            <w:tcW w:w="1440" w:type="dxa"/>
            <w:tcBorders>
              <w:top w:val="nil"/>
              <w:left w:val="nil"/>
              <w:bottom w:val="single" w:sz="12" w:space="0" w:color="auto"/>
              <w:right w:val="single" w:sz="4" w:space="0" w:color="auto"/>
            </w:tcBorders>
            <w:shd w:val="clear" w:color="auto" w:fill="auto"/>
            <w:noWrap/>
            <w:vAlign w:val="bottom"/>
            <w:hideMark/>
          </w:tcPr>
          <w:p w:rsidR="008A63EF" w:rsidRPr="00997354" w:rsidRDefault="008A63EF" w:rsidP="009C53A7">
            <w:pPr>
              <w:overflowPunct/>
              <w:autoSpaceDE/>
              <w:autoSpaceDN/>
              <w:adjustRightInd/>
              <w:spacing w:after="0"/>
              <w:jc w:val="right"/>
              <w:textAlignment w:val="auto"/>
              <w:rPr>
                <w:rFonts w:eastAsia="Times New Roman"/>
                <w:color w:val="000000"/>
                <w:sz w:val="22"/>
                <w:szCs w:val="24"/>
                <w:lang w:val="en-US" w:eastAsia="zh-CN"/>
              </w:rPr>
            </w:pPr>
            <w:r w:rsidRPr="00997354">
              <w:rPr>
                <w:rFonts w:eastAsia="Times New Roman"/>
                <w:color w:val="000000"/>
                <w:sz w:val="22"/>
                <w:szCs w:val="24"/>
                <w:lang w:val="en-US" w:eastAsia="zh-CN"/>
              </w:rPr>
              <w:t>310.9</w:t>
            </w:r>
          </w:p>
        </w:tc>
        <w:tc>
          <w:tcPr>
            <w:tcW w:w="1710" w:type="dxa"/>
            <w:tcBorders>
              <w:top w:val="nil"/>
              <w:left w:val="nil"/>
              <w:bottom w:val="single" w:sz="12" w:space="0" w:color="auto"/>
              <w:right w:val="single" w:sz="4" w:space="0" w:color="auto"/>
            </w:tcBorders>
            <w:shd w:val="clear" w:color="auto" w:fill="auto"/>
            <w:noWrap/>
            <w:vAlign w:val="bottom"/>
            <w:hideMark/>
          </w:tcPr>
          <w:p w:rsidR="008A63EF" w:rsidRPr="00997354" w:rsidRDefault="008A63EF" w:rsidP="009C53A7">
            <w:pPr>
              <w:overflowPunct/>
              <w:autoSpaceDE/>
              <w:autoSpaceDN/>
              <w:adjustRightInd/>
              <w:spacing w:after="0"/>
              <w:jc w:val="right"/>
              <w:textAlignment w:val="auto"/>
              <w:rPr>
                <w:rFonts w:eastAsia="Times New Roman"/>
                <w:b/>
                <w:color w:val="000000"/>
                <w:sz w:val="22"/>
                <w:szCs w:val="24"/>
                <w:lang w:val="en-US" w:eastAsia="zh-CN"/>
              </w:rPr>
            </w:pPr>
            <w:r w:rsidRPr="00997354">
              <w:rPr>
                <w:rFonts w:eastAsia="Times New Roman"/>
                <w:b/>
                <w:color w:val="000000"/>
                <w:sz w:val="22"/>
                <w:szCs w:val="24"/>
                <w:lang w:val="en-US" w:eastAsia="zh-CN"/>
              </w:rPr>
              <w:t>85%</w:t>
            </w:r>
            <w:r w:rsidRPr="00924C40">
              <w:rPr>
                <w:rFonts w:eastAsia="Times New Roman"/>
                <w:b/>
                <w:color w:val="000000"/>
                <w:sz w:val="22"/>
                <w:szCs w:val="24"/>
                <w:vertAlign w:val="superscript"/>
                <w:lang w:val="en-US" w:eastAsia="zh-CN"/>
              </w:rPr>
              <w:t>†</w:t>
            </w:r>
          </w:p>
        </w:tc>
        <w:tc>
          <w:tcPr>
            <w:tcW w:w="1260" w:type="dxa"/>
            <w:tcBorders>
              <w:top w:val="nil"/>
              <w:left w:val="nil"/>
              <w:bottom w:val="single" w:sz="12" w:space="0" w:color="auto"/>
              <w:right w:val="single" w:sz="4" w:space="0" w:color="auto"/>
            </w:tcBorders>
            <w:shd w:val="clear" w:color="auto" w:fill="auto"/>
            <w:noWrap/>
            <w:vAlign w:val="bottom"/>
            <w:hideMark/>
          </w:tcPr>
          <w:p w:rsidR="008A63EF" w:rsidRPr="00997354" w:rsidRDefault="008A63EF" w:rsidP="009C53A7">
            <w:pPr>
              <w:overflowPunct/>
              <w:autoSpaceDE/>
              <w:autoSpaceDN/>
              <w:adjustRightInd/>
              <w:spacing w:after="0"/>
              <w:jc w:val="right"/>
              <w:textAlignment w:val="auto"/>
              <w:rPr>
                <w:rFonts w:eastAsia="Times New Roman"/>
                <w:b/>
                <w:color w:val="000000"/>
                <w:sz w:val="22"/>
                <w:szCs w:val="24"/>
                <w:lang w:val="en-US" w:eastAsia="zh-CN"/>
              </w:rPr>
            </w:pPr>
            <w:r w:rsidRPr="00997354">
              <w:rPr>
                <w:rFonts w:eastAsia="Times New Roman"/>
                <w:b/>
                <w:color w:val="000000"/>
                <w:sz w:val="22"/>
                <w:szCs w:val="24"/>
                <w:lang w:val="en-US" w:eastAsia="zh-CN"/>
              </w:rPr>
              <w:t>6%</w:t>
            </w:r>
            <w:r w:rsidRPr="00924C40">
              <w:rPr>
                <w:rFonts w:eastAsia="Times New Roman"/>
                <w:b/>
                <w:color w:val="000000"/>
                <w:sz w:val="22"/>
                <w:szCs w:val="24"/>
                <w:vertAlign w:val="superscript"/>
                <w:lang w:val="en-US" w:eastAsia="zh-CN"/>
              </w:rPr>
              <w:t>†</w:t>
            </w:r>
          </w:p>
        </w:tc>
        <w:tc>
          <w:tcPr>
            <w:tcW w:w="2160" w:type="dxa"/>
            <w:tcBorders>
              <w:top w:val="nil"/>
              <w:left w:val="nil"/>
              <w:bottom w:val="single" w:sz="12" w:space="0" w:color="auto"/>
              <w:right w:val="single" w:sz="12" w:space="0" w:color="auto"/>
            </w:tcBorders>
            <w:shd w:val="clear" w:color="auto" w:fill="auto"/>
            <w:noWrap/>
            <w:vAlign w:val="bottom"/>
            <w:hideMark/>
          </w:tcPr>
          <w:p w:rsidR="008A63EF" w:rsidRPr="00997354" w:rsidRDefault="008A63EF" w:rsidP="009C53A7">
            <w:pPr>
              <w:overflowPunct/>
              <w:autoSpaceDE/>
              <w:autoSpaceDN/>
              <w:adjustRightInd/>
              <w:spacing w:after="0"/>
              <w:jc w:val="right"/>
              <w:textAlignment w:val="auto"/>
              <w:rPr>
                <w:rFonts w:eastAsia="Times New Roman"/>
                <w:b/>
                <w:color w:val="000000"/>
                <w:sz w:val="22"/>
                <w:szCs w:val="24"/>
                <w:lang w:val="en-US" w:eastAsia="zh-CN"/>
              </w:rPr>
            </w:pPr>
            <w:r w:rsidRPr="00997354">
              <w:rPr>
                <w:rFonts w:eastAsia="Times New Roman"/>
                <w:b/>
                <w:color w:val="000000"/>
                <w:sz w:val="22"/>
                <w:szCs w:val="24"/>
                <w:lang w:val="en-US" w:eastAsia="zh-CN"/>
              </w:rPr>
              <w:t>9%</w:t>
            </w:r>
            <w:r w:rsidRPr="00924C40">
              <w:rPr>
                <w:rFonts w:eastAsia="Times New Roman"/>
                <w:b/>
                <w:color w:val="000000"/>
                <w:sz w:val="22"/>
                <w:szCs w:val="24"/>
                <w:vertAlign w:val="superscript"/>
                <w:lang w:val="en-US" w:eastAsia="zh-CN"/>
              </w:rPr>
              <w:t>†</w:t>
            </w:r>
          </w:p>
        </w:tc>
      </w:tr>
    </w:tbl>
    <w:p w:rsidR="008A63EF" w:rsidRPr="00C9184B" w:rsidRDefault="008A63EF" w:rsidP="008A63EF">
      <w:pPr>
        <w:jc w:val="both"/>
        <w:rPr>
          <w:sz w:val="18"/>
          <w:szCs w:val="18"/>
          <w:lang w:eastAsia="ja-JP"/>
        </w:rPr>
      </w:pPr>
      <w:r w:rsidRPr="00C9184B">
        <w:rPr>
          <w:rFonts w:eastAsia="Times New Roman"/>
          <w:b/>
          <w:color w:val="000000"/>
          <w:sz w:val="18"/>
          <w:szCs w:val="18"/>
          <w:vertAlign w:val="superscript"/>
          <w:lang w:val="en-US" w:eastAsia="zh-CN"/>
        </w:rPr>
        <w:t xml:space="preserve">† </w:t>
      </w:r>
      <w:r w:rsidRPr="00C9184B">
        <w:rPr>
          <w:sz w:val="18"/>
          <w:szCs w:val="18"/>
          <w:lang w:eastAsia="ja-JP"/>
        </w:rPr>
        <w:t>Obtained by averaging the percentages of energy efficient windows in commercial and residential buildings</w:t>
      </w:r>
      <w:r>
        <w:rPr>
          <w:sz w:val="18"/>
          <w:szCs w:val="18"/>
          <w:lang w:eastAsia="ja-JP"/>
        </w:rPr>
        <w:t>,</w:t>
      </w:r>
      <w:r w:rsidRPr="00C9184B">
        <w:rPr>
          <w:sz w:val="18"/>
          <w:szCs w:val="18"/>
          <w:lang w:eastAsia="ja-JP"/>
        </w:rPr>
        <w:t xml:space="preserve"> weighted by area</w:t>
      </w:r>
    </w:p>
    <w:p w:rsidR="006449F1" w:rsidRDefault="001A147B" w:rsidP="0020508B">
      <w:pPr>
        <w:spacing w:before="120"/>
        <w:jc w:val="both"/>
        <w:rPr>
          <w:sz w:val="22"/>
          <w:szCs w:val="22"/>
          <w:lang w:eastAsia="ja-JP"/>
        </w:rPr>
      </w:pPr>
      <w:r>
        <w:rPr>
          <w:sz w:val="22"/>
          <w:szCs w:val="22"/>
          <w:lang w:eastAsia="ja-JP"/>
        </w:rPr>
        <w:t>We expect the percentage</w:t>
      </w:r>
      <w:r w:rsidR="003A413F">
        <w:rPr>
          <w:sz w:val="22"/>
          <w:szCs w:val="22"/>
          <w:lang w:eastAsia="ja-JP"/>
        </w:rPr>
        <w:t>s</w:t>
      </w:r>
      <w:r>
        <w:rPr>
          <w:sz w:val="22"/>
          <w:szCs w:val="22"/>
          <w:lang w:eastAsia="ja-JP"/>
        </w:rPr>
        <w:t xml:space="preserve"> of different types of windows among the building window stock to remain stable and slowly changing over the next 10 years. </w:t>
      </w:r>
      <w:r w:rsidR="006449F1">
        <w:rPr>
          <w:sz w:val="22"/>
          <w:szCs w:val="22"/>
          <w:lang w:eastAsia="ja-JP"/>
        </w:rPr>
        <w:t>First of all, i</w:t>
      </w:r>
      <w:r w:rsidR="00B9642F">
        <w:rPr>
          <w:sz w:val="22"/>
          <w:szCs w:val="22"/>
          <w:lang w:eastAsia="ja-JP"/>
        </w:rPr>
        <w:t xml:space="preserve">t takes a long time for the building stock and window stock to turn over. More than 60% of the commercial buildings and more than 70% of the residential buildings in the U.S. was built before 1990 (over 25 years old). </w:t>
      </w:r>
      <w:r w:rsidR="0015401A">
        <w:rPr>
          <w:sz w:val="22"/>
          <w:szCs w:val="22"/>
          <w:lang w:eastAsia="ja-JP"/>
        </w:rPr>
        <w:t>N</w:t>
      </w:r>
      <w:r w:rsidR="00B9642F">
        <w:rPr>
          <w:sz w:val="22"/>
          <w:szCs w:val="22"/>
          <w:lang w:eastAsia="ja-JP"/>
        </w:rPr>
        <w:t xml:space="preserve">ew building construction </w:t>
      </w:r>
      <w:r w:rsidR="0015401A">
        <w:rPr>
          <w:sz w:val="22"/>
          <w:szCs w:val="22"/>
          <w:lang w:eastAsia="ja-JP"/>
        </w:rPr>
        <w:t>is estimated to be around 1% per year in U.S.</w:t>
      </w:r>
      <w:r w:rsidR="00F1646E">
        <w:rPr>
          <w:sz w:val="22"/>
          <w:szCs w:val="22"/>
          <w:lang w:eastAsia="ja-JP"/>
        </w:rPr>
        <w:t xml:space="preserve"> </w:t>
      </w:r>
      <w:r w:rsidR="0015401A">
        <w:rPr>
          <w:sz w:val="22"/>
          <w:szCs w:val="22"/>
          <w:lang w:eastAsia="ja-JP"/>
        </w:rPr>
        <w:t xml:space="preserve">and </w:t>
      </w:r>
      <w:r w:rsidR="004A1273">
        <w:rPr>
          <w:sz w:val="22"/>
          <w:szCs w:val="22"/>
          <w:lang w:eastAsia="ja-JP"/>
        </w:rPr>
        <w:t xml:space="preserve">slightly less in </w:t>
      </w:r>
      <w:r w:rsidR="0015401A">
        <w:rPr>
          <w:sz w:val="22"/>
          <w:szCs w:val="22"/>
          <w:lang w:eastAsia="ja-JP"/>
        </w:rPr>
        <w:t>Europe</w:t>
      </w:r>
      <w:r w:rsidR="005B4E40">
        <w:rPr>
          <w:sz w:val="22"/>
          <w:szCs w:val="22"/>
          <w:lang w:eastAsia="ja-JP"/>
        </w:rPr>
        <w:t xml:space="preserve"> </w:t>
      </w:r>
      <w:r w:rsidR="005B4E40">
        <w:rPr>
          <w:sz w:val="22"/>
          <w:szCs w:val="22"/>
          <w:lang w:eastAsia="ja-JP"/>
        </w:rPr>
        <w:fldChar w:fldCharType="begin"/>
      </w:r>
      <w:r w:rsidR="005B4E40">
        <w:rPr>
          <w:sz w:val="22"/>
          <w:szCs w:val="22"/>
          <w:lang w:eastAsia="ja-JP"/>
        </w:rPr>
        <w:instrText xml:space="preserve"> REF _Ref447285629 \r \h </w:instrText>
      </w:r>
      <w:r w:rsidR="005B4E40">
        <w:rPr>
          <w:sz w:val="22"/>
          <w:szCs w:val="22"/>
          <w:lang w:eastAsia="ja-JP"/>
        </w:rPr>
      </w:r>
      <w:r w:rsidR="005B4E40">
        <w:rPr>
          <w:sz w:val="22"/>
          <w:szCs w:val="22"/>
          <w:lang w:eastAsia="ja-JP"/>
        </w:rPr>
        <w:fldChar w:fldCharType="separate"/>
      </w:r>
      <w:r w:rsidR="000462E5">
        <w:rPr>
          <w:sz w:val="22"/>
          <w:szCs w:val="22"/>
          <w:lang w:eastAsia="ja-JP"/>
        </w:rPr>
        <w:t>[9]</w:t>
      </w:r>
      <w:r w:rsidR="005B4E40">
        <w:rPr>
          <w:sz w:val="22"/>
          <w:szCs w:val="22"/>
          <w:lang w:eastAsia="ja-JP"/>
        </w:rPr>
        <w:fldChar w:fldCharType="end"/>
      </w:r>
      <w:r w:rsidR="0015401A">
        <w:rPr>
          <w:sz w:val="22"/>
          <w:szCs w:val="22"/>
          <w:lang w:eastAsia="ja-JP"/>
        </w:rPr>
        <w:t>.</w:t>
      </w:r>
      <w:r w:rsidR="00B9642F">
        <w:rPr>
          <w:sz w:val="22"/>
          <w:szCs w:val="22"/>
          <w:lang w:eastAsia="ja-JP"/>
        </w:rPr>
        <w:t xml:space="preserve"> </w:t>
      </w:r>
      <w:r w:rsidR="006449F1">
        <w:rPr>
          <w:sz w:val="22"/>
          <w:szCs w:val="22"/>
          <w:lang w:eastAsia="ja-JP"/>
        </w:rPr>
        <w:t xml:space="preserve">Secondly, majority of the new commercial building and home construction tend to use either clear windows </w:t>
      </w:r>
      <w:r w:rsidR="00B23405">
        <w:rPr>
          <w:sz w:val="22"/>
          <w:szCs w:val="22"/>
          <w:lang w:eastAsia="ja-JP"/>
        </w:rPr>
        <w:t xml:space="preserve">(single-pane or double-pane) </w:t>
      </w:r>
      <w:r w:rsidR="006449F1">
        <w:rPr>
          <w:sz w:val="22"/>
          <w:szCs w:val="22"/>
          <w:lang w:eastAsia="ja-JP"/>
        </w:rPr>
        <w:t xml:space="preserve">or double-pane windows with a single layer of low-e coating with a general tendency of moving away from tinted windows and triple-pane windows with two layers of low-e coating. </w:t>
      </w:r>
    </w:p>
    <w:p w:rsidR="0020508B" w:rsidRDefault="0020508B" w:rsidP="0020508B">
      <w:pPr>
        <w:spacing w:before="120"/>
        <w:jc w:val="both"/>
        <w:rPr>
          <w:sz w:val="22"/>
          <w:szCs w:val="22"/>
          <w:lang w:eastAsia="ja-JP"/>
        </w:rPr>
      </w:pPr>
      <w:r>
        <w:rPr>
          <w:sz w:val="22"/>
          <w:szCs w:val="22"/>
          <w:lang w:eastAsia="ja-JP"/>
        </w:rPr>
        <w:t>Since 1990</w:t>
      </w:r>
      <w:r w:rsidRPr="00D74EF9">
        <w:rPr>
          <w:sz w:val="22"/>
          <w:szCs w:val="22"/>
          <w:lang w:eastAsia="ja-JP"/>
        </w:rPr>
        <w:t>, the window industry saw major shifts in glazing</w:t>
      </w:r>
      <w:r>
        <w:rPr>
          <w:sz w:val="22"/>
          <w:szCs w:val="22"/>
          <w:lang w:eastAsia="ja-JP"/>
        </w:rPr>
        <w:t xml:space="preserve"> (</w:t>
      </w:r>
      <w:r w:rsidRPr="00D74EF9">
        <w:rPr>
          <w:i/>
          <w:sz w:val="22"/>
          <w:szCs w:val="22"/>
          <w:lang w:eastAsia="ja-JP"/>
        </w:rPr>
        <w:t>i.e.</w:t>
      </w:r>
      <w:r>
        <w:rPr>
          <w:sz w:val="22"/>
          <w:szCs w:val="22"/>
          <w:lang w:eastAsia="ja-JP"/>
        </w:rPr>
        <w:t>, glass)</w:t>
      </w:r>
      <w:r w:rsidRPr="00D74EF9">
        <w:rPr>
          <w:sz w:val="22"/>
          <w:szCs w:val="22"/>
          <w:lang w:eastAsia="ja-JP"/>
        </w:rPr>
        <w:t xml:space="preserve"> and framing materials. In the commercial market, tinted and reflective glazing, which together accounted for 47% of the market in 1995, accounted for only 13% in 2009. Low-e coatings increased their share from 17% to 54%, and clear glazing held on to about </w:t>
      </w:r>
      <w:r>
        <w:rPr>
          <w:sz w:val="22"/>
          <w:szCs w:val="22"/>
          <w:lang w:eastAsia="ja-JP"/>
        </w:rPr>
        <w:t>38%</w:t>
      </w:r>
      <w:r w:rsidRPr="00D74EF9">
        <w:rPr>
          <w:sz w:val="22"/>
          <w:szCs w:val="22"/>
          <w:lang w:eastAsia="ja-JP"/>
        </w:rPr>
        <w:t xml:space="preserve"> of the market.</w:t>
      </w:r>
      <w:r>
        <w:rPr>
          <w:rStyle w:val="FootnoteReference"/>
          <w:szCs w:val="22"/>
          <w:lang w:eastAsia="ja-JP"/>
        </w:rPr>
        <w:footnoteReference w:id="4"/>
      </w:r>
      <w:r>
        <w:t xml:space="preserve"> </w:t>
      </w:r>
      <w:r w:rsidRPr="00D74EF9">
        <w:rPr>
          <w:sz w:val="22"/>
          <w:szCs w:val="22"/>
          <w:lang w:eastAsia="ja-JP"/>
        </w:rPr>
        <w:t>In the residential market, double-pane sealed insulated glass units took market share from single-pane and unsealed double-pane windows.</w:t>
      </w:r>
      <w:r>
        <w:rPr>
          <w:rStyle w:val="FootnoteReference"/>
          <w:szCs w:val="22"/>
          <w:lang w:eastAsia="ja-JP"/>
        </w:rPr>
        <w:footnoteReference w:id="5"/>
      </w:r>
      <w:r w:rsidRPr="00D74EF9">
        <w:rPr>
          <w:sz w:val="22"/>
          <w:szCs w:val="22"/>
          <w:lang w:eastAsia="ja-JP"/>
        </w:rPr>
        <w:t xml:space="preserve"> </w:t>
      </w:r>
      <w:r>
        <w:rPr>
          <w:sz w:val="22"/>
          <w:szCs w:val="22"/>
          <w:lang w:eastAsia="ja-JP"/>
        </w:rPr>
        <w:t xml:space="preserve">As shown in </w:t>
      </w:r>
      <w:r>
        <w:rPr>
          <w:sz w:val="22"/>
          <w:szCs w:val="22"/>
          <w:lang w:eastAsia="ja-JP"/>
        </w:rPr>
        <w:fldChar w:fldCharType="begin"/>
      </w:r>
      <w:r>
        <w:rPr>
          <w:sz w:val="22"/>
          <w:szCs w:val="22"/>
          <w:lang w:eastAsia="ja-JP"/>
        </w:rPr>
        <w:instrText xml:space="preserve"> REF _Ref447035570 \h </w:instrText>
      </w:r>
      <w:r w:rsidR="002E4CF2">
        <w:rPr>
          <w:sz w:val="22"/>
          <w:szCs w:val="22"/>
          <w:lang w:eastAsia="ja-JP"/>
        </w:rPr>
        <w:instrText xml:space="preserve"> \* MERGEFORMAT </w:instrText>
      </w:r>
      <w:r>
        <w:rPr>
          <w:sz w:val="22"/>
          <w:szCs w:val="22"/>
          <w:lang w:eastAsia="ja-JP"/>
        </w:rPr>
      </w:r>
      <w:r>
        <w:rPr>
          <w:sz w:val="22"/>
          <w:szCs w:val="22"/>
          <w:lang w:eastAsia="ja-JP"/>
        </w:rPr>
        <w:fldChar w:fldCharType="separate"/>
      </w:r>
      <w:r w:rsidR="000462E5" w:rsidRPr="000462E5">
        <w:rPr>
          <w:sz w:val="22"/>
          <w:szCs w:val="22"/>
          <w:lang w:eastAsia="ja-JP"/>
        </w:rPr>
        <w:t>Figure 4</w:t>
      </w:r>
      <w:r>
        <w:rPr>
          <w:sz w:val="22"/>
          <w:szCs w:val="22"/>
          <w:lang w:eastAsia="ja-JP"/>
        </w:rPr>
        <w:fldChar w:fldCharType="end"/>
      </w:r>
      <w:r>
        <w:rPr>
          <w:sz w:val="22"/>
          <w:szCs w:val="22"/>
          <w:lang w:eastAsia="ja-JP"/>
        </w:rPr>
        <w:t>, double-pane windows with argon gas filled are used in around 80</w:t>
      </w:r>
      <w:r w:rsidR="00726BBF">
        <w:rPr>
          <w:sz w:val="22"/>
          <w:szCs w:val="22"/>
          <w:lang w:eastAsia="ja-JP"/>
        </w:rPr>
        <w:t xml:space="preserve">% of the new home construction. Among them, </w:t>
      </w:r>
      <w:r>
        <w:rPr>
          <w:sz w:val="22"/>
          <w:szCs w:val="22"/>
          <w:lang w:eastAsia="ja-JP"/>
        </w:rPr>
        <w:t>double-paned windows</w:t>
      </w:r>
      <w:r w:rsidR="00726BBF">
        <w:rPr>
          <w:sz w:val="22"/>
          <w:szCs w:val="22"/>
          <w:lang w:eastAsia="ja-JP"/>
        </w:rPr>
        <w:t xml:space="preserve"> with argon gas filled and</w:t>
      </w:r>
      <w:r>
        <w:rPr>
          <w:sz w:val="22"/>
          <w:szCs w:val="22"/>
          <w:lang w:eastAsia="ja-JP"/>
        </w:rPr>
        <w:t xml:space="preserve"> low-e coating </w:t>
      </w:r>
      <w:r w:rsidR="00726BBF">
        <w:rPr>
          <w:sz w:val="22"/>
          <w:szCs w:val="22"/>
          <w:lang w:eastAsia="ja-JP"/>
        </w:rPr>
        <w:t>account for</w:t>
      </w:r>
      <w:r>
        <w:rPr>
          <w:sz w:val="22"/>
          <w:szCs w:val="22"/>
          <w:lang w:eastAsia="ja-JP"/>
        </w:rPr>
        <w:t xml:space="preserve"> around 30% of the new home construction, while triple-paned windows are used in around </w:t>
      </w:r>
      <w:r w:rsidR="001F2A12">
        <w:rPr>
          <w:sz w:val="22"/>
          <w:szCs w:val="22"/>
          <w:lang w:eastAsia="ja-JP"/>
        </w:rPr>
        <w:t>8</w:t>
      </w:r>
      <w:r>
        <w:rPr>
          <w:sz w:val="22"/>
          <w:szCs w:val="22"/>
          <w:lang w:eastAsia="ja-JP"/>
        </w:rPr>
        <w:t xml:space="preserve">% of the new home construction </w:t>
      </w:r>
      <w:r>
        <w:rPr>
          <w:sz w:val="22"/>
          <w:szCs w:val="22"/>
          <w:lang w:eastAsia="ja-JP"/>
        </w:rPr>
        <w:fldChar w:fldCharType="begin"/>
      </w:r>
      <w:r>
        <w:rPr>
          <w:sz w:val="22"/>
          <w:szCs w:val="22"/>
          <w:lang w:eastAsia="ja-JP"/>
        </w:rPr>
        <w:instrText xml:space="preserve"> REF _Ref447111459 \r \h </w:instrText>
      </w:r>
      <w:r>
        <w:rPr>
          <w:sz w:val="22"/>
          <w:szCs w:val="22"/>
          <w:lang w:eastAsia="ja-JP"/>
        </w:rPr>
      </w:r>
      <w:r>
        <w:rPr>
          <w:sz w:val="22"/>
          <w:szCs w:val="22"/>
          <w:lang w:eastAsia="ja-JP"/>
        </w:rPr>
        <w:fldChar w:fldCharType="separate"/>
      </w:r>
      <w:r w:rsidR="000462E5">
        <w:rPr>
          <w:sz w:val="22"/>
          <w:szCs w:val="22"/>
          <w:lang w:eastAsia="ja-JP"/>
        </w:rPr>
        <w:t>[14]</w:t>
      </w:r>
      <w:r>
        <w:rPr>
          <w:sz w:val="22"/>
          <w:szCs w:val="22"/>
          <w:lang w:eastAsia="ja-JP"/>
        </w:rPr>
        <w:fldChar w:fldCharType="end"/>
      </w:r>
      <w:r>
        <w:rPr>
          <w:sz w:val="22"/>
          <w:szCs w:val="22"/>
          <w:lang w:eastAsia="ja-JP"/>
        </w:rPr>
        <w:t xml:space="preserve">. Part of the reason for the low adoption rate of the triple-pane window is due to its high cost and the long period to recoup the investment. For example, a Pacific Northwest National Laboratory (PNNL) report </w:t>
      </w:r>
      <w:r>
        <w:rPr>
          <w:sz w:val="22"/>
          <w:szCs w:val="22"/>
          <w:lang w:eastAsia="ja-JP"/>
        </w:rPr>
        <w:fldChar w:fldCharType="begin"/>
      </w:r>
      <w:r>
        <w:rPr>
          <w:sz w:val="22"/>
          <w:szCs w:val="22"/>
          <w:lang w:eastAsia="ja-JP"/>
        </w:rPr>
        <w:instrText xml:space="preserve"> REF _Ref447035204 \r \h </w:instrText>
      </w:r>
      <w:r>
        <w:rPr>
          <w:sz w:val="22"/>
          <w:szCs w:val="22"/>
          <w:lang w:eastAsia="ja-JP"/>
        </w:rPr>
      </w:r>
      <w:r>
        <w:rPr>
          <w:sz w:val="22"/>
          <w:szCs w:val="22"/>
          <w:lang w:eastAsia="ja-JP"/>
        </w:rPr>
        <w:fldChar w:fldCharType="separate"/>
      </w:r>
      <w:r w:rsidR="000462E5">
        <w:rPr>
          <w:sz w:val="22"/>
          <w:szCs w:val="22"/>
          <w:lang w:eastAsia="ja-JP"/>
        </w:rPr>
        <w:t>[16]</w:t>
      </w:r>
      <w:r>
        <w:rPr>
          <w:sz w:val="22"/>
          <w:szCs w:val="22"/>
          <w:lang w:eastAsia="ja-JP"/>
        </w:rPr>
        <w:fldChar w:fldCharType="end"/>
      </w:r>
      <w:r>
        <w:rPr>
          <w:sz w:val="22"/>
          <w:szCs w:val="22"/>
          <w:lang w:eastAsia="ja-JP"/>
        </w:rPr>
        <w:t xml:space="preserve"> concludes that “[b]</w:t>
      </w:r>
      <w:r w:rsidRPr="009E2839">
        <w:rPr>
          <w:sz w:val="22"/>
          <w:szCs w:val="22"/>
          <w:lang w:eastAsia="ja-JP"/>
        </w:rPr>
        <w:t>ased on windows cost data</w:t>
      </w:r>
      <w:r>
        <w:rPr>
          <w:sz w:val="22"/>
          <w:szCs w:val="22"/>
          <w:lang w:eastAsia="ja-JP"/>
        </w:rPr>
        <w:t xml:space="preserve"> </w:t>
      </w:r>
      <w:r w:rsidRPr="009E2839">
        <w:rPr>
          <w:sz w:val="22"/>
          <w:szCs w:val="22"/>
          <w:lang w:eastAsia="ja-JP"/>
        </w:rPr>
        <w:t>available from manufacturers via the Windows Volume Purchase Program and a local cost of electricity</w:t>
      </w:r>
      <w:r>
        <w:rPr>
          <w:sz w:val="22"/>
          <w:szCs w:val="22"/>
          <w:lang w:eastAsia="ja-JP"/>
        </w:rPr>
        <w:t xml:space="preserve">, </w:t>
      </w:r>
      <w:r w:rsidRPr="009E2839">
        <w:rPr>
          <w:sz w:val="22"/>
          <w:szCs w:val="22"/>
          <w:lang w:eastAsia="ja-JP"/>
        </w:rPr>
        <w:t xml:space="preserve">highly insulating windows have a simple </w:t>
      </w:r>
      <w:r>
        <w:rPr>
          <w:sz w:val="22"/>
          <w:szCs w:val="22"/>
          <w:lang w:eastAsia="ja-JP"/>
        </w:rPr>
        <w:t xml:space="preserve">[payback period] </w:t>
      </w:r>
      <w:r w:rsidRPr="009E2839">
        <w:rPr>
          <w:sz w:val="22"/>
          <w:szCs w:val="22"/>
          <w:lang w:eastAsia="ja-JP"/>
        </w:rPr>
        <w:t>of 23 to 55 years.</w:t>
      </w:r>
      <w:r>
        <w:rPr>
          <w:sz w:val="22"/>
          <w:szCs w:val="22"/>
          <w:lang w:eastAsia="ja-JP"/>
        </w:rPr>
        <w:t>”</w:t>
      </w:r>
    </w:p>
    <w:p w:rsidR="00D26371" w:rsidRDefault="00D26371" w:rsidP="00D26371">
      <w:pPr>
        <w:keepNext/>
        <w:jc w:val="center"/>
      </w:pPr>
      <w:r w:rsidRPr="00C1548A">
        <w:rPr>
          <w:noProof/>
          <w:lang w:val="en-US" w:eastAsia="zh-CN"/>
        </w:rPr>
        <w:drawing>
          <wp:inline distT="0" distB="0" distL="0" distR="0" wp14:anchorId="559C029B" wp14:editId="5D1CC4EE">
            <wp:extent cx="4730419" cy="2935923"/>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39897" cy="2941806"/>
                    </a:xfrm>
                    <a:prstGeom prst="rect">
                      <a:avLst/>
                    </a:prstGeom>
                    <a:noFill/>
                    <a:ln>
                      <a:noFill/>
                    </a:ln>
                  </pic:spPr>
                </pic:pic>
              </a:graphicData>
            </a:graphic>
          </wp:inline>
        </w:drawing>
      </w:r>
    </w:p>
    <w:p w:rsidR="00D26371" w:rsidRDefault="00D26371" w:rsidP="00D26371">
      <w:pPr>
        <w:pStyle w:val="Caption"/>
      </w:pPr>
      <w:bookmarkStart w:id="12" w:name="_Ref447035570"/>
      <w:r>
        <w:t xml:space="preserve">Figure </w:t>
      </w:r>
      <w:r w:rsidR="009B278C">
        <w:fldChar w:fldCharType="begin"/>
      </w:r>
      <w:r w:rsidR="009B278C">
        <w:instrText xml:space="preserve"> SEQ Figure \* ARABIC </w:instrText>
      </w:r>
      <w:r w:rsidR="009B278C">
        <w:fldChar w:fldCharType="separate"/>
      </w:r>
      <w:r w:rsidR="00D37943">
        <w:rPr>
          <w:noProof/>
        </w:rPr>
        <w:t>4</w:t>
      </w:r>
      <w:r w:rsidR="009B278C">
        <w:rPr>
          <w:noProof/>
        </w:rPr>
        <w:fldChar w:fldCharType="end"/>
      </w:r>
      <w:bookmarkEnd w:id="12"/>
      <w:r>
        <w:t xml:space="preserve">. Use of high-efficiency windows in home construction </w:t>
      </w:r>
      <w:r>
        <w:fldChar w:fldCharType="begin"/>
      </w:r>
      <w:r>
        <w:instrText xml:space="preserve"> REF _Ref447111459 \r \h </w:instrText>
      </w:r>
      <w:r>
        <w:fldChar w:fldCharType="separate"/>
      </w:r>
      <w:r w:rsidR="000462E5">
        <w:t>[14]</w:t>
      </w:r>
      <w:r>
        <w:fldChar w:fldCharType="end"/>
      </w:r>
    </w:p>
    <w:p w:rsidR="00E13DA2" w:rsidRPr="00E13DA2" w:rsidRDefault="00E13DA2" w:rsidP="00E13DA2">
      <w:pPr>
        <w:spacing w:before="120"/>
        <w:jc w:val="both"/>
        <w:rPr>
          <w:sz w:val="22"/>
          <w:szCs w:val="22"/>
          <w:lang w:eastAsia="ja-JP"/>
        </w:rPr>
      </w:pPr>
      <w:r w:rsidRPr="00E13DA2">
        <w:rPr>
          <w:sz w:val="22"/>
          <w:szCs w:val="22"/>
          <w:lang w:eastAsia="ja-JP"/>
        </w:rPr>
        <w:t xml:space="preserve">The data in </w:t>
      </w:r>
      <w:r w:rsidRPr="00E13DA2">
        <w:rPr>
          <w:sz w:val="22"/>
          <w:szCs w:val="22"/>
          <w:lang w:eastAsia="ja-JP"/>
        </w:rPr>
        <w:fldChar w:fldCharType="begin"/>
      </w:r>
      <w:r w:rsidRPr="00E13DA2">
        <w:rPr>
          <w:sz w:val="22"/>
          <w:szCs w:val="22"/>
          <w:lang w:eastAsia="ja-JP"/>
        </w:rPr>
        <w:instrText xml:space="preserve"> REF _Ref447111459 \r \h </w:instrText>
      </w:r>
      <w:r>
        <w:rPr>
          <w:sz w:val="22"/>
          <w:szCs w:val="22"/>
          <w:lang w:eastAsia="ja-JP"/>
        </w:rPr>
        <w:instrText xml:space="preserve"> \* MERGEFORMAT </w:instrText>
      </w:r>
      <w:r w:rsidRPr="00E13DA2">
        <w:rPr>
          <w:sz w:val="22"/>
          <w:szCs w:val="22"/>
          <w:lang w:eastAsia="ja-JP"/>
        </w:rPr>
      </w:r>
      <w:r w:rsidRPr="00E13DA2">
        <w:rPr>
          <w:sz w:val="22"/>
          <w:szCs w:val="22"/>
          <w:lang w:eastAsia="ja-JP"/>
        </w:rPr>
        <w:fldChar w:fldCharType="separate"/>
      </w:r>
      <w:r w:rsidR="000462E5">
        <w:rPr>
          <w:sz w:val="22"/>
          <w:szCs w:val="22"/>
          <w:lang w:eastAsia="ja-JP"/>
        </w:rPr>
        <w:t>[14]</w:t>
      </w:r>
      <w:r w:rsidRPr="00E13DA2">
        <w:rPr>
          <w:sz w:val="22"/>
          <w:szCs w:val="22"/>
          <w:lang w:eastAsia="ja-JP"/>
        </w:rPr>
        <w:fldChar w:fldCharType="end"/>
      </w:r>
      <w:r>
        <w:rPr>
          <w:sz w:val="22"/>
          <w:szCs w:val="22"/>
          <w:lang w:eastAsia="ja-JP"/>
        </w:rPr>
        <w:t xml:space="preserve"> are tabulated in </w:t>
      </w:r>
      <w:r>
        <w:rPr>
          <w:sz w:val="22"/>
          <w:szCs w:val="22"/>
          <w:lang w:eastAsia="ja-JP"/>
        </w:rPr>
        <w:fldChar w:fldCharType="begin"/>
      </w:r>
      <w:r>
        <w:rPr>
          <w:sz w:val="22"/>
          <w:szCs w:val="22"/>
          <w:lang w:eastAsia="ja-JP"/>
        </w:rPr>
        <w:instrText xml:space="preserve"> REF _Ref447286431 \h  \* MERGEFORMAT </w:instrText>
      </w:r>
      <w:r>
        <w:rPr>
          <w:sz w:val="22"/>
          <w:szCs w:val="22"/>
          <w:lang w:eastAsia="ja-JP"/>
        </w:rPr>
      </w:r>
      <w:r>
        <w:rPr>
          <w:sz w:val="22"/>
          <w:szCs w:val="22"/>
          <w:lang w:eastAsia="ja-JP"/>
        </w:rPr>
        <w:fldChar w:fldCharType="separate"/>
      </w:r>
      <w:r w:rsidR="000462E5" w:rsidRPr="000462E5">
        <w:rPr>
          <w:sz w:val="22"/>
          <w:szCs w:val="22"/>
          <w:lang w:eastAsia="ja-JP"/>
        </w:rPr>
        <w:t>Table 4</w:t>
      </w:r>
      <w:r>
        <w:rPr>
          <w:sz w:val="22"/>
          <w:szCs w:val="22"/>
          <w:lang w:eastAsia="ja-JP"/>
        </w:rPr>
        <w:fldChar w:fldCharType="end"/>
      </w:r>
      <w:r w:rsidRPr="00E13DA2">
        <w:rPr>
          <w:sz w:val="22"/>
          <w:szCs w:val="22"/>
          <w:lang w:eastAsia="ja-JP"/>
        </w:rPr>
        <w:t xml:space="preserve"> </w:t>
      </w:r>
      <w:r>
        <w:rPr>
          <w:sz w:val="22"/>
          <w:szCs w:val="22"/>
          <w:lang w:eastAsia="ja-JP"/>
        </w:rPr>
        <w:t>according to the penetration loss caused by different window types.</w:t>
      </w:r>
    </w:p>
    <w:p w:rsidR="00E13DA2" w:rsidRDefault="00E13DA2" w:rsidP="00E13DA2">
      <w:pPr>
        <w:pStyle w:val="Caption"/>
      </w:pPr>
      <w:bookmarkStart w:id="13" w:name="_Ref447286431"/>
      <w:r>
        <w:t xml:space="preserve">Table </w:t>
      </w:r>
      <w:r w:rsidR="009B278C">
        <w:fldChar w:fldCharType="begin"/>
      </w:r>
      <w:r w:rsidR="009B278C">
        <w:instrText xml:space="preserve"> SEQ Table \* ARABIC </w:instrText>
      </w:r>
      <w:r w:rsidR="009B278C">
        <w:fldChar w:fldCharType="separate"/>
      </w:r>
      <w:r w:rsidR="000462E5">
        <w:rPr>
          <w:noProof/>
        </w:rPr>
        <w:t>4</w:t>
      </w:r>
      <w:r w:rsidR="009B278C">
        <w:rPr>
          <w:noProof/>
        </w:rPr>
        <w:fldChar w:fldCharType="end"/>
      </w:r>
      <w:bookmarkEnd w:id="13"/>
      <w:r>
        <w:t xml:space="preserve">. New windows sales in the residential sector in the U.S. </w:t>
      </w:r>
    </w:p>
    <w:tbl>
      <w:tblPr>
        <w:tblW w:w="622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580"/>
        <w:gridCol w:w="2720"/>
        <w:gridCol w:w="1920"/>
      </w:tblGrid>
      <w:tr w:rsidR="00E13DA2" w:rsidRPr="006B751A" w:rsidTr="00E13DA2">
        <w:trPr>
          <w:trHeight w:val="300"/>
          <w:jc w:val="center"/>
        </w:trPr>
        <w:tc>
          <w:tcPr>
            <w:tcW w:w="1580" w:type="dxa"/>
            <w:shd w:val="clear" w:color="auto" w:fill="auto"/>
            <w:noWrap/>
            <w:vAlign w:val="bottom"/>
            <w:hideMark/>
          </w:tcPr>
          <w:p w:rsidR="00E13DA2" w:rsidRPr="006B751A" w:rsidRDefault="00E13DA2" w:rsidP="009C53A7">
            <w:pPr>
              <w:overflowPunct/>
              <w:autoSpaceDE/>
              <w:autoSpaceDN/>
              <w:adjustRightInd/>
              <w:spacing w:after="0"/>
              <w:textAlignment w:val="auto"/>
              <w:rPr>
                <w:rFonts w:eastAsia="Times New Roman"/>
                <w:color w:val="000000"/>
                <w:sz w:val="22"/>
                <w:szCs w:val="22"/>
                <w:lang w:val="en-US" w:eastAsia="zh-CN"/>
              </w:rPr>
            </w:pPr>
            <w:r w:rsidRPr="006B751A">
              <w:rPr>
                <w:rFonts w:eastAsia="Times New Roman"/>
                <w:color w:val="000000"/>
                <w:sz w:val="22"/>
                <w:szCs w:val="22"/>
                <w:lang w:val="en-US" w:eastAsia="zh-CN"/>
              </w:rPr>
              <w:t>Penetration Loss</w:t>
            </w:r>
          </w:p>
        </w:tc>
        <w:tc>
          <w:tcPr>
            <w:tcW w:w="2720" w:type="dxa"/>
            <w:shd w:val="clear" w:color="auto" w:fill="auto"/>
            <w:noWrap/>
            <w:vAlign w:val="bottom"/>
            <w:hideMark/>
          </w:tcPr>
          <w:p w:rsidR="00E13DA2" w:rsidRPr="006B751A" w:rsidRDefault="00E13DA2" w:rsidP="009C53A7">
            <w:pPr>
              <w:overflowPunct/>
              <w:autoSpaceDE/>
              <w:autoSpaceDN/>
              <w:adjustRightInd/>
              <w:spacing w:after="0"/>
              <w:textAlignment w:val="auto"/>
              <w:rPr>
                <w:rFonts w:eastAsia="Times New Roman"/>
                <w:color w:val="000000"/>
                <w:sz w:val="22"/>
                <w:szCs w:val="22"/>
                <w:lang w:val="en-US" w:eastAsia="zh-CN"/>
              </w:rPr>
            </w:pPr>
            <w:r w:rsidRPr="006B751A">
              <w:rPr>
                <w:rFonts w:eastAsia="Times New Roman"/>
                <w:color w:val="000000"/>
                <w:sz w:val="22"/>
                <w:szCs w:val="22"/>
                <w:lang w:val="en-US" w:eastAsia="zh-CN"/>
              </w:rPr>
              <w:t>Window Type</w:t>
            </w:r>
          </w:p>
        </w:tc>
        <w:tc>
          <w:tcPr>
            <w:tcW w:w="1920" w:type="dxa"/>
            <w:shd w:val="clear" w:color="auto" w:fill="auto"/>
            <w:noWrap/>
            <w:vAlign w:val="bottom"/>
            <w:hideMark/>
          </w:tcPr>
          <w:p w:rsidR="00E13DA2" w:rsidRPr="006B751A" w:rsidRDefault="00E13DA2" w:rsidP="009C53A7">
            <w:pPr>
              <w:overflowPunct/>
              <w:autoSpaceDE/>
              <w:autoSpaceDN/>
              <w:adjustRightInd/>
              <w:spacing w:after="0"/>
              <w:textAlignment w:val="auto"/>
              <w:rPr>
                <w:rFonts w:eastAsia="Times New Roman"/>
                <w:color w:val="000000"/>
                <w:sz w:val="22"/>
                <w:szCs w:val="22"/>
                <w:lang w:val="en-US" w:eastAsia="zh-CN"/>
              </w:rPr>
            </w:pPr>
            <w:r w:rsidRPr="006B751A">
              <w:rPr>
                <w:rFonts w:eastAsia="Times New Roman"/>
                <w:color w:val="000000"/>
                <w:sz w:val="22"/>
                <w:szCs w:val="22"/>
                <w:lang w:val="en-US" w:eastAsia="zh-CN"/>
              </w:rPr>
              <w:t> </w:t>
            </w:r>
          </w:p>
          <w:p w:rsidR="00E13DA2" w:rsidRPr="006B751A" w:rsidRDefault="00E13DA2" w:rsidP="009C53A7">
            <w:pPr>
              <w:overflowPunct/>
              <w:autoSpaceDE/>
              <w:autoSpaceDN/>
              <w:adjustRightInd/>
              <w:spacing w:after="0"/>
              <w:textAlignment w:val="auto"/>
              <w:rPr>
                <w:rFonts w:eastAsia="Times New Roman"/>
                <w:color w:val="000000"/>
                <w:sz w:val="22"/>
                <w:szCs w:val="22"/>
                <w:lang w:val="en-US" w:eastAsia="zh-CN"/>
              </w:rPr>
            </w:pPr>
            <w:r w:rsidRPr="006B751A">
              <w:rPr>
                <w:rFonts w:eastAsia="Times New Roman"/>
                <w:color w:val="000000"/>
                <w:sz w:val="22"/>
                <w:szCs w:val="22"/>
                <w:lang w:val="en-US" w:eastAsia="zh-CN"/>
              </w:rPr>
              <w:t> </w:t>
            </w:r>
            <w:r>
              <w:rPr>
                <w:rFonts w:eastAsia="Times New Roman"/>
                <w:color w:val="000000"/>
                <w:sz w:val="22"/>
                <w:szCs w:val="22"/>
                <w:lang w:val="en-US" w:eastAsia="zh-CN"/>
              </w:rPr>
              <w:t>Market share</w:t>
            </w:r>
          </w:p>
        </w:tc>
      </w:tr>
      <w:tr w:rsidR="00E13DA2" w:rsidRPr="006B751A" w:rsidTr="00E13DA2">
        <w:trPr>
          <w:trHeight w:val="576"/>
          <w:jc w:val="center"/>
        </w:trPr>
        <w:tc>
          <w:tcPr>
            <w:tcW w:w="1580" w:type="dxa"/>
            <w:shd w:val="clear" w:color="auto" w:fill="auto"/>
            <w:noWrap/>
            <w:vAlign w:val="bottom"/>
            <w:hideMark/>
          </w:tcPr>
          <w:p w:rsidR="00E13DA2" w:rsidRPr="006B751A" w:rsidRDefault="00E13DA2" w:rsidP="009C53A7">
            <w:pPr>
              <w:overflowPunct/>
              <w:autoSpaceDE/>
              <w:autoSpaceDN/>
              <w:adjustRightInd/>
              <w:spacing w:after="0"/>
              <w:textAlignment w:val="auto"/>
              <w:rPr>
                <w:rFonts w:eastAsia="Times New Roman"/>
                <w:color w:val="000000"/>
                <w:sz w:val="22"/>
                <w:szCs w:val="22"/>
                <w:lang w:val="en-US" w:eastAsia="zh-CN"/>
              </w:rPr>
            </w:pPr>
            <w:r w:rsidRPr="006B751A">
              <w:rPr>
                <w:rFonts w:eastAsia="Times New Roman"/>
                <w:color w:val="000000"/>
                <w:sz w:val="22"/>
                <w:szCs w:val="22"/>
                <w:lang w:val="en-US" w:eastAsia="zh-CN"/>
              </w:rPr>
              <w:lastRenderedPageBreak/>
              <w:t>Low</w:t>
            </w:r>
          </w:p>
        </w:tc>
        <w:tc>
          <w:tcPr>
            <w:tcW w:w="2720" w:type="dxa"/>
            <w:shd w:val="clear" w:color="auto" w:fill="auto"/>
            <w:noWrap/>
            <w:vAlign w:val="bottom"/>
            <w:hideMark/>
          </w:tcPr>
          <w:p w:rsidR="00E13DA2" w:rsidRPr="006B751A" w:rsidRDefault="00E13DA2" w:rsidP="00E13DA2">
            <w:pPr>
              <w:overflowPunct/>
              <w:autoSpaceDE/>
              <w:autoSpaceDN/>
              <w:adjustRightInd/>
              <w:spacing w:after="0"/>
              <w:textAlignment w:val="auto"/>
              <w:rPr>
                <w:rFonts w:eastAsia="Times New Roman"/>
                <w:color w:val="000000"/>
                <w:sz w:val="22"/>
                <w:szCs w:val="22"/>
                <w:lang w:val="en-US" w:eastAsia="zh-CN"/>
              </w:rPr>
            </w:pPr>
            <w:r w:rsidRPr="006B751A">
              <w:rPr>
                <w:rFonts w:eastAsia="Times New Roman"/>
                <w:color w:val="000000"/>
                <w:sz w:val="22"/>
                <w:szCs w:val="22"/>
                <w:lang w:val="en-US" w:eastAsia="zh-CN"/>
              </w:rPr>
              <w:t xml:space="preserve">Single </w:t>
            </w:r>
            <w:r>
              <w:rPr>
                <w:rFonts w:eastAsia="Times New Roman"/>
                <w:color w:val="000000"/>
                <w:sz w:val="22"/>
                <w:szCs w:val="22"/>
                <w:lang w:val="en-US" w:eastAsia="zh-CN"/>
              </w:rPr>
              <w:t>p</w:t>
            </w:r>
            <w:r w:rsidRPr="006B751A">
              <w:rPr>
                <w:rFonts w:eastAsia="Times New Roman"/>
                <w:color w:val="000000"/>
                <w:sz w:val="22"/>
                <w:szCs w:val="22"/>
                <w:lang w:val="en-US" w:eastAsia="zh-CN"/>
              </w:rPr>
              <w:t>ane</w:t>
            </w:r>
            <w:r>
              <w:rPr>
                <w:rFonts w:eastAsia="Times New Roman"/>
                <w:color w:val="000000"/>
                <w:sz w:val="22"/>
                <w:szCs w:val="22"/>
                <w:lang w:val="en-US" w:eastAsia="zh-CN"/>
              </w:rPr>
              <w:t xml:space="preserve"> or double pane</w:t>
            </w:r>
            <w:r w:rsidRPr="006B751A">
              <w:rPr>
                <w:rFonts w:eastAsia="Times New Roman"/>
                <w:color w:val="000000"/>
                <w:sz w:val="22"/>
                <w:szCs w:val="22"/>
                <w:lang w:val="en-US" w:eastAsia="zh-CN"/>
              </w:rPr>
              <w:t xml:space="preserve">, </w:t>
            </w:r>
            <w:r>
              <w:rPr>
                <w:rFonts w:eastAsia="Times New Roman"/>
                <w:color w:val="000000"/>
                <w:sz w:val="22"/>
                <w:szCs w:val="22"/>
                <w:lang w:val="en-US" w:eastAsia="zh-CN"/>
              </w:rPr>
              <w:t>c</w:t>
            </w:r>
            <w:r w:rsidRPr="006B751A">
              <w:rPr>
                <w:rFonts w:eastAsia="Times New Roman"/>
                <w:color w:val="000000"/>
                <w:sz w:val="22"/>
                <w:szCs w:val="22"/>
                <w:lang w:val="en-US" w:eastAsia="zh-CN"/>
              </w:rPr>
              <w:t xml:space="preserve">lear </w:t>
            </w:r>
            <w:r>
              <w:rPr>
                <w:rFonts w:eastAsia="Times New Roman"/>
                <w:color w:val="000000"/>
                <w:sz w:val="22"/>
                <w:szCs w:val="22"/>
                <w:lang w:val="en-US" w:eastAsia="zh-CN"/>
              </w:rPr>
              <w:t>g</w:t>
            </w:r>
            <w:r w:rsidRPr="006B751A">
              <w:rPr>
                <w:rFonts w:eastAsia="Times New Roman"/>
                <w:color w:val="000000"/>
                <w:sz w:val="22"/>
                <w:szCs w:val="22"/>
                <w:lang w:val="en-US" w:eastAsia="zh-CN"/>
              </w:rPr>
              <w:t>lass</w:t>
            </w:r>
          </w:p>
        </w:tc>
        <w:tc>
          <w:tcPr>
            <w:tcW w:w="1920" w:type="dxa"/>
            <w:shd w:val="clear" w:color="auto" w:fill="auto"/>
            <w:noWrap/>
            <w:vAlign w:val="bottom"/>
            <w:hideMark/>
          </w:tcPr>
          <w:p w:rsidR="00E13DA2" w:rsidRPr="000409FA" w:rsidRDefault="00143971" w:rsidP="009C53A7">
            <w:pPr>
              <w:overflowPunct/>
              <w:autoSpaceDE/>
              <w:autoSpaceDN/>
              <w:adjustRightInd/>
              <w:spacing w:after="0"/>
              <w:jc w:val="right"/>
              <w:textAlignment w:val="auto"/>
              <w:rPr>
                <w:rFonts w:eastAsia="Times New Roman"/>
                <w:b/>
                <w:color w:val="000000"/>
                <w:sz w:val="22"/>
                <w:szCs w:val="22"/>
                <w:lang w:val="en-US" w:eastAsia="zh-CN"/>
              </w:rPr>
            </w:pPr>
            <w:r>
              <w:rPr>
                <w:rFonts w:eastAsia="Times New Roman"/>
                <w:b/>
                <w:color w:val="000000"/>
                <w:sz w:val="22"/>
                <w:szCs w:val="22"/>
                <w:lang w:val="en-US" w:eastAsia="zh-CN"/>
              </w:rPr>
              <w:t>6</w:t>
            </w:r>
            <w:r w:rsidR="00E13DA2">
              <w:rPr>
                <w:rFonts w:eastAsia="Times New Roman"/>
                <w:b/>
                <w:color w:val="000000"/>
                <w:sz w:val="22"/>
                <w:szCs w:val="22"/>
                <w:lang w:val="en-US" w:eastAsia="zh-CN"/>
              </w:rPr>
              <w:t>2%</w:t>
            </w:r>
          </w:p>
        </w:tc>
      </w:tr>
      <w:tr w:rsidR="00E13DA2" w:rsidRPr="006B751A" w:rsidTr="00E13DA2">
        <w:trPr>
          <w:trHeight w:val="288"/>
          <w:jc w:val="center"/>
        </w:trPr>
        <w:tc>
          <w:tcPr>
            <w:tcW w:w="1580" w:type="dxa"/>
            <w:shd w:val="clear" w:color="auto" w:fill="auto"/>
            <w:noWrap/>
            <w:vAlign w:val="bottom"/>
            <w:hideMark/>
          </w:tcPr>
          <w:p w:rsidR="00E13DA2" w:rsidRPr="006B751A" w:rsidRDefault="00E13DA2" w:rsidP="009C53A7">
            <w:pPr>
              <w:overflowPunct/>
              <w:autoSpaceDE/>
              <w:autoSpaceDN/>
              <w:adjustRightInd/>
              <w:spacing w:after="0"/>
              <w:textAlignment w:val="auto"/>
              <w:rPr>
                <w:rFonts w:eastAsia="Times New Roman"/>
                <w:color w:val="000000"/>
                <w:sz w:val="22"/>
                <w:szCs w:val="22"/>
                <w:lang w:val="en-US" w:eastAsia="zh-CN"/>
              </w:rPr>
            </w:pPr>
            <w:r w:rsidRPr="006B751A">
              <w:rPr>
                <w:rFonts w:eastAsia="Times New Roman"/>
                <w:color w:val="000000"/>
                <w:sz w:val="22"/>
                <w:szCs w:val="22"/>
                <w:lang w:val="en-US" w:eastAsia="zh-CN"/>
              </w:rPr>
              <w:t>Medium</w:t>
            </w:r>
          </w:p>
        </w:tc>
        <w:tc>
          <w:tcPr>
            <w:tcW w:w="2720" w:type="dxa"/>
            <w:shd w:val="clear" w:color="auto" w:fill="auto"/>
            <w:noWrap/>
            <w:vAlign w:val="bottom"/>
            <w:hideMark/>
          </w:tcPr>
          <w:p w:rsidR="00E13DA2" w:rsidRPr="006B751A" w:rsidRDefault="00E13DA2" w:rsidP="00E13DA2">
            <w:pPr>
              <w:overflowPunct/>
              <w:autoSpaceDE/>
              <w:autoSpaceDN/>
              <w:adjustRightInd/>
              <w:spacing w:after="0"/>
              <w:textAlignment w:val="auto"/>
              <w:rPr>
                <w:rFonts w:eastAsia="Times New Roman"/>
                <w:color w:val="000000"/>
                <w:sz w:val="22"/>
                <w:szCs w:val="22"/>
                <w:lang w:val="en-US" w:eastAsia="zh-CN"/>
              </w:rPr>
            </w:pPr>
            <w:r>
              <w:rPr>
                <w:rFonts w:eastAsia="Times New Roman"/>
                <w:color w:val="000000"/>
                <w:sz w:val="22"/>
                <w:szCs w:val="22"/>
                <w:lang w:val="en-US" w:eastAsia="zh-CN"/>
              </w:rPr>
              <w:t>Double p</w:t>
            </w:r>
            <w:r w:rsidRPr="006B751A">
              <w:rPr>
                <w:rFonts w:eastAsia="Times New Roman"/>
                <w:color w:val="000000"/>
                <w:sz w:val="22"/>
                <w:szCs w:val="22"/>
                <w:lang w:val="en-US" w:eastAsia="zh-CN"/>
              </w:rPr>
              <w:t xml:space="preserve">ane, </w:t>
            </w:r>
            <w:r>
              <w:rPr>
                <w:rFonts w:eastAsia="Times New Roman"/>
                <w:color w:val="000000"/>
                <w:sz w:val="22"/>
                <w:szCs w:val="22"/>
                <w:lang w:val="en-US" w:eastAsia="zh-CN"/>
              </w:rPr>
              <w:t>l</w:t>
            </w:r>
            <w:r w:rsidRPr="006B751A">
              <w:rPr>
                <w:rFonts w:eastAsia="Times New Roman"/>
                <w:color w:val="000000"/>
                <w:sz w:val="22"/>
                <w:szCs w:val="22"/>
                <w:lang w:val="en-US" w:eastAsia="zh-CN"/>
              </w:rPr>
              <w:t xml:space="preserve">ow-e </w:t>
            </w:r>
            <w:r>
              <w:rPr>
                <w:rFonts w:eastAsia="Times New Roman"/>
                <w:color w:val="000000"/>
                <w:sz w:val="22"/>
                <w:szCs w:val="22"/>
                <w:lang w:val="en-US" w:eastAsia="zh-CN"/>
              </w:rPr>
              <w:t>g</w:t>
            </w:r>
            <w:r w:rsidRPr="006B751A">
              <w:rPr>
                <w:rFonts w:eastAsia="Times New Roman"/>
                <w:color w:val="000000"/>
                <w:sz w:val="22"/>
                <w:szCs w:val="22"/>
                <w:lang w:val="en-US" w:eastAsia="zh-CN"/>
              </w:rPr>
              <w:t>lass</w:t>
            </w:r>
          </w:p>
        </w:tc>
        <w:tc>
          <w:tcPr>
            <w:tcW w:w="1920" w:type="dxa"/>
            <w:shd w:val="clear" w:color="auto" w:fill="auto"/>
            <w:noWrap/>
            <w:vAlign w:val="bottom"/>
            <w:hideMark/>
          </w:tcPr>
          <w:p w:rsidR="00E13DA2" w:rsidRPr="000409FA" w:rsidRDefault="00E13DA2" w:rsidP="009C53A7">
            <w:pPr>
              <w:overflowPunct/>
              <w:autoSpaceDE/>
              <w:autoSpaceDN/>
              <w:adjustRightInd/>
              <w:spacing w:after="0"/>
              <w:jc w:val="right"/>
              <w:textAlignment w:val="auto"/>
              <w:rPr>
                <w:rFonts w:eastAsia="Times New Roman"/>
                <w:b/>
                <w:color w:val="000000"/>
                <w:sz w:val="22"/>
                <w:szCs w:val="22"/>
                <w:lang w:val="en-US" w:eastAsia="zh-CN"/>
              </w:rPr>
            </w:pPr>
            <w:r w:rsidRPr="000409FA">
              <w:rPr>
                <w:rFonts w:eastAsia="Times New Roman"/>
                <w:b/>
                <w:color w:val="000000"/>
                <w:sz w:val="22"/>
                <w:szCs w:val="22"/>
                <w:lang w:val="en-US" w:eastAsia="zh-CN"/>
              </w:rPr>
              <w:t>30%</w:t>
            </w:r>
          </w:p>
        </w:tc>
      </w:tr>
      <w:tr w:rsidR="00E13DA2" w:rsidRPr="006B751A" w:rsidTr="00E13DA2">
        <w:trPr>
          <w:trHeight w:val="133"/>
          <w:jc w:val="center"/>
        </w:trPr>
        <w:tc>
          <w:tcPr>
            <w:tcW w:w="1580" w:type="dxa"/>
            <w:shd w:val="clear" w:color="auto" w:fill="auto"/>
            <w:noWrap/>
            <w:vAlign w:val="bottom"/>
            <w:hideMark/>
          </w:tcPr>
          <w:p w:rsidR="00E13DA2" w:rsidRPr="006B751A" w:rsidRDefault="00E13DA2" w:rsidP="009C53A7">
            <w:pPr>
              <w:overflowPunct/>
              <w:autoSpaceDE/>
              <w:autoSpaceDN/>
              <w:adjustRightInd/>
              <w:spacing w:after="0"/>
              <w:textAlignment w:val="auto"/>
              <w:rPr>
                <w:rFonts w:eastAsia="Times New Roman"/>
                <w:color w:val="000000"/>
                <w:sz w:val="22"/>
                <w:szCs w:val="22"/>
                <w:lang w:val="en-US" w:eastAsia="zh-CN"/>
              </w:rPr>
            </w:pPr>
            <w:r w:rsidRPr="006B751A">
              <w:rPr>
                <w:rFonts w:eastAsia="Times New Roman"/>
                <w:color w:val="000000"/>
                <w:sz w:val="22"/>
                <w:szCs w:val="22"/>
                <w:lang w:val="en-US" w:eastAsia="zh-CN"/>
              </w:rPr>
              <w:t>High</w:t>
            </w:r>
          </w:p>
        </w:tc>
        <w:tc>
          <w:tcPr>
            <w:tcW w:w="2720" w:type="dxa"/>
            <w:shd w:val="clear" w:color="auto" w:fill="auto"/>
            <w:noWrap/>
            <w:vAlign w:val="bottom"/>
            <w:hideMark/>
          </w:tcPr>
          <w:p w:rsidR="00E13DA2" w:rsidRPr="006B751A" w:rsidRDefault="00E13DA2" w:rsidP="00E13DA2">
            <w:pPr>
              <w:overflowPunct/>
              <w:autoSpaceDE/>
              <w:autoSpaceDN/>
              <w:adjustRightInd/>
              <w:spacing w:after="0"/>
              <w:textAlignment w:val="auto"/>
              <w:rPr>
                <w:rFonts w:eastAsia="Times New Roman"/>
                <w:color w:val="000000"/>
                <w:sz w:val="22"/>
                <w:szCs w:val="22"/>
                <w:lang w:val="en-US" w:eastAsia="zh-CN"/>
              </w:rPr>
            </w:pPr>
            <w:r>
              <w:rPr>
                <w:rFonts w:eastAsia="Times New Roman"/>
                <w:color w:val="000000"/>
                <w:sz w:val="22"/>
                <w:szCs w:val="22"/>
                <w:lang w:val="en-US" w:eastAsia="zh-CN"/>
              </w:rPr>
              <w:t>Triple-pane windows</w:t>
            </w:r>
          </w:p>
        </w:tc>
        <w:tc>
          <w:tcPr>
            <w:tcW w:w="1920" w:type="dxa"/>
            <w:shd w:val="clear" w:color="auto" w:fill="auto"/>
            <w:noWrap/>
            <w:vAlign w:val="bottom"/>
            <w:hideMark/>
          </w:tcPr>
          <w:p w:rsidR="00E13DA2" w:rsidRPr="000409FA" w:rsidRDefault="00E13DA2" w:rsidP="009C53A7">
            <w:pPr>
              <w:overflowPunct/>
              <w:autoSpaceDE/>
              <w:autoSpaceDN/>
              <w:adjustRightInd/>
              <w:spacing w:after="0"/>
              <w:jc w:val="right"/>
              <w:textAlignment w:val="auto"/>
              <w:rPr>
                <w:rFonts w:eastAsia="Times New Roman"/>
                <w:b/>
                <w:color w:val="000000"/>
                <w:sz w:val="22"/>
                <w:szCs w:val="22"/>
                <w:lang w:val="en-US" w:eastAsia="zh-CN"/>
              </w:rPr>
            </w:pPr>
            <w:r>
              <w:rPr>
                <w:rFonts w:eastAsia="Times New Roman"/>
                <w:b/>
                <w:color w:val="000000"/>
                <w:sz w:val="22"/>
                <w:szCs w:val="22"/>
                <w:lang w:val="en-US" w:eastAsia="zh-CN"/>
              </w:rPr>
              <w:t>8%</w:t>
            </w:r>
          </w:p>
        </w:tc>
      </w:tr>
    </w:tbl>
    <w:p w:rsidR="00E3284A" w:rsidRPr="00B5682C" w:rsidRDefault="00E3284A" w:rsidP="00D164A1">
      <w:pPr>
        <w:spacing w:before="120"/>
        <w:rPr>
          <w:sz w:val="22"/>
          <w:szCs w:val="22"/>
          <w:lang w:eastAsia="ja-JP"/>
        </w:rPr>
      </w:pPr>
      <w:r w:rsidRPr="00B5682C">
        <w:rPr>
          <w:sz w:val="22"/>
          <w:szCs w:val="22"/>
          <w:lang w:eastAsia="ja-JP"/>
        </w:rPr>
        <w:t xml:space="preserve">Similarly, we tabulated the percentages of new window sales in the U.S. for the commercial sector based on data in </w:t>
      </w:r>
      <w:r w:rsidR="00B5682C">
        <w:rPr>
          <w:sz w:val="22"/>
          <w:szCs w:val="22"/>
          <w:lang w:eastAsia="ja-JP"/>
        </w:rPr>
        <w:fldChar w:fldCharType="begin"/>
      </w:r>
      <w:r w:rsidR="00B5682C">
        <w:rPr>
          <w:sz w:val="22"/>
          <w:szCs w:val="22"/>
          <w:lang w:eastAsia="ja-JP"/>
        </w:rPr>
        <w:instrText xml:space="preserve"> REF _Ref447286709 \r \h </w:instrText>
      </w:r>
      <w:r w:rsidR="00B5682C">
        <w:rPr>
          <w:sz w:val="22"/>
          <w:szCs w:val="22"/>
          <w:lang w:eastAsia="ja-JP"/>
        </w:rPr>
      </w:r>
      <w:r w:rsidR="00B5682C">
        <w:rPr>
          <w:sz w:val="22"/>
          <w:szCs w:val="22"/>
          <w:lang w:eastAsia="ja-JP"/>
        </w:rPr>
        <w:fldChar w:fldCharType="separate"/>
      </w:r>
      <w:r w:rsidR="000462E5">
        <w:rPr>
          <w:sz w:val="22"/>
          <w:szCs w:val="22"/>
          <w:lang w:eastAsia="ja-JP"/>
        </w:rPr>
        <w:t>[15]</w:t>
      </w:r>
      <w:r w:rsidR="00B5682C">
        <w:rPr>
          <w:sz w:val="22"/>
          <w:szCs w:val="22"/>
          <w:lang w:eastAsia="ja-JP"/>
        </w:rPr>
        <w:fldChar w:fldCharType="end"/>
      </w:r>
      <w:r w:rsidR="00B5682C">
        <w:rPr>
          <w:sz w:val="22"/>
          <w:szCs w:val="22"/>
          <w:lang w:eastAsia="ja-JP"/>
        </w:rPr>
        <w:t xml:space="preserve">. </w:t>
      </w:r>
    </w:p>
    <w:p w:rsidR="006B751A" w:rsidRDefault="006B751A" w:rsidP="006B751A">
      <w:pPr>
        <w:pStyle w:val="Caption"/>
      </w:pPr>
      <w:r>
        <w:t xml:space="preserve">Table </w:t>
      </w:r>
      <w:r w:rsidR="009B278C">
        <w:fldChar w:fldCharType="begin"/>
      </w:r>
      <w:r w:rsidR="009B278C">
        <w:instrText xml:space="preserve"> SEQ Table \* ARABIC </w:instrText>
      </w:r>
      <w:r w:rsidR="009B278C">
        <w:fldChar w:fldCharType="separate"/>
      </w:r>
      <w:r w:rsidR="000462E5">
        <w:rPr>
          <w:noProof/>
        </w:rPr>
        <w:t>5</w:t>
      </w:r>
      <w:r w:rsidR="009B278C">
        <w:rPr>
          <w:noProof/>
        </w:rPr>
        <w:fldChar w:fldCharType="end"/>
      </w:r>
      <w:r>
        <w:t xml:space="preserve">. </w:t>
      </w:r>
      <w:r w:rsidR="00E13DA2">
        <w:t>New w</w:t>
      </w:r>
      <w:r>
        <w:t xml:space="preserve">indows sales in the commercial sector in the U.S. </w:t>
      </w:r>
    </w:p>
    <w:tbl>
      <w:tblPr>
        <w:tblW w:w="6220" w:type="dxa"/>
        <w:jc w:val="center"/>
        <w:tblLook w:val="04A0" w:firstRow="1" w:lastRow="0" w:firstColumn="1" w:lastColumn="0" w:noHBand="0" w:noVBand="1"/>
      </w:tblPr>
      <w:tblGrid>
        <w:gridCol w:w="1580"/>
        <w:gridCol w:w="2720"/>
        <w:gridCol w:w="960"/>
        <w:gridCol w:w="960"/>
      </w:tblGrid>
      <w:tr w:rsidR="006B751A" w:rsidRPr="006B751A" w:rsidTr="00AC14D1">
        <w:trPr>
          <w:trHeight w:val="300"/>
          <w:jc w:val="center"/>
        </w:trPr>
        <w:tc>
          <w:tcPr>
            <w:tcW w:w="1580"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6B751A" w:rsidRPr="006B751A" w:rsidRDefault="006B751A" w:rsidP="006F5E25">
            <w:pPr>
              <w:overflowPunct/>
              <w:autoSpaceDE/>
              <w:autoSpaceDN/>
              <w:adjustRightInd/>
              <w:spacing w:after="0"/>
              <w:textAlignment w:val="auto"/>
              <w:rPr>
                <w:rFonts w:eastAsia="Times New Roman"/>
                <w:color w:val="000000"/>
                <w:sz w:val="22"/>
                <w:szCs w:val="22"/>
                <w:lang w:val="en-US" w:eastAsia="zh-CN"/>
              </w:rPr>
            </w:pPr>
            <w:r w:rsidRPr="006B751A">
              <w:rPr>
                <w:rFonts w:eastAsia="Times New Roman"/>
                <w:color w:val="000000"/>
                <w:sz w:val="22"/>
                <w:szCs w:val="22"/>
                <w:lang w:val="en-US" w:eastAsia="zh-CN"/>
              </w:rPr>
              <w:t>Penetration Loss</w:t>
            </w:r>
          </w:p>
        </w:tc>
        <w:tc>
          <w:tcPr>
            <w:tcW w:w="2720" w:type="dxa"/>
            <w:tcBorders>
              <w:top w:val="single" w:sz="8" w:space="0" w:color="auto"/>
              <w:left w:val="nil"/>
              <w:bottom w:val="single" w:sz="8" w:space="0" w:color="auto"/>
              <w:right w:val="single" w:sz="8" w:space="0" w:color="auto"/>
            </w:tcBorders>
            <w:shd w:val="clear" w:color="auto" w:fill="auto"/>
            <w:noWrap/>
            <w:vAlign w:val="bottom"/>
            <w:hideMark/>
          </w:tcPr>
          <w:p w:rsidR="006B751A" w:rsidRPr="006B751A" w:rsidRDefault="006B751A" w:rsidP="006F5E25">
            <w:pPr>
              <w:overflowPunct/>
              <w:autoSpaceDE/>
              <w:autoSpaceDN/>
              <w:adjustRightInd/>
              <w:spacing w:after="0"/>
              <w:textAlignment w:val="auto"/>
              <w:rPr>
                <w:rFonts w:eastAsia="Times New Roman"/>
                <w:color w:val="000000"/>
                <w:sz w:val="22"/>
                <w:szCs w:val="22"/>
                <w:lang w:val="en-US" w:eastAsia="zh-CN"/>
              </w:rPr>
            </w:pPr>
            <w:r w:rsidRPr="006B751A">
              <w:rPr>
                <w:rFonts w:eastAsia="Times New Roman"/>
                <w:color w:val="000000"/>
                <w:sz w:val="22"/>
                <w:szCs w:val="22"/>
                <w:lang w:val="en-US" w:eastAsia="zh-CN"/>
              </w:rPr>
              <w:t>Window Type</w:t>
            </w:r>
          </w:p>
        </w:tc>
        <w:tc>
          <w:tcPr>
            <w:tcW w:w="1920" w:type="dxa"/>
            <w:gridSpan w:val="2"/>
            <w:tcBorders>
              <w:top w:val="single" w:sz="8" w:space="0" w:color="auto"/>
              <w:left w:val="nil"/>
              <w:bottom w:val="single" w:sz="8" w:space="0" w:color="auto"/>
              <w:right w:val="single" w:sz="8" w:space="0" w:color="auto"/>
            </w:tcBorders>
            <w:shd w:val="clear" w:color="auto" w:fill="auto"/>
            <w:noWrap/>
            <w:vAlign w:val="bottom"/>
            <w:hideMark/>
          </w:tcPr>
          <w:p w:rsidR="006B751A" w:rsidRPr="006B751A" w:rsidRDefault="006B751A" w:rsidP="006F5E25">
            <w:pPr>
              <w:overflowPunct/>
              <w:autoSpaceDE/>
              <w:autoSpaceDN/>
              <w:adjustRightInd/>
              <w:spacing w:after="0"/>
              <w:textAlignment w:val="auto"/>
              <w:rPr>
                <w:rFonts w:eastAsia="Times New Roman"/>
                <w:color w:val="000000"/>
                <w:sz w:val="22"/>
                <w:szCs w:val="22"/>
                <w:lang w:val="en-US" w:eastAsia="zh-CN"/>
              </w:rPr>
            </w:pPr>
            <w:r w:rsidRPr="006B751A">
              <w:rPr>
                <w:rFonts w:eastAsia="Times New Roman"/>
                <w:color w:val="000000"/>
                <w:sz w:val="22"/>
                <w:szCs w:val="22"/>
                <w:lang w:val="en-US" w:eastAsia="zh-CN"/>
              </w:rPr>
              <w:t> </w:t>
            </w:r>
          </w:p>
          <w:p w:rsidR="006B751A" w:rsidRPr="006B751A" w:rsidRDefault="006B751A" w:rsidP="006F5E25">
            <w:pPr>
              <w:overflowPunct/>
              <w:autoSpaceDE/>
              <w:autoSpaceDN/>
              <w:adjustRightInd/>
              <w:spacing w:after="0"/>
              <w:textAlignment w:val="auto"/>
              <w:rPr>
                <w:rFonts w:eastAsia="Times New Roman"/>
                <w:color w:val="000000"/>
                <w:sz w:val="22"/>
                <w:szCs w:val="22"/>
                <w:lang w:val="en-US" w:eastAsia="zh-CN"/>
              </w:rPr>
            </w:pPr>
            <w:r w:rsidRPr="006B751A">
              <w:rPr>
                <w:rFonts w:eastAsia="Times New Roman"/>
                <w:color w:val="000000"/>
                <w:sz w:val="22"/>
                <w:szCs w:val="22"/>
                <w:lang w:val="en-US" w:eastAsia="zh-CN"/>
              </w:rPr>
              <w:t> </w:t>
            </w:r>
            <w:r>
              <w:rPr>
                <w:rFonts w:eastAsia="Times New Roman"/>
                <w:color w:val="000000"/>
                <w:sz w:val="22"/>
                <w:szCs w:val="22"/>
                <w:lang w:val="en-US" w:eastAsia="zh-CN"/>
              </w:rPr>
              <w:t>Market share</w:t>
            </w:r>
          </w:p>
        </w:tc>
      </w:tr>
      <w:tr w:rsidR="006F5E25" w:rsidRPr="006B751A" w:rsidTr="006B751A">
        <w:trPr>
          <w:trHeight w:val="288"/>
          <w:jc w:val="center"/>
        </w:trPr>
        <w:tc>
          <w:tcPr>
            <w:tcW w:w="1580" w:type="dxa"/>
            <w:vMerge w:val="restart"/>
            <w:tcBorders>
              <w:top w:val="nil"/>
              <w:left w:val="single" w:sz="8" w:space="0" w:color="auto"/>
              <w:bottom w:val="single" w:sz="4" w:space="0" w:color="auto"/>
              <w:right w:val="single" w:sz="4" w:space="0" w:color="auto"/>
            </w:tcBorders>
            <w:shd w:val="clear" w:color="auto" w:fill="auto"/>
            <w:noWrap/>
            <w:vAlign w:val="bottom"/>
            <w:hideMark/>
          </w:tcPr>
          <w:p w:rsidR="006F5E25" w:rsidRPr="006B751A" w:rsidRDefault="006F5E25" w:rsidP="006F5E25">
            <w:pPr>
              <w:overflowPunct/>
              <w:autoSpaceDE/>
              <w:autoSpaceDN/>
              <w:adjustRightInd/>
              <w:spacing w:after="0"/>
              <w:textAlignment w:val="auto"/>
              <w:rPr>
                <w:rFonts w:eastAsia="Times New Roman"/>
                <w:color w:val="000000"/>
                <w:sz w:val="22"/>
                <w:szCs w:val="22"/>
                <w:lang w:val="en-US" w:eastAsia="zh-CN"/>
              </w:rPr>
            </w:pPr>
            <w:r w:rsidRPr="006B751A">
              <w:rPr>
                <w:rFonts w:eastAsia="Times New Roman"/>
                <w:color w:val="000000"/>
                <w:sz w:val="22"/>
                <w:szCs w:val="22"/>
                <w:lang w:val="en-US" w:eastAsia="zh-CN"/>
              </w:rPr>
              <w:t>Low</w:t>
            </w:r>
          </w:p>
        </w:tc>
        <w:tc>
          <w:tcPr>
            <w:tcW w:w="2720" w:type="dxa"/>
            <w:tcBorders>
              <w:top w:val="nil"/>
              <w:left w:val="nil"/>
              <w:bottom w:val="single" w:sz="4" w:space="0" w:color="auto"/>
              <w:right w:val="single" w:sz="8" w:space="0" w:color="auto"/>
            </w:tcBorders>
            <w:shd w:val="clear" w:color="auto" w:fill="auto"/>
            <w:noWrap/>
            <w:vAlign w:val="bottom"/>
            <w:hideMark/>
          </w:tcPr>
          <w:p w:rsidR="006F5E25" w:rsidRPr="006B751A" w:rsidRDefault="006F5E25" w:rsidP="006F5E25">
            <w:pPr>
              <w:overflowPunct/>
              <w:autoSpaceDE/>
              <w:autoSpaceDN/>
              <w:adjustRightInd/>
              <w:spacing w:after="0"/>
              <w:textAlignment w:val="auto"/>
              <w:rPr>
                <w:rFonts w:eastAsia="Times New Roman"/>
                <w:color w:val="000000"/>
                <w:sz w:val="22"/>
                <w:szCs w:val="22"/>
                <w:lang w:val="en-US" w:eastAsia="zh-CN"/>
              </w:rPr>
            </w:pPr>
            <w:r w:rsidRPr="006B751A">
              <w:rPr>
                <w:rFonts w:eastAsia="Times New Roman"/>
                <w:color w:val="000000"/>
                <w:sz w:val="22"/>
                <w:szCs w:val="22"/>
                <w:lang w:val="en-US" w:eastAsia="zh-CN"/>
              </w:rPr>
              <w:t>Single Pane, Clear Glass</w:t>
            </w:r>
          </w:p>
        </w:tc>
        <w:tc>
          <w:tcPr>
            <w:tcW w:w="960" w:type="dxa"/>
            <w:tcBorders>
              <w:top w:val="nil"/>
              <w:left w:val="nil"/>
              <w:bottom w:val="single" w:sz="4" w:space="0" w:color="auto"/>
              <w:right w:val="single" w:sz="4" w:space="0" w:color="auto"/>
            </w:tcBorders>
            <w:shd w:val="clear" w:color="auto" w:fill="auto"/>
            <w:noWrap/>
            <w:vAlign w:val="bottom"/>
            <w:hideMark/>
          </w:tcPr>
          <w:p w:rsidR="006F5E25" w:rsidRPr="006B751A" w:rsidRDefault="006F5E25" w:rsidP="006F5E25">
            <w:pPr>
              <w:overflowPunct/>
              <w:autoSpaceDE/>
              <w:autoSpaceDN/>
              <w:adjustRightInd/>
              <w:spacing w:after="0"/>
              <w:jc w:val="right"/>
              <w:textAlignment w:val="auto"/>
              <w:rPr>
                <w:rFonts w:eastAsia="Times New Roman"/>
                <w:color w:val="000000"/>
                <w:sz w:val="22"/>
                <w:szCs w:val="22"/>
                <w:lang w:val="en-US" w:eastAsia="zh-CN"/>
              </w:rPr>
            </w:pPr>
            <w:r w:rsidRPr="006B751A">
              <w:rPr>
                <w:rFonts w:eastAsia="Times New Roman"/>
                <w:color w:val="000000"/>
                <w:sz w:val="22"/>
                <w:szCs w:val="22"/>
                <w:lang w:val="en-US" w:eastAsia="zh-CN"/>
              </w:rPr>
              <w:t>11%</w:t>
            </w:r>
          </w:p>
        </w:tc>
        <w:tc>
          <w:tcPr>
            <w:tcW w:w="960" w:type="dxa"/>
            <w:vMerge w:val="restart"/>
            <w:tcBorders>
              <w:top w:val="nil"/>
              <w:left w:val="single" w:sz="4" w:space="0" w:color="auto"/>
              <w:bottom w:val="single" w:sz="4" w:space="0" w:color="auto"/>
              <w:right w:val="single" w:sz="8" w:space="0" w:color="auto"/>
            </w:tcBorders>
            <w:shd w:val="clear" w:color="auto" w:fill="auto"/>
            <w:noWrap/>
            <w:vAlign w:val="bottom"/>
            <w:hideMark/>
          </w:tcPr>
          <w:p w:rsidR="006F5E25" w:rsidRPr="000409FA" w:rsidRDefault="006F5E25" w:rsidP="006F5E25">
            <w:pPr>
              <w:overflowPunct/>
              <w:autoSpaceDE/>
              <w:autoSpaceDN/>
              <w:adjustRightInd/>
              <w:spacing w:after="0"/>
              <w:jc w:val="right"/>
              <w:textAlignment w:val="auto"/>
              <w:rPr>
                <w:rFonts w:eastAsia="Times New Roman"/>
                <w:b/>
                <w:color w:val="000000"/>
                <w:sz w:val="22"/>
                <w:szCs w:val="22"/>
                <w:lang w:val="en-US" w:eastAsia="zh-CN"/>
              </w:rPr>
            </w:pPr>
            <w:r w:rsidRPr="000409FA">
              <w:rPr>
                <w:rFonts w:eastAsia="Times New Roman"/>
                <w:b/>
                <w:color w:val="000000"/>
                <w:sz w:val="22"/>
                <w:szCs w:val="22"/>
                <w:lang w:val="en-US" w:eastAsia="zh-CN"/>
              </w:rPr>
              <w:t>41%</w:t>
            </w:r>
          </w:p>
        </w:tc>
      </w:tr>
      <w:tr w:rsidR="006F5E25" w:rsidRPr="006B751A" w:rsidTr="006B751A">
        <w:trPr>
          <w:trHeight w:val="288"/>
          <w:jc w:val="center"/>
        </w:trPr>
        <w:tc>
          <w:tcPr>
            <w:tcW w:w="1580" w:type="dxa"/>
            <w:vMerge/>
            <w:tcBorders>
              <w:top w:val="nil"/>
              <w:left w:val="single" w:sz="8" w:space="0" w:color="auto"/>
              <w:bottom w:val="single" w:sz="4" w:space="0" w:color="auto"/>
              <w:right w:val="single" w:sz="4" w:space="0" w:color="auto"/>
            </w:tcBorders>
            <w:vAlign w:val="center"/>
            <w:hideMark/>
          </w:tcPr>
          <w:p w:rsidR="006F5E25" w:rsidRPr="006B751A" w:rsidRDefault="006F5E25" w:rsidP="006F5E25">
            <w:pPr>
              <w:overflowPunct/>
              <w:autoSpaceDE/>
              <w:autoSpaceDN/>
              <w:adjustRightInd/>
              <w:spacing w:after="0"/>
              <w:textAlignment w:val="auto"/>
              <w:rPr>
                <w:rFonts w:eastAsia="Times New Roman"/>
                <w:color w:val="000000"/>
                <w:sz w:val="22"/>
                <w:szCs w:val="22"/>
                <w:lang w:val="en-US" w:eastAsia="zh-CN"/>
              </w:rPr>
            </w:pPr>
          </w:p>
        </w:tc>
        <w:tc>
          <w:tcPr>
            <w:tcW w:w="2720" w:type="dxa"/>
            <w:tcBorders>
              <w:top w:val="nil"/>
              <w:left w:val="nil"/>
              <w:bottom w:val="single" w:sz="4" w:space="0" w:color="auto"/>
              <w:right w:val="single" w:sz="8" w:space="0" w:color="auto"/>
            </w:tcBorders>
            <w:shd w:val="clear" w:color="auto" w:fill="auto"/>
            <w:noWrap/>
            <w:vAlign w:val="bottom"/>
            <w:hideMark/>
          </w:tcPr>
          <w:p w:rsidR="006F5E25" w:rsidRPr="006B751A" w:rsidRDefault="006F5E25" w:rsidP="006F5E25">
            <w:pPr>
              <w:overflowPunct/>
              <w:autoSpaceDE/>
              <w:autoSpaceDN/>
              <w:adjustRightInd/>
              <w:spacing w:after="0"/>
              <w:textAlignment w:val="auto"/>
              <w:rPr>
                <w:rFonts w:eastAsia="Times New Roman"/>
                <w:color w:val="000000"/>
                <w:sz w:val="22"/>
                <w:szCs w:val="22"/>
                <w:lang w:val="en-US" w:eastAsia="zh-CN"/>
              </w:rPr>
            </w:pPr>
            <w:r w:rsidRPr="006B751A">
              <w:rPr>
                <w:rFonts w:eastAsia="Times New Roman"/>
                <w:color w:val="000000"/>
                <w:sz w:val="22"/>
                <w:szCs w:val="22"/>
                <w:lang w:val="en-US" w:eastAsia="zh-CN"/>
              </w:rPr>
              <w:t>Double Pane, Clear Glass</w:t>
            </w:r>
          </w:p>
        </w:tc>
        <w:tc>
          <w:tcPr>
            <w:tcW w:w="960" w:type="dxa"/>
            <w:tcBorders>
              <w:top w:val="nil"/>
              <w:left w:val="nil"/>
              <w:bottom w:val="single" w:sz="4" w:space="0" w:color="auto"/>
              <w:right w:val="single" w:sz="4" w:space="0" w:color="auto"/>
            </w:tcBorders>
            <w:shd w:val="clear" w:color="auto" w:fill="auto"/>
            <w:noWrap/>
            <w:vAlign w:val="bottom"/>
            <w:hideMark/>
          </w:tcPr>
          <w:p w:rsidR="006F5E25" w:rsidRPr="006B751A" w:rsidRDefault="006F5E25" w:rsidP="006F5E25">
            <w:pPr>
              <w:overflowPunct/>
              <w:autoSpaceDE/>
              <w:autoSpaceDN/>
              <w:adjustRightInd/>
              <w:spacing w:after="0"/>
              <w:jc w:val="right"/>
              <w:textAlignment w:val="auto"/>
              <w:rPr>
                <w:rFonts w:eastAsia="Times New Roman"/>
                <w:color w:val="000000"/>
                <w:sz w:val="22"/>
                <w:szCs w:val="22"/>
                <w:lang w:val="en-US" w:eastAsia="zh-CN"/>
              </w:rPr>
            </w:pPr>
            <w:r w:rsidRPr="006B751A">
              <w:rPr>
                <w:rFonts w:eastAsia="Times New Roman"/>
                <w:color w:val="000000"/>
                <w:sz w:val="22"/>
                <w:szCs w:val="22"/>
                <w:lang w:val="en-US" w:eastAsia="zh-CN"/>
              </w:rPr>
              <w:t>30%</w:t>
            </w:r>
          </w:p>
        </w:tc>
        <w:tc>
          <w:tcPr>
            <w:tcW w:w="960" w:type="dxa"/>
            <w:vMerge/>
            <w:tcBorders>
              <w:top w:val="nil"/>
              <w:left w:val="single" w:sz="4" w:space="0" w:color="auto"/>
              <w:bottom w:val="single" w:sz="4" w:space="0" w:color="auto"/>
              <w:right w:val="single" w:sz="8" w:space="0" w:color="auto"/>
            </w:tcBorders>
            <w:vAlign w:val="center"/>
            <w:hideMark/>
          </w:tcPr>
          <w:p w:rsidR="006F5E25" w:rsidRPr="000409FA" w:rsidRDefault="006F5E25" w:rsidP="006F5E25">
            <w:pPr>
              <w:overflowPunct/>
              <w:autoSpaceDE/>
              <w:autoSpaceDN/>
              <w:adjustRightInd/>
              <w:spacing w:after="0"/>
              <w:textAlignment w:val="auto"/>
              <w:rPr>
                <w:rFonts w:eastAsia="Times New Roman"/>
                <w:b/>
                <w:color w:val="000000"/>
                <w:sz w:val="22"/>
                <w:szCs w:val="22"/>
                <w:lang w:val="en-US" w:eastAsia="zh-CN"/>
              </w:rPr>
            </w:pPr>
          </w:p>
        </w:tc>
      </w:tr>
      <w:tr w:rsidR="006F5E25" w:rsidRPr="006B751A" w:rsidTr="006B751A">
        <w:trPr>
          <w:trHeight w:val="288"/>
          <w:jc w:val="center"/>
        </w:trPr>
        <w:tc>
          <w:tcPr>
            <w:tcW w:w="1580" w:type="dxa"/>
            <w:tcBorders>
              <w:top w:val="nil"/>
              <w:left w:val="single" w:sz="8" w:space="0" w:color="auto"/>
              <w:bottom w:val="single" w:sz="4" w:space="0" w:color="auto"/>
              <w:right w:val="single" w:sz="4" w:space="0" w:color="auto"/>
            </w:tcBorders>
            <w:shd w:val="clear" w:color="auto" w:fill="auto"/>
            <w:noWrap/>
            <w:vAlign w:val="bottom"/>
            <w:hideMark/>
          </w:tcPr>
          <w:p w:rsidR="006F5E25" w:rsidRPr="006B751A" w:rsidRDefault="006F5E25" w:rsidP="006F5E25">
            <w:pPr>
              <w:overflowPunct/>
              <w:autoSpaceDE/>
              <w:autoSpaceDN/>
              <w:adjustRightInd/>
              <w:spacing w:after="0"/>
              <w:textAlignment w:val="auto"/>
              <w:rPr>
                <w:rFonts w:eastAsia="Times New Roman"/>
                <w:color w:val="000000"/>
                <w:sz w:val="22"/>
                <w:szCs w:val="22"/>
                <w:lang w:val="en-US" w:eastAsia="zh-CN"/>
              </w:rPr>
            </w:pPr>
            <w:r w:rsidRPr="006B751A">
              <w:rPr>
                <w:rFonts w:eastAsia="Times New Roman"/>
                <w:color w:val="000000"/>
                <w:sz w:val="22"/>
                <w:szCs w:val="22"/>
                <w:lang w:val="en-US" w:eastAsia="zh-CN"/>
              </w:rPr>
              <w:t>Medium</w:t>
            </w:r>
          </w:p>
        </w:tc>
        <w:tc>
          <w:tcPr>
            <w:tcW w:w="2720" w:type="dxa"/>
            <w:tcBorders>
              <w:top w:val="nil"/>
              <w:left w:val="nil"/>
              <w:bottom w:val="single" w:sz="4" w:space="0" w:color="auto"/>
              <w:right w:val="single" w:sz="8" w:space="0" w:color="auto"/>
            </w:tcBorders>
            <w:shd w:val="clear" w:color="auto" w:fill="auto"/>
            <w:noWrap/>
            <w:vAlign w:val="bottom"/>
            <w:hideMark/>
          </w:tcPr>
          <w:p w:rsidR="006F5E25" w:rsidRPr="006B751A" w:rsidRDefault="006F5E25" w:rsidP="006F5E25">
            <w:pPr>
              <w:overflowPunct/>
              <w:autoSpaceDE/>
              <w:autoSpaceDN/>
              <w:adjustRightInd/>
              <w:spacing w:after="0"/>
              <w:textAlignment w:val="auto"/>
              <w:rPr>
                <w:rFonts w:eastAsia="Times New Roman"/>
                <w:color w:val="000000"/>
                <w:sz w:val="22"/>
                <w:szCs w:val="22"/>
                <w:lang w:val="en-US" w:eastAsia="zh-CN"/>
              </w:rPr>
            </w:pPr>
            <w:r w:rsidRPr="006B751A">
              <w:rPr>
                <w:rFonts w:eastAsia="Times New Roman"/>
                <w:color w:val="000000"/>
                <w:sz w:val="22"/>
                <w:szCs w:val="22"/>
                <w:lang w:val="en-US" w:eastAsia="zh-CN"/>
              </w:rPr>
              <w:t>Double Pane, Low-e Glass</w:t>
            </w:r>
          </w:p>
        </w:tc>
        <w:tc>
          <w:tcPr>
            <w:tcW w:w="960" w:type="dxa"/>
            <w:tcBorders>
              <w:top w:val="nil"/>
              <w:left w:val="nil"/>
              <w:bottom w:val="single" w:sz="4" w:space="0" w:color="auto"/>
              <w:right w:val="single" w:sz="4" w:space="0" w:color="auto"/>
            </w:tcBorders>
            <w:shd w:val="clear" w:color="auto" w:fill="auto"/>
            <w:noWrap/>
            <w:vAlign w:val="bottom"/>
            <w:hideMark/>
          </w:tcPr>
          <w:p w:rsidR="006F5E25" w:rsidRPr="006B751A" w:rsidRDefault="006F5E25" w:rsidP="006F5E25">
            <w:pPr>
              <w:overflowPunct/>
              <w:autoSpaceDE/>
              <w:autoSpaceDN/>
              <w:adjustRightInd/>
              <w:spacing w:after="0"/>
              <w:jc w:val="right"/>
              <w:textAlignment w:val="auto"/>
              <w:rPr>
                <w:rFonts w:eastAsia="Times New Roman"/>
                <w:color w:val="000000"/>
                <w:sz w:val="22"/>
                <w:szCs w:val="22"/>
                <w:lang w:val="en-US" w:eastAsia="zh-CN"/>
              </w:rPr>
            </w:pPr>
            <w:r w:rsidRPr="006B751A">
              <w:rPr>
                <w:rFonts w:eastAsia="Times New Roman"/>
                <w:color w:val="000000"/>
                <w:sz w:val="22"/>
                <w:szCs w:val="22"/>
                <w:lang w:val="en-US" w:eastAsia="zh-CN"/>
              </w:rPr>
              <w:t>30%</w:t>
            </w:r>
          </w:p>
        </w:tc>
        <w:tc>
          <w:tcPr>
            <w:tcW w:w="960" w:type="dxa"/>
            <w:tcBorders>
              <w:top w:val="nil"/>
              <w:left w:val="nil"/>
              <w:bottom w:val="single" w:sz="4" w:space="0" w:color="auto"/>
              <w:right w:val="single" w:sz="8" w:space="0" w:color="auto"/>
            </w:tcBorders>
            <w:shd w:val="clear" w:color="auto" w:fill="auto"/>
            <w:noWrap/>
            <w:vAlign w:val="bottom"/>
            <w:hideMark/>
          </w:tcPr>
          <w:p w:rsidR="006F5E25" w:rsidRPr="000409FA" w:rsidRDefault="006F5E25" w:rsidP="006F5E25">
            <w:pPr>
              <w:overflowPunct/>
              <w:autoSpaceDE/>
              <w:autoSpaceDN/>
              <w:adjustRightInd/>
              <w:spacing w:after="0"/>
              <w:jc w:val="right"/>
              <w:textAlignment w:val="auto"/>
              <w:rPr>
                <w:rFonts w:eastAsia="Times New Roman"/>
                <w:b/>
                <w:color w:val="000000"/>
                <w:sz w:val="22"/>
                <w:szCs w:val="22"/>
                <w:lang w:val="en-US" w:eastAsia="zh-CN"/>
              </w:rPr>
            </w:pPr>
            <w:r w:rsidRPr="000409FA">
              <w:rPr>
                <w:rFonts w:eastAsia="Times New Roman"/>
                <w:b/>
                <w:color w:val="000000"/>
                <w:sz w:val="22"/>
                <w:szCs w:val="22"/>
                <w:lang w:val="en-US" w:eastAsia="zh-CN"/>
              </w:rPr>
              <w:t>30%</w:t>
            </w:r>
          </w:p>
        </w:tc>
      </w:tr>
      <w:tr w:rsidR="006F5E25" w:rsidRPr="006B751A" w:rsidTr="006B751A">
        <w:trPr>
          <w:trHeight w:val="288"/>
          <w:jc w:val="center"/>
        </w:trPr>
        <w:tc>
          <w:tcPr>
            <w:tcW w:w="1580" w:type="dxa"/>
            <w:vMerge w:val="restart"/>
            <w:tcBorders>
              <w:top w:val="nil"/>
              <w:left w:val="single" w:sz="8" w:space="0" w:color="auto"/>
              <w:bottom w:val="single" w:sz="8" w:space="0" w:color="000000"/>
              <w:right w:val="single" w:sz="4" w:space="0" w:color="auto"/>
            </w:tcBorders>
            <w:shd w:val="clear" w:color="auto" w:fill="auto"/>
            <w:noWrap/>
            <w:vAlign w:val="bottom"/>
            <w:hideMark/>
          </w:tcPr>
          <w:p w:rsidR="006F5E25" w:rsidRPr="006B751A" w:rsidRDefault="006F5E25" w:rsidP="006F5E25">
            <w:pPr>
              <w:overflowPunct/>
              <w:autoSpaceDE/>
              <w:autoSpaceDN/>
              <w:adjustRightInd/>
              <w:spacing w:after="0"/>
              <w:textAlignment w:val="auto"/>
              <w:rPr>
                <w:rFonts w:eastAsia="Times New Roman"/>
                <w:color w:val="000000"/>
                <w:sz w:val="22"/>
                <w:szCs w:val="22"/>
                <w:lang w:val="en-US" w:eastAsia="zh-CN"/>
              </w:rPr>
            </w:pPr>
            <w:r w:rsidRPr="006B751A">
              <w:rPr>
                <w:rFonts w:eastAsia="Times New Roman"/>
                <w:color w:val="000000"/>
                <w:sz w:val="22"/>
                <w:szCs w:val="22"/>
                <w:lang w:val="en-US" w:eastAsia="zh-CN"/>
              </w:rPr>
              <w:t>High</w:t>
            </w:r>
          </w:p>
        </w:tc>
        <w:tc>
          <w:tcPr>
            <w:tcW w:w="2720" w:type="dxa"/>
            <w:tcBorders>
              <w:top w:val="nil"/>
              <w:left w:val="nil"/>
              <w:bottom w:val="single" w:sz="4" w:space="0" w:color="auto"/>
              <w:right w:val="single" w:sz="8" w:space="0" w:color="auto"/>
            </w:tcBorders>
            <w:shd w:val="clear" w:color="auto" w:fill="auto"/>
            <w:noWrap/>
            <w:vAlign w:val="bottom"/>
            <w:hideMark/>
          </w:tcPr>
          <w:p w:rsidR="006F5E25" w:rsidRPr="006B751A" w:rsidRDefault="006F5E25" w:rsidP="006F5E25">
            <w:pPr>
              <w:overflowPunct/>
              <w:autoSpaceDE/>
              <w:autoSpaceDN/>
              <w:adjustRightInd/>
              <w:spacing w:after="0"/>
              <w:textAlignment w:val="auto"/>
              <w:rPr>
                <w:rFonts w:eastAsia="Times New Roman"/>
                <w:color w:val="000000"/>
                <w:sz w:val="22"/>
                <w:szCs w:val="22"/>
                <w:lang w:val="en-US" w:eastAsia="zh-CN"/>
              </w:rPr>
            </w:pPr>
            <w:r w:rsidRPr="006B751A">
              <w:rPr>
                <w:rFonts w:eastAsia="Times New Roman"/>
                <w:color w:val="000000"/>
                <w:sz w:val="22"/>
                <w:szCs w:val="22"/>
                <w:lang w:val="en-US" w:eastAsia="zh-CN"/>
              </w:rPr>
              <w:t>Double Pane, Tinted Glass</w:t>
            </w:r>
          </w:p>
        </w:tc>
        <w:tc>
          <w:tcPr>
            <w:tcW w:w="960" w:type="dxa"/>
            <w:tcBorders>
              <w:top w:val="nil"/>
              <w:left w:val="nil"/>
              <w:bottom w:val="single" w:sz="4" w:space="0" w:color="auto"/>
              <w:right w:val="single" w:sz="4" w:space="0" w:color="auto"/>
            </w:tcBorders>
            <w:shd w:val="clear" w:color="auto" w:fill="auto"/>
            <w:noWrap/>
            <w:vAlign w:val="bottom"/>
            <w:hideMark/>
          </w:tcPr>
          <w:p w:rsidR="006F5E25" w:rsidRPr="006B751A" w:rsidRDefault="006F5E25" w:rsidP="006F5E25">
            <w:pPr>
              <w:overflowPunct/>
              <w:autoSpaceDE/>
              <w:autoSpaceDN/>
              <w:adjustRightInd/>
              <w:spacing w:after="0"/>
              <w:jc w:val="right"/>
              <w:textAlignment w:val="auto"/>
              <w:rPr>
                <w:rFonts w:eastAsia="Times New Roman"/>
                <w:color w:val="000000"/>
                <w:sz w:val="22"/>
                <w:szCs w:val="22"/>
                <w:lang w:val="en-US" w:eastAsia="zh-CN"/>
              </w:rPr>
            </w:pPr>
            <w:r w:rsidRPr="006B751A">
              <w:rPr>
                <w:rFonts w:eastAsia="Times New Roman"/>
                <w:color w:val="000000"/>
                <w:sz w:val="22"/>
                <w:szCs w:val="22"/>
                <w:lang w:val="en-US" w:eastAsia="zh-CN"/>
              </w:rPr>
              <w:t>6%</w:t>
            </w:r>
          </w:p>
        </w:tc>
        <w:tc>
          <w:tcPr>
            <w:tcW w:w="960" w:type="dxa"/>
            <w:vMerge w:val="restart"/>
            <w:tcBorders>
              <w:top w:val="nil"/>
              <w:left w:val="single" w:sz="4" w:space="0" w:color="auto"/>
              <w:bottom w:val="single" w:sz="8" w:space="0" w:color="000000"/>
              <w:right w:val="single" w:sz="8" w:space="0" w:color="auto"/>
            </w:tcBorders>
            <w:shd w:val="clear" w:color="auto" w:fill="auto"/>
            <w:noWrap/>
            <w:vAlign w:val="bottom"/>
            <w:hideMark/>
          </w:tcPr>
          <w:p w:rsidR="006F5E25" w:rsidRPr="000409FA" w:rsidRDefault="006F5E25" w:rsidP="006F5E25">
            <w:pPr>
              <w:overflowPunct/>
              <w:autoSpaceDE/>
              <w:autoSpaceDN/>
              <w:adjustRightInd/>
              <w:spacing w:after="0"/>
              <w:jc w:val="right"/>
              <w:textAlignment w:val="auto"/>
              <w:rPr>
                <w:rFonts w:eastAsia="Times New Roman"/>
                <w:b/>
                <w:color w:val="000000"/>
                <w:sz w:val="22"/>
                <w:szCs w:val="22"/>
                <w:lang w:val="en-US" w:eastAsia="zh-CN"/>
              </w:rPr>
            </w:pPr>
            <w:r w:rsidRPr="000409FA">
              <w:rPr>
                <w:rFonts w:eastAsia="Times New Roman"/>
                <w:b/>
                <w:color w:val="000000"/>
                <w:sz w:val="22"/>
                <w:szCs w:val="22"/>
                <w:lang w:val="en-US" w:eastAsia="zh-CN"/>
              </w:rPr>
              <w:t>29%</w:t>
            </w:r>
          </w:p>
        </w:tc>
      </w:tr>
      <w:tr w:rsidR="006F5E25" w:rsidRPr="006B751A" w:rsidTr="006B751A">
        <w:trPr>
          <w:trHeight w:val="288"/>
          <w:jc w:val="center"/>
        </w:trPr>
        <w:tc>
          <w:tcPr>
            <w:tcW w:w="1580" w:type="dxa"/>
            <w:vMerge/>
            <w:tcBorders>
              <w:top w:val="nil"/>
              <w:left w:val="single" w:sz="8" w:space="0" w:color="auto"/>
              <w:bottom w:val="single" w:sz="8" w:space="0" w:color="000000"/>
              <w:right w:val="single" w:sz="4" w:space="0" w:color="auto"/>
            </w:tcBorders>
            <w:vAlign w:val="center"/>
            <w:hideMark/>
          </w:tcPr>
          <w:p w:rsidR="006F5E25" w:rsidRPr="006B751A" w:rsidRDefault="006F5E25" w:rsidP="006F5E25">
            <w:pPr>
              <w:overflowPunct/>
              <w:autoSpaceDE/>
              <w:autoSpaceDN/>
              <w:adjustRightInd/>
              <w:spacing w:after="0"/>
              <w:textAlignment w:val="auto"/>
              <w:rPr>
                <w:rFonts w:eastAsia="Times New Roman"/>
                <w:color w:val="000000"/>
                <w:sz w:val="22"/>
                <w:szCs w:val="22"/>
                <w:lang w:val="en-US" w:eastAsia="zh-CN"/>
              </w:rPr>
            </w:pPr>
          </w:p>
        </w:tc>
        <w:tc>
          <w:tcPr>
            <w:tcW w:w="2720" w:type="dxa"/>
            <w:tcBorders>
              <w:top w:val="nil"/>
              <w:left w:val="nil"/>
              <w:bottom w:val="single" w:sz="4" w:space="0" w:color="auto"/>
              <w:right w:val="single" w:sz="8" w:space="0" w:color="auto"/>
            </w:tcBorders>
            <w:shd w:val="clear" w:color="auto" w:fill="auto"/>
            <w:noWrap/>
            <w:vAlign w:val="bottom"/>
            <w:hideMark/>
          </w:tcPr>
          <w:p w:rsidR="006F5E25" w:rsidRPr="006B751A" w:rsidRDefault="006F5E25" w:rsidP="006F5E25">
            <w:pPr>
              <w:overflowPunct/>
              <w:autoSpaceDE/>
              <w:autoSpaceDN/>
              <w:adjustRightInd/>
              <w:spacing w:after="0"/>
              <w:textAlignment w:val="auto"/>
              <w:rPr>
                <w:rFonts w:eastAsia="Times New Roman"/>
                <w:color w:val="000000"/>
                <w:sz w:val="22"/>
                <w:szCs w:val="22"/>
                <w:lang w:val="en-US" w:eastAsia="zh-CN"/>
              </w:rPr>
            </w:pPr>
            <w:r w:rsidRPr="006B751A">
              <w:rPr>
                <w:rFonts w:eastAsia="Times New Roman"/>
                <w:color w:val="000000"/>
                <w:sz w:val="22"/>
                <w:szCs w:val="22"/>
                <w:lang w:val="en-US" w:eastAsia="zh-CN"/>
              </w:rPr>
              <w:t>Double Pane, Reflective Glass</w:t>
            </w:r>
          </w:p>
        </w:tc>
        <w:tc>
          <w:tcPr>
            <w:tcW w:w="960" w:type="dxa"/>
            <w:tcBorders>
              <w:top w:val="nil"/>
              <w:left w:val="nil"/>
              <w:bottom w:val="single" w:sz="4" w:space="0" w:color="auto"/>
              <w:right w:val="single" w:sz="4" w:space="0" w:color="auto"/>
            </w:tcBorders>
            <w:shd w:val="clear" w:color="auto" w:fill="auto"/>
            <w:noWrap/>
            <w:vAlign w:val="bottom"/>
            <w:hideMark/>
          </w:tcPr>
          <w:p w:rsidR="006F5E25" w:rsidRPr="006B751A" w:rsidRDefault="006F5E25" w:rsidP="006F5E25">
            <w:pPr>
              <w:overflowPunct/>
              <w:autoSpaceDE/>
              <w:autoSpaceDN/>
              <w:adjustRightInd/>
              <w:spacing w:after="0"/>
              <w:jc w:val="right"/>
              <w:textAlignment w:val="auto"/>
              <w:rPr>
                <w:rFonts w:eastAsia="Times New Roman"/>
                <w:color w:val="000000"/>
                <w:sz w:val="22"/>
                <w:szCs w:val="22"/>
                <w:lang w:val="en-US" w:eastAsia="zh-CN"/>
              </w:rPr>
            </w:pPr>
            <w:r w:rsidRPr="006B751A">
              <w:rPr>
                <w:rFonts w:eastAsia="Times New Roman"/>
                <w:color w:val="000000"/>
                <w:sz w:val="22"/>
                <w:szCs w:val="22"/>
                <w:lang w:val="en-US" w:eastAsia="zh-CN"/>
              </w:rPr>
              <w:t>20%</w:t>
            </w:r>
          </w:p>
        </w:tc>
        <w:tc>
          <w:tcPr>
            <w:tcW w:w="960" w:type="dxa"/>
            <w:vMerge/>
            <w:tcBorders>
              <w:top w:val="nil"/>
              <w:left w:val="single" w:sz="4" w:space="0" w:color="auto"/>
              <w:bottom w:val="single" w:sz="8" w:space="0" w:color="000000"/>
              <w:right w:val="single" w:sz="8" w:space="0" w:color="auto"/>
            </w:tcBorders>
            <w:vAlign w:val="center"/>
            <w:hideMark/>
          </w:tcPr>
          <w:p w:rsidR="006F5E25" w:rsidRPr="006B751A" w:rsidRDefault="006F5E25" w:rsidP="006F5E25">
            <w:pPr>
              <w:overflowPunct/>
              <w:autoSpaceDE/>
              <w:autoSpaceDN/>
              <w:adjustRightInd/>
              <w:spacing w:after="0"/>
              <w:textAlignment w:val="auto"/>
              <w:rPr>
                <w:rFonts w:eastAsia="Times New Roman"/>
                <w:color w:val="000000"/>
                <w:sz w:val="22"/>
                <w:szCs w:val="22"/>
                <w:lang w:val="en-US" w:eastAsia="zh-CN"/>
              </w:rPr>
            </w:pPr>
          </w:p>
        </w:tc>
      </w:tr>
      <w:tr w:rsidR="006F5E25" w:rsidRPr="006B751A" w:rsidTr="006B751A">
        <w:trPr>
          <w:trHeight w:val="300"/>
          <w:jc w:val="center"/>
        </w:trPr>
        <w:tc>
          <w:tcPr>
            <w:tcW w:w="1580" w:type="dxa"/>
            <w:vMerge/>
            <w:tcBorders>
              <w:top w:val="nil"/>
              <w:left w:val="single" w:sz="8" w:space="0" w:color="auto"/>
              <w:bottom w:val="single" w:sz="8" w:space="0" w:color="000000"/>
              <w:right w:val="single" w:sz="4" w:space="0" w:color="auto"/>
            </w:tcBorders>
            <w:vAlign w:val="center"/>
            <w:hideMark/>
          </w:tcPr>
          <w:p w:rsidR="006F5E25" w:rsidRPr="006B751A" w:rsidRDefault="006F5E25" w:rsidP="006F5E25">
            <w:pPr>
              <w:overflowPunct/>
              <w:autoSpaceDE/>
              <w:autoSpaceDN/>
              <w:adjustRightInd/>
              <w:spacing w:after="0"/>
              <w:textAlignment w:val="auto"/>
              <w:rPr>
                <w:rFonts w:eastAsia="Times New Roman"/>
                <w:color w:val="000000"/>
                <w:sz w:val="22"/>
                <w:szCs w:val="22"/>
                <w:lang w:val="en-US" w:eastAsia="zh-CN"/>
              </w:rPr>
            </w:pPr>
          </w:p>
        </w:tc>
        <w:tc>
          <w:tcPr>
            <w:tcW w:w="2720" w:type="dxa"/>
            <w:tcBorders>
              <w:top w:val="nil"/>
              <w:left w:val="nil"/>
              <w:bottom w:val="single" w:sz="8" w:space="0" w:color="auto"/>
              <w:right w:val="single" w:sz="8" w:space="0" w:color="auto"/>
            </w:tcBorders>
            <w:shd w:val="clear" w:color="auto" w:fill="auto"/>
            <w:noWrap/>
            <w:vAlign w:val="bottom"/>
            <w:hideMark/>
          </w:tcPr>
          <w:p w:rsidR="006F5E25" w:rsidRPr="006B751A" w:rsidRDefault="006F5E25" w:rsidP="006F5E25">
            <w:pPr>
              <w:overflowPunct/>
              <w:autoSpaceDE/>
              <w:autoSpaceDN/>
              <w:adjustRightInd/>
              <w:spacing w:after="0"/>
              <w:textAlignment w:val="auto"/>
              <w:rPr>
                <w:rFonts w:eastAsia="Times New Roman"/>
                <w:color w:val="000000"/>
                <w:sz w:val="22"/>
                <w:szCs w:val="22"/>
                <w:lang w:val="en-US" w:eastAsia="zh-CN"/>
              </w:rPr>
            </w:pPr>
            <w:r w:rsidRPr="006B751A">
              <w:rPr>
                <w:rFonts w:eastAsia="Times New Roman"/>
                <w:color w:val="000000"/>
                <w:sz w:val="22"/>
                <w:szCs w:val="22"/>
                <w:lang w:val="en-US" w:eastAsia="zh-CN"/>
              </w:rPr>
              <w:t>Triple Pane, Low-e Glass</w:t>
            </w:r>
          </w:p>
        </w:tc>
        <w:tc>
          <w:tcPr>
            <w:tcW w:w="960" w:type="dxa"/>
            <w:tcBorders>
              <w:top w:val="nil"/>
              <w:left w:val="nil"/>
              <w:bottom w:val="single" w:sz="8" w:space="0" w:color="auto"/>
              <w:right w:val="single" w:sz="4" w:space="0" w:color="auto"/>
            </w:tcBorders>
            <w:shd w:val="clear" w:color="auto" w:fill="auto"/>
            <w:noWrap/>
            <w:vAlign w:val="bottom"/>
            <w:hideMark/>
          </w:tcPr>
          <w:p w:rsidR="006F5E25" w:rsidRPr="006B751A" w:rsidRDefault="006F5E25" w:rsidP="006F5E25">
            <w:pPr>
              <w:overflowPunct/>
              <w:autoSpaceDE/>
              <w:autoSpaceDN/>
              <w:adjustRightInd/>
              <w:spacing w:after="0"/>
              <w:jc w:val="right"/>
              <w:textAlignment w:val="auto"/>
              <w:rPr>
                <w:rFonts w:eastAsia="Times New Roman"/>
                <w:color w:val="000000"/>
                <w:sz w:val="22"/>
                <w:szCs w:val="22"/>
                <w:lang w:val="en-US" w:eastAsia="zh-CN"/>
              </w:rPr>
            </w:pPr>
            <w:r w:rsidRPr="006B751A">
              <w:rPr>
                <w:rFonts w:eastAsia="Times New Roman"/>
                <w:color w:val="000000"/>
                <w:sz w:val="22"/>
                <w:szCs w:val="22"/>
                <w:lang w:val="en-US" w:eastAsia="zh-CN"/>
              </w:rPr>
              <w:t>3%</w:t>
            </w:r>
          </w:p>
        </w:tc>
        <w:tc>
          <w:tcPr>
            <w:tcW w:w="960" w:type="dxa"/>
            <w:vMerge/>
            <w:tcBorders>
              <w:top w:val="nil"/>
              <w:left w:val="single" w:sz="4" w:space="0" w:color="auto"/>
              <w:bottom w:val="single" w:sz="8" w:space="0" w:color="000000"/>
              <w:right w:val="single" w:sz="8" w:space="0" w:color="auto"/>
            </w:tcBorders>
            <w:vAlign w:val="center"/>
            <w:hideMark/>
          </w:tcPr>
          <w:p w:rsidR="006F5E25" w:rsidRPr="006B751A" w:rsidRDefault="006F5E25" w:rsidP="006F5E25">
            <w:pPr>
              <w:overflowPunct/>
              <w:autoSpaceDE/>
              <w:autoSpaceDN/>
              <w:adjustRightInd/>
              <w:spacing w:after="0"/>
              <w:textAlignment w:val="auto"/>
              <w:rPr>
                <w:rFonts w:eastAsia="Times New Roman"/>
                <w:color w:val="000000"/>
                <w:sz w:val="22"/>
                <w:szCs w:val="22"/>
                <w:lang w:val="en-US" w:eastAsia="zh-CN"/>
              </w:rPr>
            </w:pPr>
          </w:p>
        </w:tc>
      </w:tr>
    </w:tbl>
    <w:p w:rsidR="006F5E25" w:rsidRDefault="005C0314" w:rsidP="00FD79B5">
      <w:pPr>
        <w:spacing w:before="120"/>
        <w:jc w:val="both"/>
        <w:rPr>
          <w:sz w:val="22"/>
          <w:szCs w:val="22"/>
          <w:lang w:eastAsia="ja-JP"/>
        </w:rPr>
      </w:pPr>
      <w:r>
        <w:rPr>
          <w:sz w:val="22"/>
          <w:szCs w:val="22"/>
          <w:lang w:eastAsia="ja-JP"/>
        </w:rPr>
        <w:t>Based on these data, we plot the trend of low-, medium-, and high- loss windows for both the commercial and residential sector in</w:t>
      </w:r>
      <w:r w:rsidR="00B376D8">
        <w:rPr>
          <w:sz w:val="22"/>
          <w:szCs w:val="22"/>
          <w:lang w:eastAsia="ja-JP"/>
        </w:rPr>
        <w:t xml:space="preserve"> the U.S., as shown in </w:t>
      </w:r>
      <w:r w:rsidR="00B376D8">
        <w:rPr>
          <w:sz w:val="22"/>
          <w:szCs w:val="22"/>
          <w:lang w:eastAsia="ja-JP"/>
        </w:rPr>
        <w:fldChar w:fldCharType="begin"/>
      </w:r>
      <w:r w:rsidR="00B376D8">
        <w:rPr>
          <w:sz w:val="22"/>
          <w:szCs w:val="22"/>
          <w:lang w:eastAsia="ja-JP"/>
        </w:rPr>
        <w:instrText xml:space="preserve"> REF _Ref447288192 \h  \* MERGEFORMAT </w:instrText>
      </w:r>
      <w:r w:rsidR="00B376D8">
        <w:rPr>
          <w:sz w:val="22"/>
          <w:szCs w:val="22"/>
          <w:lang w:eastAsia="ja-JP"/>
        </w:rPr>
      </w:r>
      <w:r w:rsidR="00B376D8">
        <w:rPr>
          <w:sz w:val="22"/>
          <w:szCs w:val="22"/>
          <w:lang w:eastAsia="ja-JP"/>
        </w:rPr>
        <w:fldChar w:fldCharType="separate"/>
      </w:r>
      <w:r w:rsidR="000462E5" w:rsidRPr="000462E5">
        <w:rPr>
          <w:sz w:val="22"/>
          <w:szCs w:val="22"/>
          <w:lang w:eastAsia="ja-JP"/>
        </w:rPr>
        <w:t>Figure 5</w:t>
      </w:r>
      <w:r w:rsidR="00B376D8">
        <w:rPr>
          <w:sz w:val="22"/>
          <w:szCs w:val="22"/>
          <w:lang w:eastAsia="ja-JP"/>
        </w:rPr>
        <w:fldChar w:fldCharType="end"/>
      </w:r>
      <w:r w:rsidR="00B376D8">
        <w:rPr>
          <w:sz w:val="22"/>
          <w:szCs w:val="22"/>
          <w:lang w:eastAsia="ja-JP"/>
        </w:rPr>
        <w:t>.</w:t>
      </w:r>
    </w:p>
    <w:p w:rsidR="00B376D8" w:rsidRDefault="00B376D8" w:rsidP="00B376D8">
      <w:pPr>
        <w:keepNext/>
        <w:spacing w:before="120"/>
        <w:jc w:val="center"/>
      </w:pPr>
      <w:r w:rsidRPr="00B376D8">
        <w:rPr>
          <w:noProof/>
          <w:lang w:val="en-US" w:eastAsia="zh-CN"/>
        </w:rPr>
        <w:drawing>
          <wp:inline distT="0" distB="0" distL="0" distR="0" wp14:anchorId="4C7CFB93" wp14:editId="71CC0F1D">
            <wp:extent cx="3657600" cy="236829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57600" cy="2368296"/>
                    </a:xfrm>
                    <a:prstGeom prst="rect">
                      <a:avLst/>
                    </a:prstGeom>
                    <a:noFill/>
                    <a:ln>
                      <a:noFill/>
                    </a:ln>
                  </pic:spPr>
                </pic:pic>
              </a:graphicData>
            </a:graphic>
          </wp:inline>
        </w:drawing>
      </w:r>
    </w:p>
    <w:p w:rsidR="005C0314" w:rsidRDefault="00B376D8" w:rsidP="00B376D8">
      <w:pPr>
        <w:pStyle w:val="Caption"/>
        <w:rPr>
          <w:sz w:val="22"/>
          <w:szCs w:val="22"/>
          <w:lang w:eastAsia="ja-JP"/>
        </w:rPr>
      </w:pPr>
      <w:bookmarkStart w:id="14" w:name="_Ref447288192"/>
      <w:r>
        <w:t xml:space="preserve">Figure </w:t>
      </w:r>
      <w:r w:rsidR="009B278C">
        <w:fldChar w:fldCharType="begin"/>
      </w:r>
      <w:r w:rsidR="009B278C">
        <w:instrText xml:space="preserve"> SEQ Figure \* ARABIC </w:instrText>
      </w:r>
      <w:r w:rsidR="009B278C">
        <w:fldChar w:fldCharType="separate"/>
      </w:r>
      <w:r w:rsidR="00D37943">
        <w:rPr>
          <w:noProof/>
        </w:rPr>
        <w:t>5</w:t>
      </w:r>
      <w:r w:rsidR="009B278C">
        <w:rPr>
          <w:noProof/>
        </w:rPr>
        <w:fldChar w:fldCharType="end"/>
      </w:r>
      <w:bookmarkEnd w:id="14"/>
      <w:r>
        <w:t xml:space="preserve">. </w:t>
      </w:r>
      <w:r w:rsidR="00DE67C7">
        <w:t>Trends for commercial and residential b</w:t>
      </w:r>
      <w:r>
        <w:t xml:space="preserve">uilding </w:t>
      </w:r>
      <w:r w:rsidR="00DE67C7">
        <w:t>windows</w:t>
      </w:r>
      <w:r>
        <w:t xml:space="preserve"> in the U.S. (2010 – 2025)</w:t>
      </w:r>
    </w:p>
    <w:p w:rsidR="006E024A" w:rsidRDefault="006E024A" w:rsidP="00BE1D64">
      <w:pPr>
        <w:rPr>
          <w:sz w:val="22"/>
          <w:szCs w:val="22"/>
          <w:lang w:val="en-US" w:eastAsia="ja-JP"/>
        </w:rPr>
      </w:pPr>
    </w:p>
    <w:p w:rsidR="00BF7FEA" w:rsidRDefault="00BF7FEA" w:rsidP="00BF7FEA">
      <w:pPr>
        <w:keepNext/>
        <w:jc w:val="center"/>
      </w:pPr>
      <w:r w:rsidRPr="00BF7FEA">
        <w:rPr>
          <w:noProof/>
          <w:lang w:val="en-US" w:eastAsia="zh-CN"/>
        </w:rPr>
        <w:lastRenderedPageBreak/>
        <w:drawing>
          <wp:inline distT="0" distB="0" distL="0" distR="0" wp14:anchorId="47A9866F" wp14:editId="4D972D03">
            <wp:extent cx="3657600" cy="236829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57600" cy="2368296"/>
                    </a:xfrm>
                    <a:prstGeom prst="rect">
                      <a:avLst/>
                    </a:prstGeom>
                    <a:noFill/>
                    <a:ln>
                      <a:noFill/>
                    </a:ln>
                  </pic:spPr>
                </pic:pic>
              </a:graphicData>
            </a:graphic>
          </wp:inline>
        </w:drawing>
      </w:r>
    </w:p>
    <w:p w:rsidR="00BF7FEA" w:rsidRDefault="00BF7FEA" w:rsidP="00C019DD">
      <w:pPr>
        <w:pStyle w:val="Caption"/>
        <w:spacing w:before="120" w:after="120"/>
        <w:rPr>
          <w:sz w:val="22"/>
          <w:szCs w:val="22"/>
          <w:lang w:eastAsia="ja-JP"/>
        </w:rPr>
      </w:pPr>
      <w:bookmarkStart w:id="15" w:name="_Ref447291101"/>
      <w:r>
        <w:t xml:space="preserve">Figure </w:t>
      </w:r>
      <w:r w:rsidR="009B278C">
        <w:fldChar w:fldCharType="begin"/>
      </w:r>
      <w:r w:rsidR="009B278C">
        <w:instrText xml:space="preserve"> SEQ Figure \* ARABIC </w:instrText>
      </w:r>
      <w:r w:rsidR="009B278C">
        <w:fldChar w:fldCharType="separate"/>
      </w:r>
      <w:r w:rsidR="00D37943">
        <w:rPr>
          <w:noProof/>
        </w:rPr>
        <w:t>6</w:t>
      </w:r>
      <w:r w:rsidR="009B278C">
        <w:rPr>
          <w:noProof/>
        </w:rPr>
        <w:fldChar w:fldCharType="end"/>
      </w:r>
      <w:bookmarkEnd w:id="15"/>
      <w:r>
        <w:t>. Trends for overall building windows in the U.S. (2010 – 2025)</w:t>
      </w:r>
    </w:p>
    <w:p w:rsidR="006E024A" w:rsidRDefault="006E024A" w:rsidP="006E024A">
      <w:pPr>
        <w:rPr>
          <w:sz w:val="22"/>
          <w:szCs w:val="22"/>
          <w:lang w:eastAsia="ja-JP"/>
        </w:rPr>
      </w:pPr>
      <w:r>
        <w:rPr>
          <w:sz w:val="22"/>
          <w:szCs w:val="22"/>
          <w:lang w:eastAsia="ja-JP"/>
        </w:rPr>
        <w:t xml:space="preserve">The trend for averaged percentages of window types among commercial and residential buildings, weighted by building floor area, is plotted in </w:t>
      </w:r>
      <w:r>
        <w:rPr>
          <w:sz w:val="22"/>
          <w:szCs w:val="22"/>
          <w:lang w:eastAsia="ja-JP"/>
        </w:rPr>
        <w:fldChar w:fldCharType="begin"/>
      </w:r>
      <w:r>
        <w:rPr>
          <w:sz w:val="22"/>
          <w:szCs w:val="22"/>
          <w:lang w:eastAsia="ja-JP"/>
        </w:rPr>
        <w:instrText xml:space="preserve"> REF _Ref447291101 \h </w:instrText>
      </w:r>
      <w:r>
        <w:rPr>
          <w:sz w:val="22"/>
          <w:szCs w:val="22"/>
          <w:lang w:eastAsia="ja-JP"/>
        </w:rPr>
      </w:r>
      <w:r>
        <w:rPr>
          <w:sz w:val="22"/>
          <w:szCs w:val="22"/>
          <w:lang w:eastAsia="ja-JP"/>
        </w:rPr>
        <w:fldChar w:fldCharType="separate"/>
      </w:r>
      <w:r>
        <w:t xml:space="preserve">Figure </w:t>
      </w:r>
      <w:r>
        <w:rPr>
          <w:noProof/>
        </w:rPr>
        <w:t>6</w:t>
      </w:r>
      <w:r>
        <w:rPr>
          <w:sz w:val="22"/>
          <w:szCs w:val="22"/>
          <w:lang w:eastAsia="ja-JP"/>
        </w:rPr>
        <w:fldChar w:fldCharType="end"/>
      </w:r>
      <w:r>
        <w:rPr>
          <w:sz w:val="22"/>
          <w:szCs w:val="22"/>
          <w:lang w:eastAsia="ja-JP"/>
        </w:rPr>
        <w:t>.</w:t>
      </w:r>
      <w:r w:rsidR="00BB5318">
        <w:rPr>
          <w:sz w:val="22"/>
          <w:szCs w:val="22"/>
          <w:lang w:eastAsia="ja-JP"/>
        </w:rPr>
        <w:t xml:space="preserve"> Over the course from 2010 to 2025, we expect the percentage of windows that exhibits high-loss for radio signals will stay around 10%, while the medium-loss windows (double-pane windows with single layer of low-e coating) will increase gradually from 6% to </w:t>
      </w:r>
      <w:r w:rsidR="0017521D">
        <w:rPr>
          <w:sz w:val="22"/>
          <w:szCs w:val="22"/>
          <w:lang w:eastAsia="ja-JP"/>
        </w:rPr>
        <w:t>around 10</w:t>
      </w:r>
      <w:r w:rsidR="00BB5318">
        <w:rPr>
          <w:sz w:val="22"/>
          <w:szCs w:val="22"/>
          <w:lang w:eastAsia="ja-JP"/>
        </w:rPr>
        <w:t>%, and the low-loss windows</w:t>
      </w:r>
      <w:r w:rsidR="0017521D">
        <w:rPr>
          <w:sz w:val="22"/>
          <w:szCs w:val="22"/>
          <w:lang w:eastAsia="ja-JP"/>
        </w:rPr>
        <w:t xml:space="preserve"> will gradually decrease from 85% to around 80%.</w:t>
      </w:r>
    </w:p>
    <w:p w:rsidR="009070D8" w:rsidRDefault="009070D8" w:rsidP="00F52B84">
      <w:pPr>
        <w:spacing w:before="120"/>
        <w:rPr>
          <w:sz w:val="22"/>
          <w:szCs w:val="22"/>
          <w:lang w:eastAsia="ja-JP"/>
        </w:rPr>
      </w:pPr>
      <w:r>
        <w:rPr>
          <w:sz w:val="22"/>
          <w:szCs w:val="22"/>
          <w:lang w:eastAsia="ja-JP"/>
        </w:rPr>
        <w:t xml:space="preserve">Therefore, </w:t>
      </w:r>
      <w:r w:rsidR="00D61CBE">
        <w:rPr>
          <w:sz w:val="22"/>
          <w:szCs w:val="22"/>
          <w:lang w:eastAsia="ja-JP"/>
        </w:rPr>
        <w:t xml:space="preserve">one proposal to model the window mix (and thus </w:t>
      </w:r>
      <w:r>
        <w:rPr>
          <w:sz w:val="22"/>
          <w:szCs w:val="22"/>
          <w:lang w:eastAsia="ja-JP"/>
        </w:rPr>
        <w:t>building</w:t>
      </w:r>
      <w:r w:rsidR="00D61CBE">
        <w:rPr>
          <w:sz w:val="22"/>
          <w:szCs w:val="22"/>
          <w:lang w:eastAsia="ja-JP"/>
        </w:rPr>
        <w:t xml:space="preserve"> mix) for </w:t>
      </w:r>
      <w:r>
        <w:rPr>
          <w:sz w:val="22"/>
          <w:szCs w:val="22"/>
          <w:lang w:eastAsia="ja-JP"/>
        </w:rPr>
        <w:t>the high loss or low loss building penetration</w:t>
      </w:r>
      <w:r w:rsidR="00D61CBE">
        <w:rPr>
          <w:sz w:val="22"/>
          <w:szCs w:val="22"/>
          <w:lang w:eastAsia="ja-JP"/>
        </w:rPr>
        <w:t xml:space="preserve"> model can be as follows</w:t>
      </w:r>
      <w:r>
        <w:rPr>
          <w:sz w:val="22"/>
          <w:szCs w:val="22"/>
          <w:lang w:eastAsia="ja-JP"/>
        </w:rPr>
        <w:t>:</w:t>
      </w:r>
    </w:p>
    <w:p w:rsidR="00104688" w:rsidRDefault="008E5EE3" w:rsidP="00104688">
      <w:pPr>
        <w:rPr>
          <w:b/>
          <w:sz w:val="22"/>
          <w:szCs w:val="22"/>
          <w:lang w:eastAsia="ja-JP"/>
        </w:rPr>
      </w:pPr>
      <w:r>
        <w:rPr>
          <w:b/>
          <w:sz w:val="22"/>
          <w:szCs w:val="22"/>
          <w:lang w:eastAsia="ja-JP"/>
        </w:rPr>
        <w:t>Proposal</w:t>
      </w:r>
      <w:r w:rsidR="00D61CBE">
        <w:rPr>
          <w:b/>
          <w:sz w:val="22"/>
          <w:szCs w:val="22"/>
          <w:lang w:eastAsia="ja-JP"/>
        </w:rPr>
        <w:t xml:space="preserve"> 1</w:t>
      </w:r>
      <w:r w:rsidR="00104688" w:rsidRPr="00AA458D">
        <w:rPr>
          <w:b/>
          <w:sz w:val="22"/>
          <w:szCs w:val="22"/>
          <w:lang w:eastAsia="ja-JP"/>
        </w:rPr>
        <w:t xml:space="preserve">: </w:t>
      </w:r>
      <w:r w:rsidR="00104688">
        <w:rPr>
          <w:b/>
          <w:sz w:val="22"/>
          <w:szCs w:val="22"/>
          <w:lang w:eastAsia="ja-JP"/>
        </w:rPr>
        <w:t>T</w:t>
      </w:r>
      <w:r w:rsidR="00104688" w:rsidRPr="00AA458D">
        <w:rPr>
          <w:b/>
          <w:sz w:val="22"/>
          <w:szCs w:val="22"/>
          <w:lang w:eastAsia="ja-JP"/>
        </w:rPr>
        <w:t xml:space="preserve">he </w:t>
      </w:r>
      <w:r w:rsidR="00BD4251">
        <w:rPr>
          <w:b/>
          <w:sz w:val="22"/>
          <w:szCs w:val="22"/>
          <w:lang w:eastAsia="ja-JP"/>
        </w:rPr>
        <w:t>low</w:t>
      </w:r>
      <w:r w:rsidR="00104688" w:rsidRPr="00AA458D">
        <w:rPr>
          <w:b/>
          <w:sz w:val="22"/>
          <w:szCs w:val="22"/>
          <w:lang w:eastAsia="ja-JP"/>
        </w:rPr>
        <w:t xml:space="preserve"> loss model</w:t>
      </w:r>
      <w:r w:rsidR="00104688">
        <w:rPr>
          <w:b/>
          <w:sz w:val="22"/>
          <w:szCs w:val="22"/>
          <w:lang w:eastAsia="ja-JP"/>
        </w:rPr>
        <w:t xml:space="preserve"> should be used </w:t>
      </w:r>
      <w:r w:rsidR="00104688" w:rsidRPr="00AA458D">
        <w:rPr>
          <w:b/>
          <w:sz w:val="22"/>
          <w:szCs w:val="22"/>
          <w:lang w:eastAsia="ja-JP"/>
        </w:rPr>
        <w:t xml:space="preserve">with </w:t>
      </w:r>
      <w:r w:rsidR="00BD4251">
        <w:rPr>
          <w:b/>
          <w:sz w:val="22"/>
          <w:szCs w:val="22"/>
          <w:lang w:eastAsia="ja-JP"/>
        </w:rPr>
        <w:t>8</w:t>
      </w:r>
      <w:r>
        <w:rPr>
          <w:b/>
          <w:sz w:val="22"/>
          <w:szCs w:val="22"/>
          <w:lang w:eastAsia="ja-JP"/>
        </w:rPr>
        <w:t>0</w:t>
      </w:r>
      <w:r w:rsidR="00104688" w:rsidRPr="00AA458D">
        <w:rPr>
          <w:b/>
          <w:sz w:val="22"/>
          <w:szCs w:val="22"/>
          <w:lang w:eastAsia="ja-JP"/>
        </w:rPr>
        <w:t>%</w:t>
      </w:r>
      <w:r w:rsidR="00104688">
        <w:rPr>
          <w:b/>
          <w:sz w:val="22"/>
          <w:szCs w:val="22"/>
          <w:lang w:eastAsia="ja-JP"/>
        </w:rPr>
        <w:t xml:space="preserve"> probability</w:t>
      </w:r>
      <w:r w:rsidR="007D7BD9">
        <w:rPr>
          <w:b/>
          <w:sz w:val="22"/>
          <w:szCs w:val="22"/>
          <w:lang w:eastAsia="ja-JP"/>
        </w:rPr>
        <w:t xml:space="preserve">, </w:t>
      </w:r>
      <w:r w:rsidR="00104688">
        <w:rPr>
          <w:b/>
          <w:sz w:val="22"/>
          <w:szCs w:val="22"/>
          <w:lang w:eastAsia="ja-JP"/>
        </w:rPr>
        <w:t xml:space="preserve">the </w:t>
      </w:r>
      <w:r w:rsidR="00BD4251">
        <w:rPr>
          <w:b/>
          <w:sz w:val="22"/>
          <w:szCs w:val="22"/>
          <w:lang w:eastAsia="ja-JP"/>
        </w:rPr>
        <w:t>high</w:t>
      </w:r>
      <w:r w:rsidR="00104688">
        <w:rPr>
          <w:b/>
          <w:sz w:val="22"/>
          <w:szCs w:val="22"/>
          <w:lang w:eastAsia="ja-JP"/>
        </w:rPr>
        <w:t xml:space="preserve"> </w:t>
      </w:r>
      <w:r w:rsidR="00BD4251">
        <w:rPr>
          <w:b/>
          <w:sz w:val="22"/>
          <w:szCs w:val="22"/>
          <w:lang w:eastAsia="ja-JP"/>
        </w:rPr>
        <w:t xml:space="preserve">loss model should be used with </w:t>
      </w:r>
      <w:r w:rsidR="007D7BD9">
        <w:rPr>
          <w:b/>
          <w:sz w:val="22"/>
          <w:szCs w:val="22"/>
          <w:lang w:eastAsia="ja-JP"/>
        </w:rPr>
        <w:t>1</w:t>
      </w:r>
      <w:r>
        <w:rPr>
          <w:b/>
          <w:sz w:val="22"/>
          <w:szCs w:val="22"/>
          <w:lang w:eastAsia="ja-JP"/>
        </w:rPr>
        <w:t>0</w:t>
      </w:r>
      <w:r w:rsidR="00104688">
        <w:rPr>
          <w:b/>
          <w:sz w:val="22"/>
          <w:szCs w:val="22"/>
          <w:lang w:eastAsia="ja-JP"/>
        </w:rPr>
        <w:t>% probability</w:t>
      </w:r>
      <w:r w:rsidR="007D7BD9">
        <w:rPr>
          <w:b/>
          <w:sz w:val="22"/>
          <w:szCs w:val="22"/>
          <w:lang w:eastAsia="ja-JP"/>
        </w:rPr>
        <w:t>, and a medial loss model (the average of the high-loss and the low-loss model) should be used for 10% of the probability.</w:t>
      </w:r>
    </w:p>
    <w:p w:rsidR="007B0A05" w:rsidRDefault="007B0A05" w:rsidP="00BE1D64">
      <w:pPr>
        <w:rPr>
          <w:sz w:val="22"/>
          <w:szCs w:val="22"/>
          <w:lang w:eastAsia="ja-JP"/>
        </w:rPr>
      </w:pPr>
      <w:r>
        <w:rPr>
          <w:sz w:val="22"/>
          <w:szCs w:val="22"/>
          <w:lang w:eastAsia="ja-JP"/>
        </w:rPr>
        <w:t xml:space="preserve">We believe </w:t>
      </w:r>
      <w:r w:rsidR="00321071">
        <w:rPr>
          <w:sz w:val="22"/>
          <w:szCs w:val="22"/>
          <w:lang w:eastAsia="ja-JP"/>
        </w:rPr>
        <w:t>this</w:t>
      </w:r>
      <w:r>
        <w:rPr>
          <w:sz w:val="22"/>
          <w:szCs w:val="22"/>
          <w:lang w:eastAsia="ja-JP"/>
        </w:rPr>
        <w:t xml:space="preserve"> proposal </w:t>
      </w:r>
      <w:r w:rsidR="00321071">
        <w:rPr>
          <w:sz w:val="22"/>
          <w:szCs w:val="22"/>
          <w:lang w:eastAsia="ja-JP"/>
        </w:rPr>
        <w:t>is</w:t>
      </w:r>
      <w:r>
        <w:rPr>
          <w:sz w:val="22"/>
          <w:szCs w:val="22"/>
          <w:lang w:eastAsia="ja-JP"/>
        </w:rPr>
        <w:t xml:space="preserve"> already</w:t>
      </w:r>
      <w:r w:rsidR="008177B4">
        <w:rPr>
          <w:sz w:val="22"/>
          <w:szCs w:val="22"/>
          <w:lang w:eastAsia="ja-JP"/>
        </w:rPr>
        <w:t xml:space="preserve"> </w:t>
      </w:r>
      <w:r>
        <w:rPr>
          <w:sz w:val="22"/>
          <w:szCs w:val="22"/>
          <w:lang w:eastAsia="ja-JP"/>
        </w:rPr>
        <w:t>pessimistic for the following reasons:</w:t>
      </w:r>
    </w:p>
    <w:p w:rsidR="00FE5BAC" w:rsidRPr="00C80E6D" w:rsidRDefault="005E7357" w:rsidP="00F86414">
      <w:pPr>
        <w:pStyle w:val="ListParagraph"/>
        <w:numPr>
          <w:ilvl w:val="0"/>
          <w:numId w:val="23"/>
        </w:numPr>
        <w:rPr>
          <w:b/>
          <w:sz w:val="22"/>
          <w:szCs w:val="22"/>
          <w:lang w:eastAsia="ja-JP"/>
        </w:rPr>
      </w:pPr>
      <w:r w:rsidRPr="007B0A05">
        <w:rPr>
          <w:sz w:val="22"/>
          <w:szCs w:val="22"/>
          <w:lang w:eastAsia="ja-JP"/>
        </w:rPr>
        <w:t>Signal strength received inside a building increases with height</w:t>
      </w:r>
      <w:r w:rsidR="000462E5">
        <w:rPr>
          <w:sz w:val="22"/>
          <w:szCs w:val="22"/>
          <w:lang w:eastAsia="ja-JP"/>
        </w:rPr>
        <w:t xml:space="preserve"> </w:t>
      </w:r>
      <w:r w:rsidR="000462E5">
        <w:rPr>
          <w:sz w:val="22"/>
          <w:szCs w:val="22"/>
          <w:lang w:eastAsia="ja-JP"/>
        </w:rPr>
        <w:fldChar w:fldCharType="begin"/>
      </w:r>
      <w:r w:rsidR="000462E5">
        <w:rPr>
          <w:sz w:val="22"/>
          <w:szCs w:val="22"/>
          <w:lang w:eastAsia="ja-JP"/>
        </w:rPr>
        <w:instrText xml:space="preserve"> REF _Ref447292329 \r \h </w:instrText>
      </w:r>
      <w:r w:rsidR="000462E5">
        <w:rPr>
          <w:sz w:val="22"/>
          <w:szCs w:val="22"/>
          <w:lang w:eastAsia="ja-JP"/>
        </w:rPr>
      </w:r>
      <w:r w:rsidR="000462E5">
        <w:rPr>
          <w:sz w:val="22"/>
          <w:szCs w:val="22"/>
          <w:lang w:eastAsia="ja-JP"/>
        </w:rPr>
        <w:fldChar w:fldCharType="separate"/>
      </w:r>
      <w:r w:rsidR="000462E5">
        <w:rPr>
          <w:sz w:val="22"/>
          <w:szCs w:val="22"/>
          <w:lang w:eastAsia="ja-JP"/>
        </w:rPr>
        <w:t>[17]</w:t>
      </w:r>
      <w:r w:rsidR="000462E5">
        <w:rPr>
          <w:sz w:val="22"/>
          <w:szCs w:val="22"/>
          <w:lang w:eastAsia="ja-JP"/>
        </w:rPr>
        <w:fldChar w:fldCharType="end"/>
      </w:r>
      <w:r w:rsidRPr="007B0A05">
        <w:rPr>
          <w:sz w:val="22"/>
          <w:szCs w:val="22"/>
          <w:lang w:eastAsia="ja-JP"/>
        </w:rPr>
        <w:t>. At the lower floors of a building, the urban clutter induces greater attenuation and reduces the level of penetration. At the higher floors, a LOS path may exist, thus causing a stronger incident signal at the exterior wall of the building.</w:t>
      </w:r>
      <w:r w:rsidR="003F0C1F">
        <w:rPr>
          <w:sz w:val="22"/>
          <w:szCs w:val="22"/>
          <w:lang w:eastAsia="ja-JP"/>
        </w:rPr>
        <w:t xml:space="preserve"> This effect </w:t>
      </w:r>
      <w:r w:rsidR="00EA57E8">
        <w:rPr>
          <w:sz w:val="22"/>
          <w:szCs w:val="22"/>
          <w:lang w:eastAsia="ja-JP"/>
        </w:rPr>
        <w:t>is</w:t>
      </w:r>
      <w:r w:rsidR="003F0C1F">
        <w:rPr>
          <w:sz w:val="22"/>
          <w:szCs w:val="22"/>
          <w:lang w:eastAsia="ja-JP"/>
        </w:rPr>
        <w:t xml:space="preserve"> particularly pronounced for commercial buildings in the urban areas as these buildings typically have many floors. </w:t>
      </w:r>
    </w:p>
    <w:p w:rsidR="00C80E6D" w:rsidRPr="00F86414" w:rsidRDefault="00C80E6D" w:rsidP="00F86414">
      <w:pPr>
        <w:pStyle w:val="ListParagraph"/>
        <w:numPr>
          <w:ilvl w:val="0"/>
          <w:numId w:val="23"/>
        </w:numPr>
        <w:rPr>
          <w:b/>
          <w:sz w:val="22"/>
          <w:szCs w:val="22"/>
          <w:lang w:eastAsia="ja-JP"/>
        </w:rPr>
      </w:pPr>
      <w:r>
        <w:rPr>
          <w:sz w:val="22"/>
          <w:szCs w:val="22"/>
          <w:lang w:eastAsia="ja-JP"/>
        </w:rPr>
        <w:t>Technology solutions exist that can significant reduce the penetration loss for radio waves through energy efficient windows</w:t>
      </w:r>
      <w:r w:rsidR="007E3E33">
        <w:rPr>
          <w:sz w:val="22"/>
          <w:szCs w:val="22"/>
          <w:lang w:eastAsia="ja-JP"/>
        </w:rPr>
        <w:t xml:space="preserve"> </w:t>
      </w:r>
      <w:r w:rsidR="007E3E33">
        <w:rPr>
          <w:sz w:val="22"/>
          <w:szCs w:val="22"/>
          <w:lang w:eastAsia="ja-JP"/>
        </w:rPr>
        <w:fldChar w:fldCharType="begin"/>
      </w:r>
      <w:r w:rsidR="007E3E33">
        <w:rPr>
          <w:sz w:val="22"/>
          <w:szCs w:val="22"/>
          <w:lang w:eastAsia="ja-JP"/>
        </w:rPr>
        <w:instrText xml:space="preserve"> REF _Ref447292984 \r \h </w:instrText>
      </w:r>
      <w:r w:rsidR="007E3E33">
        <w:rPr>
          <w:sz w:val="22"/>
          <w:szCs w:val="22"/>
          <w:lang w:eastAsia="ja-JP"/>
        </w:rPr>
      </w:r>
      <w:r w:rsidR="007E3E33">
        <w:rPr>
          <w:sz w:val="22"/>
          <w:szCs w:val="22"/>
          <w:lang w:eastAsia="ja-JP"/>
        </w:rPr>
        <w:fldChar w:fldCharType="separate"/>
      </w:r>
      <w:r w:rsidR="007E3E33">
        <w:rPr>
          <w:sz w:val="22"/>
          <w:szCs w:val="22"/>
          <w:lang w:eastAsia="ja-JP"/>
        </w:rPr>
        <w:t>[18]</w:t>
      </w:r>
      <w:r w:rsidR="007E3E33">
        <w:rPr>
          <w:sz w:val="22"/>
          <w:szCs w:val="22"/>
          <w:lang w:eastAsia="ja-JP"/>
        </w:rPr>
        <w:fldChar w:fldCharType="end"/>
      </w:r>
      <w:r>
        <w:rPr>
          <w:sz w:val="22"/>
          <w:szCs w:val="22"/>
          <w:lang w:eastAsia="ja-JP"/>
        </w:rPr>
        <w:t>.</w:t>
      </w:r>
    </w:p>
    <w:p w:rsidR="00564B04" w:rsidRDefault="00121018" w:rsidP="00721655">
      <w:pPr>
        <w:rPr>
          <w:sz w:val="22"/>
          <w:szCs w:val="22"/>
          <w:lang w:eastAsia="ja-JP"/>
        </w:rPr>
      </w:pPr>
      <w:r>
        <w:rPr>
          <w:sz w:val="22"/>
          <w:szCs w:val="22"/>
          <w:lang w:eastAsia="ja-JP"/>
        </w:rPr>
        <w:t xml:space="preserve">Note </w:t>
      </w:r>
      <w:r w:rsidR="00DA2C87">
        <w:rPr>
          <w:sz w:val="22"/>
          <w:szCs w:val="22"/>
          <w:lang w:eastAsia="ja-JP"/>
        </w:rPr>
        <w:t>this</w:t>
      </w:r>
      <w:r>
        <w:rPr>
          <w:sz w:val="22"/>
          <w:szCs w:val="22"/>
          <w:lang w:eastAsia="ja-JP"/>
        </w:rPr>
        <w:t xml:space="preserve"> proposal only </w:t>
      </w:r>
      <w:r w:rsidR="00DA2C87">
        <w:rPr>
          <w:sz w:val="22"/>
          <w:szCs w:val="22"/>
          <w:lang w:eastAsia="ja-JP"/>
        </w:rPr>
        <w:t>addresses</w:t>
      </w:r>
      <w:r>
        <w:rPr>
          <w:sz w:val="22"/>
          <w:szCs w:val="22"/>
          <w:lang w:eastAsia="ja-JP"/>
        </w:rPr>
        <w:t xml:space="preserve"> the mean penetration loss for a given UE</w:t>
      </w:r>
      <w:r w:rsidR="00DA2C87">
        <w:rPr>
          <w:sz w:val="22"/>
          <w:szCs w:val="22"/>
          <w:lang w:eastAsia="ja-JP"/>
        </w:rPr>
        <w:t xml:space="preserve">, </w:t>
      </w:r>
      <w:r w:rsidR="00DA2C87" w:rsidRPr="00DA2C87">
        <w:rPr>
          <w:i/>
          <w:sz w:val="22"/>
          <w:szCs w:val="22"/>
          <w:lang w:eastAsia="ja-JP"/>
        </w:rPr>
        <w:t>i.e.</w:t>
      </w:r>
      <w:r w:rsidR="00DA2C87">
        <w:rPr>
          <w:sz w:val="22"/>
          <w:szCs w:val="22"/>
          <w:lang w:eastAsia="ja-JP"/>
        </w:rPr>
        <w:t xml:space="preserve">, </w:t>
      </w:r>
      <w:r w:rsidR="00DA2C87" w:rsidRPr="004A7209">
        <w:rPr>
          <w:b/>
          <w:i/>
          <w:sz w:val="22"/>
          <w:szCs w:val="22"/>
          <w:lang w:eastAsia="ja-JP"/>
        </w:rPr>
        <w:t>PL</w:t>
      </w:r>
      <w:r w:rsidR="00DA2C87" w:rsidRPr="004A7209">
        <w:rPr>
          <w:b/>
          <w:i/>
          <w:sz w:val="22"/>
          <w:szCs w:val="22"/>
          <w:vertAlign w:val="subscript"/>
          <w:lang w:eastAsia="ja-JP"/>
        </w:rPr>
        <w:t>tw</w:t>
      </w:r>
      <w:r>
        <w:rPr>
          <w:sz w:val="22"/>
          <w:szCs w:val="22"/>
          <w:lang w:eastAsia="ja-JP"/>
        </w:rPr>
        <w:t>. The log-normal shadowing should be additionally applied to account for other factors such as percentage of exterior</w:t>
      </w:r>
      <w:r w:rsidR="00B527A7">
        <w:rPr>
          <w:sz w:val="22"/>
          <w:szCs w:val="22"/>
          <w:lang w:eastAsia="ja-JP"/>
        </w:rPr>
        <w:t xml:space="preserve"> wall</w:t>
      </w:r>
      <w:r>
        <w:rPr>
          <w:sz w:val="22"/>
          <w:szCs w:val="22"/>
          <w:lang w:eastAsia="ja-JP"/>
        </w:rPr>
        <w:t xml:space="preserve"> as windows, variations of impinging angles, etc.</w:t>
      </w:r>
      <w:r w:rsidR="00EF3A47">
        <w:rPr>
          <w:sz w:val="22"/>
          <w:szCs w:val="22"/>
          <w:lang w:eastAsia="ja-JP"/>
        </w:rPr>
        <w:t xml:space="preserve"> </w:t>
      </w:r>
    </w:p>
    <w:p w:rsidR="00063634" w:rsidRDefault="00063634" w:rsidP="00063634">
      <w:pPr>
        <w:jc w:val="both"/>
        <w:rPr>
          <w:sz w:val="22"/>
          <w:szCs w:val="22"/>
          <w:lang w:eastAsia="ja-JP"/>
        </w:rPr>
      </w:pPr>
      <w:r>
        <w:rPr>
          <w:sz w:val="22"/>
          <w:szCs w:val="22"/>
          <w:lang w:eastAsia="ja-JP"/>
        </w:rPr>
        <w:t xml:space="preserve">We can also make the mix of high-loss and low-loss building penetration models deployment dependant. </w:t>
      </w:r>
      <w:r w:rsidR="00014664">
        <w:rPr>
          <w:sz w:val="22"/>
          <w:szCs w:val="22"/>
          <w:lang w:eastAsia="ja-JP"/>
        </w:rPr>
        <w:t>Even within urban areas, there is great variation of population density and distribution of buildings</w:t>
      </w:r>
      <w:r w:rsidR="000C62E7">
        <w:rPr>
          <w:sz w:val="22"/>
          <w:szCs w:val="22"/>
          <w:lang w:eastAsia="ja-JP"/>
        </w:rPr>
        <w:t xml:space="preserve"> </w:t>
      </w:r>
      <w:r w:rsidR="000C62E7">
        <w:rPr>
          <w:sz w:val="22"/>
          <w:szCs w:val="22"/>
          <w:lang w:eastAsia="ja-JP"/>
        </w:rPr>
        <w:fldChar w:fldCharType="begin"/>
      </w:r>
      <w:r w:rsidR="000C62E7">
        <w:rPr>
          <w:sz w:val="22"/>
          <w:szCs w:val="22"/>
          <w:lang w:eastAsia="ja-JP"/>
        </w:rPr>
        <w:instrText xml:space="preserve"> REF _Ref447893292 \r \h </w:instrText>
      </w:r>
      <w:r w:rsidR="000C62E7">
        <w:rPr>
          <w:sz w:val="22"/>
          <w:szCs w:val="22"/>
          <w:lang w:eastAsia="ja-JP"/>
        </w:rPr>
      </w:r>
      <w:r w:rsidR="000C62E7">
        <w:rPr>
          <w:sz w:val="22"/>
          <w:szCs w:val="22"/>
          <w:lang w:eastAsia="ja-JP"/>
        </w:rPr>
        <w:fldChar w:fldCharType="separate"/>
      </w:r>
      <w:r w:rsidR="000C62E7">
        <w:rPr>
          <w:sz w:val="22"/>
          <w:szCs w:val="22"/>
          <w:lang w:eastAsia="ja-JP"/>
        </w:rPr>
        <w:t>[19]</w:t>
      </w:r>
      <w:r w:rsidR="000C62E7">
        <w:rPr>
          <w:sz w:val="22"/>
          <w:szCs w:val="22"/>
          <w:lang w:eastAsia="ja-JP"/>
        </w:rPr>
        <w:fldChar w:fldCharType="end"/>
      </w:r>
      <w:r w:rsidR="00014664">
        <w:rPr>
          <w:sz w:val="22"/>
          <w:szCs w:val="22"/>
          <w:lang w:eastAsia="ja-JP"/>
        </w:rPr>
        <w:t>. For example, large and tall commercial buildings tend to concentrate in dense urban areas such as downtown and central business districts. These urban areas fit with</w:t>
      </w:r>
      <w:r>
        <w:rPr>
          <w:sz w:val="22"/>
          <w:szCs w:val="22"/>
          <w:lang w:eastAsia="ja-JP"/>
        </w:rPr>
        <w:t>in</w:t>
      </w:r>
      <w:r w:rsidR="00014664">
        <w:rPr>
          <w:sz w:val="22"/>
          <w:szCs w:val="22"/>
          <w:lang w:eastAsia="ja-JP"/>
        </w:rPr>
        <w:t xml:space="preserve"> the Urban Micro scenario as defined in 3GPP, where cells with ISD = 200 meters are more likely to be deployed.  </w:t>
      </w:r>
      <w:r>
        <w:rPr>
          <w:sz w:val="22"/>
          <w:szCs w:val="22"/>
          <w:lang w:eastAsia="ja-JP"/>
        </w:rPr>
        <w:t xml:space="preserve">As we move further away from the urban </w:t>
      </w:r>
      <w:r w:rsidR="004A5183">
        <w:rPr>
          <w:sz w:val="22"/>
          <w:szCs w:val="22"/>
          <w:lang w:eastAsia="ja-JP"/>
        </w:rPr>
        <w:t>centre</w:t>
      </w:r>
      <w:r>
        <w:rPr>
          <w:sz w:val="22"/>
          <w:szCs w:val="22"/>
          <w:lang w:eastAsia="ja-JP"/>
        </w:rPr>
        <w:t xml:space="preserve">, there are less </w:t>
      </w:r>
      <w:r w:rsidR="00043CA6">
        <w:rPr>
          <w:sz w:val="22"/>
          <w:szCs w:val="22"/>
          <w:lang w:eastAsia="ja-JP"/>
        </w:rPr>
        <w:t>(</w:t>
      </w:r>
      <w:r>
        <w:rPr>
          <w:sz w:val="22"/>
          <w:szCs w:val="22"/>
          <w:lang w:eastAsia="ja-JP"/>
        </w:rPr>
        <w:t>and smaller</w:t>
      </w:r>
      <w:r w:rsidR="00043CA6">
        <w:rPr>
          <w:sz w:val="22"/>
          <w:szCs w:val="22"/>
          <w:lang w:eastAsia="ja-JP"/>
        </w:rPr>
        <w:t>)</w:t>
      </w:r>
      <w:r>
        <w:rPr>
          <w:sz w:val="22"/>
          <w:szCs w:val="22"/>
          <w:lang w:eastAsia="ja-JP"/>
        </w:rPr>
        <w:t xml:space="preserve"> commercial buildings and more residential buildings. To account for this effect, an alternative proposal to model the building mix can be as follows:</w:t>
      </w:r>
    </w:p>
    <w:p w:rsidR="00063634" w:rsidRDefault="00063634" w:rsidP="00063634">
      <w:pPr>
        <w:rPr>
          <w:sz w:val="22"/>
          <w:szCs w:val="22"/>
          <w:lang w:eastAsia="ja-JP"/>
        </w:rPr>
      </w:pPr>
      <w:r>
        <w:rPr>
          <w:b/>
          <w:sz w:val="22"/>
          <w:szCs w:val="22"/>
          <w:lang w:eastAsia="ja-JP"/>
        </w:rPr>
        <w:t>Proposal 2</w:t>
      </w:r>
      <w:r w:rsidRPr="00AA458D">
        <w:rPr>
          <w:b/>
          <w:sz w:val="22"/>
          <w:szCs w:val="22"/>
          <w:lang w:eastAsia="ja-JP"/>
        </w:rPr>
        <w:t xml:space="preserve">: </w:t>
      </w:r>
      <w:r>
        <w:rPr>
          <w:b/>
          <w:sz w:val="22"/>
          <w:szCs w:val="22"/>
          <w:lang w:eastAsia="ja-JP"/>
        </w:rPr>
        <w:t>T</w:t>
      </w:r>
      <w:r w:rsidRPr="00AA458D">
        <w:rPr>
          <w:b/>
          <w:sz w:val="22"/>
          <w:szCs w:val="22"/>
          <w:lang w:eastAsia="ja-JP"/>
        </w:rPr>
        <w:t xml:space="preserve">he </w:t>
      </w:r>
      <w:r>
        <w:rPr>
          <w:b/>
          <w:sz w:val="22"/>
          <w:szCs w:val="22"/>
          <w:lang w:eastAsia="ja-JP"/>
        </w:rPr>
        <w:t>low</w:t>
      </w:r>
      <w:r w:rsidRPr="00AA458D">
        <w:rPr>
          <w:b/>
          <w:sz w:val="22"/>
          <w:szCs w:val="22"/>
          <w:lang w:eastAsia="ja-JP"/>
        </w:rPr>
        <w:t xml:space="preserve"> loss model</w:t>
      </w:r>
      <w:r>
        <w:rPr>
          <w:b/>
          <w:sz w:val="22"/>
          <w:szCs w:val="22"/>
          <w:lang w:eastAsia="ja-JP"/>
        </w:rPr>
        <w:t xml:space="preserve"> should be used </w:t>
      </w:r>
      <w:r w:rsidRPr="00AA458D">
        <w:rPr>
          <w:b/>
          <w:sz w:val="22"/>
          <w:szCs w:val="22"/>
          <w:lang w:eastAsia="ja-JP"/>
        </w:rPr>
        <w:t xml:space="preserve">with </w:t>
      </w:r>
      <w:r>
        <w:rPr>
          <w:b/>
          <w:sz w:val="22"/>
          <w:szCs w:val="22"/>
          <w:lang w:eastAsia="ja-JP"/>
        </w:rPr>
        <w:t>80</w:t>
      </w:r>
      <w:r w:rsidRPr="00AA458D">
        <w:rPr>
          <w:b/>
          <w:sz w:val="22"/>
          <w:szCs w:val="22"/>
          <w:lang w:eastAsia="ja-JP"/>
        </w:rPr>
        <w:t>%</w:t>
      </w:r>
      <w:r>
        <w:rPr>
          <w:b/>
          <w:sz w:val="22"/>
          <w:szCs w:val="22"/>
          <w:lang w:eastAsia="ja-JP"/>
        </w:rPr>
        <w:t xml:space="preserve"> probability and the high loss model should be used with 20% probability for Urban Micro; the low</w:t>
      </w:r>
      <w:r w:rsidRPr="00AA458D">
        <w:rPr>
          <w:b/>
          <w:sz w:val="22"/>
          <w:szCs w:val="22"/>
          <w:lang w:eastAsia="ja-JP"/>
        </w:rPr>
        <w:t xml:space="preserve"> loss model</w:t>
      </w:r>
      <w:r>
        <w:rPr>
          <w:b/>
          <w:sz w:val="22"/>
          <w:szCs w:val="22"/>
          <w:lang w:eastAsia="ja-JP"/>
        </w:rPr>
        <w:t xml:space="preserve"> should be used </w:t>
      </w:r>
      <w:r w:rsidRPr="00AA458D">
        <w:rPr>
          <w:b/>
          <w:sz w:val="22"/>
          <w:szCs w:val="22"/>
          <w:lang w:eastAsia="ja-JP"/>
        </w:rPr>
        <w:t xml:space="preserve">with </w:t>
      </w:r>
      <w:r>
        <w:rPr>
          <w:b/>
          <w:sz w:val="22"/>
          <w:szCs w:val="22"/>
          <w:lang w:eastAsia="ja-JP"/>
        </w:rPr>
        <w:t>90</w:t>
      </w:r>
      <w:r w:rsidRPr="00AA458D">
        <w:rPr>
          <w:b/>
          <w:sz w:val="22"/>
          <w:szCs w:val="22"/>
          <w:lang w:eastAsia="ja-JP"/>
        </w:rPr>
        <w:t>%</w:t>
      </w:r>
      <w:r>
        <w:rPr>
          <w:b/>
          <w:sz w:val="22"/>
          <w:szCs w:val="22"/>
          <w:lang w:eastAsia="ja-JP"/>
        </w:rPr>
        <w:t xml:space="preserve"> probability and the high loss model should be used with 10% probability for Urban Macro.</w:t>
      </w:r>
    </w:p>
    <w:p w:rsidR="00014664" w:rsidRDefault="00014664" w:rsidP="00063634">
      <w:pPr>
        <w:jc w:val="both"/>
        <w:rPr>
          <w:sz w:val="22"/>
          <w:szCs w:val="22"/>
          <w:lang w:eastAsia="ja-JP"/>
        </w:rPr>
      </w:pPr>
      <w:r>
        <w:rPr>
          <w:sz w:val="22"/>
          <w:szCs w:val="22"/>
          <w:lang w:eastAsia="ja-JP"/>
        </w:rPr>
        <w:t xml:space="preserve"> </w:t>
      </w:r>
    </w:p>
    <w:p w:rsidR="00705787" w:rsidRDefault="00705787" w:rsidP="00705787">
      <w:pPr>
        <w:jc w:val="center"/>
        <w:rPr>
          <w:sz w:val="22"/>
          <w:szCs w:val="22"/>
          <w:lang w:eastAsia="ja-JP"/>
        </w:rPr>
      </w:pPr>
    </w:p>
    <w:p w:rsidR="00D37943" w:rsidRDefault="00D37943" w:rsidP="00D37943">
      <w:pPr>
        <w:keepNext/>
        <w:jc w:val="center"/>
      </w:pPr>
      <w:r w:rsidRPr="00D37943">
        <w:rPr>
          <w:noProof/>
          <w:lang w:val="en-US" w:eastAsia="zh-CN"/>
        </w:rPr>
        <w:lastRenderedPageBreak/>
        <w:drawing>
          <wp:inline distT="0" distB="0" distL="0" distR="0" wp14:anchorId="31CAD62C" wp14:editId="4D8734D8">
            <wp:extent cx="4653915" cy="5896610"/>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53915" cy="5896610"/>
                    </a:xfrm>
                    <a:prstGeom prst="rect">
                      <a:avLst/>
                    </a:prstGeom>
                    <a:noFill/>
                    <a:ln>
                      <a:noFill/>
                    </a:ln>
                  </pic:spPr>
                </pic:pic>
              </a:graphicData>
            </a:graphic>
          </wp:inline>
        </w:drawing>
      </w:r>
    </w:p>
    <w:p w:rsidR="00D37943" w:rsidRDefault="00D37943" w:rsidP="00D37943">
      <w:pPr>
        <w:pStyle w:val="Caption"/>
      </w:pPr>
      <w:r>
        <w:t xml:space="preserve">Figure </w:t>
      </w:r>
      <w:r w:rsidR="009B278C">
        <w:fldChar w:fldCharType="begin"/>
      </w:r>
      <w:r w:rsidR="009B278C">
        <w:instrText xml:space="preserve"> SEQ Figure \* ARABIC </w:instrText>
      </w:r>
      <w:r w:rsidR="009B278C">
        <w:fldChar w:fldCharType="separate"/>
      </w:r>
      <w:r>
        <w:rPr>
          <w:noProof/>
        </w:rPr>
        <w:t>7</w:t>
      </w:r>
      <w:r w:rsidR="009B278C">
        <w:rPr>
          <w:noProof/>
        </w:rPr>
        <w:fldChar w:fldCharType="end"/>
      </w:r>
      <w:r>
        <w:t xml:space="preserve">. Urban population density exhibits a “negative exponential” pattern with distance to </w:t>
      </w:r>
      <w:r w:rsidR="000C62E7">
        <w:t xml:space="preserve">central business district (CBD) </w:t>
      </w:r>
      <w:r w:rsidR="000C62E7">
        <w:fldChar w:fldCharType="begin"/>
      </w:r>
      <w:r w:rsidR="000C62E7">
        <w:instrText xml:space="preserve"> REF _Ref447893292 \r \h </w:instrText>
      </w:r>
      <w:r w:rsidR="000C62E7">
        <w:fldChar w:fldCharType="separate"/>
      </w:r>
      <w:r w:rsidR="000C62E7">
        <w:t>[19]</w:t>
      </w:r>
      <w:r w:rsidR="000C62E7">
        <w:fldChar w:fldCharType="end"/>
      </w:r>
    </w:p>
    <w:p w:rsidR="00D37943" w:rsidRDefault="00D37943" w:rsidP="00D37943">
      <w:pPr>
        <w:pStyle w:val="Caption"/>
        <w:rPr>
          <w:rFonts w:eastAsia="Batang"/>
          <w:lang w:eastAsia="zh-CN"/>
        </w:rPr>
      </w:pPr>
    </w:p>
    <w:p w:rsidR="0005503D" w:rsidRPr="00AE4AF8" w:rsidRDefault="002B0C22" w:rsidP="00530477">
      <w:pPr>
        <w:autoSpaceDE/>
        <w:autoSpaceDN/>
        <w:adjustRightInd/>
        <w:outlineLvl w:val="0"/>
        <w:rPr>
          <w:rFonts w:ascii="Arial" w:eastAsia="Batang" w:hAnsi="Arial"/>
          <w:sz w:val="32"/>
          <w:szCs w:val="32"/>
          <w:lang w:val="en-US" w:eastAsia="zh-CN"/>
        </w:rPr>
      </w:pPr>
      <w:r>
        <w:rPr>
          <w:rFonts w:ascii="Arial" w:eastAsia="Batang" w:hAnsi="Arial"/>
          <w:sz w:val="32"/>
          <w:szCs w:val="32"/>
          <w:lang w:val="en-US" w:eastAsia="zh-CN"/>
        </w:rPr>
        <w:t>4. Conclusion</w:t>
      </w:r>
    </w:p>
    <w:p w:rsidR="00074786" w:rsidRPr="00E16EBE" w:rsidRDefault="00074786" w:rsidP="00E16EBE">
      <w:pPr>
        <w:rPr>
          <w:sz w:val="22"/>
          <w:szCs w:val="22"/>
          <w:lang w:eastAsia="ja-JP"/>
        </w:rPr>
      </w:pPr>
      <w:r w:rsidRPr="00E16EBE">
        <w:rPr>
          <w:sz w:val="22"/>
          <w:szCs w:val="22"/>
          <w:lang w:eastAsia="ja-JP"/>
        </w:rPr>
        <w:t>Based on discussions</w:t>
      </w:r>
      <w:r w:rsidR="00D64456" w:rsidRPr="00E16EBE">
        <w:rPr>
          <w:sz w:val="22"/>
          <w:szCs w:val="22"/>
          <w:lang w:eastAsia="ja-JP"/>
        </w:rPr>
        <w:t xml:space="preserve"> in this document, we propose </w:t>
      </w:r>
      <w:r w:rsidR="00E207DE">
        <w:rPr>
          <w:sz w:val="22"/>
          <w:szCs w:val="22"/>
          <w:lang w:eastAsia="ja-JP"/>
        </w:rPr>
        <w:t>two options to model the mix of high-loss and low-loss building penetration models</w:t>
      </w:r>
      <w:r w:rsidR="00D64456" w:rsidRPr="00E16EBE">
        <w:rPr>
          <w:sz w:val="22"/>
          <w:szCs w:val="22"/>
          <w:lang w:eastAsia="ja-JP"/>
        </w:rPr>
        <w:t>:</w:t>
      </w:r>
    </w:p>
    <w:p w:rsidR="00280EA0" w:rsidRPr="00280EA0" w:rsidRDefault="00E207DE" w:rsidP="0005503D">
      <w:pPr>
        <w:autoSpaceDE/>
        <w:autoSpaceDN/>
        <w:adjustRightInd/>
        <w:rPr>
          <w:rFonts w:ascii="Arial" w:eastAsiaTheme="minorEastAsia" w:hAnsi="Arial"/>
          <w:b/>
          <w:lang w:val="en-US" w:eastAsia="ja-JP"/>
        </w:rPr>
      </w:pPr>
      <w:r>
        <w:rPr>
          <w:b/>
          <w:sz w:val="22"/>
          <w:szCs w:val="22"/>
          <w:lang w:eastAsia="ja-JP"/>
        </w:rPr>
        <w:t>Proposal 1</w:t>
      </w:r>
      <w:r w:rsidRPr="00AA458D">
        <w:rPr>
          <w:b/>
          <w:sz w:val="22"/>
          <w:szCs w:val="22"/>
          <w:lang w:eastAsia="ja-JP"/>
        </w:rPr>
        <w:t xml:space="preserve">: </w:t>
      </w:r>
      <w:r>
        <w:rPr>
          <w:b/>
          <w:sz w:val="22"/>
          <w:szCs w:val="22"/>
          <w:lang w:eastAsia="ja-JP"/>
        </w:rPr>
        <w:t>T</w:t>
      </w:r>
      <w:r w:rsidRPr="00AA458D">
        <w:rPr>
          <w:b/>
          <w:sz w:val="22"/>
          <w:szCs w:val="22"/>
          <w:lang w:eastAsia="ja-JP"/>
        </w:rPr>
        <w:t xml:space="preserve">he </w:t>
      </w:r>
      <w:r>
        <w:rPr>
          <w:b/>
          <w:sz w:val="22"/>
          <w:szCs w:val="22"/>
          <w:lang w:eastAsia="ja-JP"/>
        </w:rPr>
        <w:t>low</w:t>
      </w:r>
      <w:r w:rsidRPr="00AA458D">
        <w:rPr>
          <w:b/>
          <w:sz w:val="22"/>
          <w:szCs w:val="22"/>
          <w:lang w:eastAsia="ja-JP"/>
        </w:rPr>
        <w:t xml:space="preserve"> loss model</w:t>
      </w:r>
      <w:r>
        <w:rPr>
          <w:b/>
          <w:sz w:val="22"/>
          <w:szCs w:val="22"/>
          <w:lang w:eastAsia="ja-JP"/>
        </w:rPr>
        <w:t xml:space="preserve"> should be used </w:t>
      </w:r>
      <w:r w:rsidRPr="00AA458D">
        <w:rPr>
          <w:b/>
          <w:sz w:val="22"/>
          <w:szCs w:val="22"/>
          <w:lang w:eastAsia="ja-JP"/>
        </w:rPr>
        <w:t xml:space="preserve">with </w:t>
      </w:r>
      <w:r>
        <w:rPr>
          <w:b/>
          <w:sz w:val="22"/>
          <w:szCs w:val="22"/>
          <w:lang w:eastAsia="ja-JP"/>
        </w:rPr>
        <w:t>80</w:t>
      </w:r>
      <w:r w:rsidRPr="00AA458D">
        <w:rPr>
          <w:b/>
          <w:sz w:val="22"/>
          <w:szCs w:val="22"/>
          <w:lang w:eastAsia="ja-JP"/>
        </w:rPr>
        <w:t>%</w:t>
      </w:r>
      <w:r>
        <w:rPr>
          <w:b/>
          <w:sz w:val="22"/>
          <w:szCs w:val="22"/>
          <w:lang w:eastAsia="ja-JP"/>
        </w:rPr>
        <w:t xml:space="preserve"> probability, the high loss model should be used with 10% probability, and a medial loss model (the average of the high-loss and the low-loss model) should be used for 10% of the probability.</w:t>
      </w:r>
    </w:p>
    <w:p w:rsidR="0005503D" w:rsidRDefault="00E207DE" w:rsidP="00704457">
      <w:pPr>
        <w:autoSpaceDE/>
        <w:autoSpaceDN/>
        <w:adjustRightInd/>
        <w:rPr>
          <w:b/>
          <w:sz w:val="22"/>
          <w:szCs w:val="22"/>
          <w:lang w:eastAsia="ja-JP"/>
        </w:rPr>
      </w:pPr>
      <w:r>
        <w:rPr>
          <w:b/>
          <w:sz w:val="22"/>
          <w:szCs w:val="22"/>
          <w:lang w:eastAsia="ja-JP"/>
        </w:rPr>
        <w:t>Proposal 2</w:t>
      </w:r>
      <w:r w:rsidRPr="00AA458D">
        <w:rPr>
          <w:b/>
          <w:sz w:val="22"/>
          <w:szCs w:val="22"/>
          <w:lang w:eastAsia="ja-JP"/>
        </w:rPr>
        <w:t xml:space="preserve">: </w:t>
      </w:r>
      <w:r>
        <w:rPr>
          <w:b/>
          <w:sz w:val="22"/>
          <w:szCs w:val="22"/>
          <w:lang w:eastAsia="ja-JP"/>
        </w:rPr>
        <w:t>T</w:t>
      </w:r>
      <w:r w:rsidRPr="00AA458D">
        <w:rPr>
          <w:b/>
          <w:sz w:val="22"/>
          <w:szCs w:val="22"/>
          <w:lang w:eastAsia="ja-JP"/>
        </w:rPr>
        <w:t xml:space="preserve">he </w:t>
      </w:r>
      <w:r>
        <w:rPr>
          <w:b/>
          <w:sz w:val="22"/>
          <w:szCs w:val="22"/>
          <w:lang w:eastAsia="ja-JP"/>
        </w:rPr>
        <w:t>low</w:t>
      </w:r>
      <w:r w:rsidRPr="00AA458D">
        <w:rPr>
          <w:b/>
          <w:sz w:val="22"/>
          <w:szCs w:val="22"/>
          <w:lang w:eastAsia="ja-JP"/>
        </w:rPr>
        <w:t xml:space="preserve"> loss model</w:t>
      </w:r>
      <w:r>
        <w:rPr>
          <w:b/>
          <w:sz w:val="22"/>
          <w:szCs w:val="22"/>
          <w:lang w:eastAsia="ja-JP"/>
        </w:rPr>
        <w:t xml:space="preserve"> should be used </w:t>
      </w:r>
      <w:r w:rsidRPr="00AA458D">
        <w:rPr>
          <w:b/>
          <w:sz w:val="22"/>
          <w:szCs w:val="22"/>
          <w:lang w:eastAsia="ja-JP"/>
        </w:rPr>
        <w:t xml:space="preserve">with </w:t>
      </w:r>
      <w:r>
        <w:rPr>
          <w:b/>
          <w:sz w:val="22"/>
          <w:szCs w:val="22"/>
          <w:lang w:eastAsia="ja-JP"/>
        </w:rPr>
        <w:t>80</w:t>
      </w:r>
      <w:r w:rsidRPr="00AA458D">
        <w:rPr>
          <w:b/>
          <w:sz w:val="22"/>
          <w:szCs w:val="22"/>
          <w:lang w:eastAsia="ja-JP"/>
        </w:rPr>
        <w:t>%</w:t>
      </w:r>
      <w:r>
        <w:rPr>
          <w:b/>
          <w:sz w:val="22"/>
          <w:szCs w:val="22"/>
          <w:lang w:eastAsia="ja-JP"/>
        </w:rPr>
        <w:t xml:space="preserve"> probability and the high loss model should be used with 20% probability for Urban Micro; the low</w:t>
      </w:r>
      <w:r w:rsidRPr="00AA458D">
        <w:rPr>
          <w:b/>
          <w:sz w:val="22"/>
          <w:szCs w:val="22"/>
          <w:lang w:eastAsia="ja-JP"/>
        </w:rPr>
        <w:t xml:space="preserve"> loss model</w:t>
      </w:r>
      <w:r>
        <w:rPr>
          <w:b/>
          <w:sz w:val="22"/>
          <w:szCs w:val="22"/>
          <w:lang w:eastAsia="ja-JP"/>
        </w:rPr>
        <w:t xml:space="preserve"> should be used </w:t>
      </w:r>
      <w:r w:rsidRPr="00AA458D">
        <w:rPr>
          <w:b/>
          <w:sz w:val="22"/>
          <w:szCs w:val="22"/>
          <w:lang w:eastAsia="ja-JP"/>
        </w:rPr>
        <w:t xml:space="preserve">with </w:t>
      </w:r>
      <w:r>
        <w:rPr>
          <w:b/>
          <w:sz w:val="22"/>
          <w:szCs w:val="22"/>
          <w:lang w:eastAsia="ja-JP"/>
        </w:rPr>
        <w:t>90</w:t>
      </w:r>
      <w:r w:rsidRPr="00AA458D">
        <w:rPr>
          <w:b/>
          <w:sz w:val="22"/>
          <w:szCs w:val="22"/>
          <w:lang w:eastAsia="ja-JP"/>
        </w:rPr>
        <w:t>%</w:t>
      </w:r>
      <w:r>
        <w:rPr>
          <w:b/>
          <w:sz w:val="22"/>
          <w:szCs w:val="22"/>
          <w:lang w:eastAsia="ja-JP"/>
        </w:rPr>
        <w:t xml:space="preserve"> probability and the high loss model should be used with 10% probability for Urban Macro.</w:t>
      </w:r>
    </w:p>
    <w:p w:rsidR="00E207DE" w:rsidRDefault="00E207DE" w:rsidP="00704457">
      <w:pPr>
        <w:autoSpaceDE/>
        <w:autoSpaceDN/>
        <w:adjustRightInd/>
        <w:rPr>
          <w:sz w:val="22"/>
          <w:szCs w:val="22"/>
          <w:lang w:eastAsia="ja-JP"/>
        </w:rPr>
      </w:pPr>
      <w:r w:rsidRPr="00E207DE">
        <w:rPr>
          <w:sz w:val="22"/>
          <w:szCs w:val="22"/>
          <w:lang w:eastAsia="ja-JP"/>
        </w:rPr>
        <w:t xml:space="preserve">We </w:t>
      </w:r>
      <w:r>
        <w:rPr>
          <w:sz w:val="22"/>
          <w:szCs w:val="22"/>
          <w:lang w:eastAsia="ja-JP"/>
        </w:rPr>
        <w:t>request RAN1 to select one of these two proposals for New Radio (NR) system performance evaluation purposes.</w:t>
      </w:r>
    </w:p>
    <w:p w:rsidR="00E207DE" w:rsidRPr="00E207DE" w:rsidRDefault="00E207DE" w:rsidP="00704457">
      <w:pPr>
        <w:autoSpaceDE/>
        <w:autoSpaceDN/>
        <w:adjustRightInd/>
        <w:rPr>
          <w:rFonts w:ascii="Arial" w:hAnsi="Arial" w:cs="Arial"/>
          <w:lang w:val="en-US"/>
        </w:rPr>
      </w:pPr>
      <w:r>
        <w:rPr>
          <w:sz w:val="22"/>
          <w:szCs w:val="22"/>
          <w:lang w:eastAsia="ja-JP"/>
        </w:rPr>
        <w:t xml:space="preserve"> </w:t>
      </w:r>
    </w:p>
    <w:p w:rsidR="00BD5E8A" w:rsidRDefault="00BD5E8A" w:rsidP="00530477">
      <w:pPr>
        <w:spacing w:before="120"/>
        <w:outlineLvl w:val="0"/>
        <w:rPr>
          <w:rFonts w:ascii="Arial" w:hAnsi="Arial" w:cs="Arial"/>
          <w:sz w:val="32"/>
          <w:szCs w:val="32"/>
          <w:lang w:val="en-US"/>
        </w:rPr>
      </w:pPr>
      <w:r w:rsidRPr="00BD5E8A">
        <w:rPr>
          <w:rFonts w:ascii="Arial" w:hAnsi="Arial" w:cs="Arial"/>
          <w:sz w:val="32"/>
          <w:szCs w:val="32"/>
          <w:lang w:val="en-US"/>
        </w:rPr>
        <w:lastRenderedPageBreak/>
        <w:t>References</w:t>
      </w:r>
    </w:p>
    <w:p w:rsidR="00CA734F" w:rsidRPr="00677D16" w:rsidRDefault="00CA734F" w:rsidP="009E2839">
      <w:pPr>
        <w:pStyle w:val="ListParagraph"/>
        <w:numPr>
          <w:ilvl w:val="0"/>
          <w:numId w:val="22"/>
        </w:numPr>
        <w:ind w:left="450" w:hanging="450"/>
        <w:rPr>
          <w:lang w:eastAsia="ja-JP"/>
        </w:rPr>
      </w:pPr>
      <w:r>
        <w:rPr>
          <w:rFonts w:hint="eastAsia"/>
          <w:lang w:eastAsia="ja-JP"/>
        </w:rPr>
        <w:t xml:space="preserve">3GPP, </w:t>
      </w:r>
      <w:r>
        <w:t xml:space="preserve">RP-151606, </w:t>
      </w:r>
      <w:r w:rsidRPr="00074786">
        <w:t xml:space="preserve">New </w:t>
      </w:r>
      <w:r w:rsidRPr="00074786">
        <w:rPr>
          <w:rFonts w:hint="eastAsia"/>
        </w:rPr>
        <w:t>SID Proposal</w:t>
      </w:r>
      <w:r w:rsidRPr="00074786">
        <w:t xml:space="preserve">: </w:t>
      </w:r>
      <w:r w:rsidRPr="00074786">
        <w:rPr>
          <w:rFonts w:hint="eastAsia"/>
        </w:rPr>
        <w:t>S</w:t>
      </w:r>
      <w:r w:rsidRPr="00074786">
        <w:t xml:space="preserve">tudy on </w:t>
      </w:r>
      <w:r w:rsidRPr="00074786">
        <w:rPr>
          <w:rFonts w:hint="eastAsia"/>
        </w:rPr>
        <w:t>channel model for frequency spectrum above 6 GHz</w:t>
      </w:r>
      <w:r>
        <w:t>, Samsung, Nokia Networks</w:t>
      </w:r>
      <w:r>
        <w:rPr>
          <w:rFonts w:hint="eastAsia"/>
          <w:lang w:eastAsia="ja-JP"/>
        </w:rPr>
        <w:t>.</w:t>
      </w:r>
    </w:p>
    <w:p w:rsidR="005735A5" w:rsidRDefault="005735A5" w:rsidP="009E2839">
      <w:pPr>
        <w:pStyle w:val="ListParagraph"/>
        <w:numPr>
          <w:ilvl w:val="0"/>
          <w:numId w:val="22"/>
        </w:numPr>
        <w:ind w:left="450" w:hanging="450"/>
        <w:rPr>
          <w:lang w:eastAsia="ja-JP"/>
        </w:rPr>
      </w:pPr>
      <w:bookmarkStart w:id="16" w:name="_Ref447215207"/>
      <w:r>
        <w:rPr>
          <w:lang w:eastAsia="ja-JP"/>
        </w:rPr>
        <w:t xml:space="preserve">3GPP, R1-161687, </w:t>
      </w:r>
      <w:r w:rsidR="004923CF">
        <w:rPr>
          <w:lang w:eastAsia="ja-JP"/>
        </w:rPr>
        <w:t>“</w:t>
      </w:r>
      <w:r w:rsidR="004923CF" w:rsidRPr="004923CF">
        <w:rPr>
          <w:lang w:eastAsia="ja-JP"/>
        </w:rPr>
        <w:t>Building penetration loss modelling</w:t>
      </w:r>
      <w:r w:rsidR="004923CF">
        <w:rPr>
          <w:lang w:eastAsia="ja-JP"/>
        </w:rPr>
        <w:t>,” March 2016</w:t>
      </w:r>
      <w:bookmarkEnd w:id="16"/>
    </w:p>
    <w:p w:rsidR="00335FA1" w:rsidRDefault="00335FA1" w:rsidP="00335FA1">
      <w:pPr>
        <w:pStyle w:val="ListParagraph"/>
        <w:numPr>
          <w:ilvl w:val="0"/>
          <w:numId w:val="22"/>
        </w:numPr>
        <w:ind w:left="450" w:hanging="450"/>
        <w:rPr>
          <w:lang w:eastAsia="ja-JP"/>
        </w:rPr>
      </w:pPr>
      <w:bookmarkStart w:id="17" w:name="_Ref447215295"/>
      <w:r>
        <w:rPr>
          <w:lang w:eastAsia="ja-JP"/>
        </w:rPr>
        <w:t>3GPP, R1-16xxxx, Nokia Networks, “Report of 3GPP TSG RAN WG1 AH Channel Model,” March 2016</w:t>
      </w:r>
      <w:bookmarkEnd w:id="17"/>
    </w:p>
    <w:p w:rsidR="004029EF" w:rsidRDefault="004029EF" w:rsidP="00335FA1">
      <w:pPr>
        <w:pStyle w:val="ListParagraph"/>
        <w:numPr>
          <w:ilvl w:val="0"/>
          <w:numId w:val="22"/>
        </w:numPr>
        <w:ind w:left="450" w:hanging="450"/>
        <w:rPr>
          <w:lang w:eastAsia="ja-JP"/>
        </w:rPr>
      </w:pPr>
      <w:bookmarkStart w:id="18" w:name="_Ref447268164"/>
      <w:r w:rsidRPr="004029EF">
        <w:rPr>
          <w:lang w:eastAsia="ja-JP"/>
        </w:rPr>
        <w:t>Aalto University, AT&amp;T, BUPT, CMCC, Ericsson, Huawei, Intel, KT Corporation, Nokia, NTT DOCOMO, New York University, Qualcomm, Samsung, University of Bristol, University of Southern California, “5G Channel Model for bands up to 100 GHz (v2.0)”, Mar. 2016 (</w:t>
      </w:r>
      <w:hyperlink r:id="rId17" w:history="1">
        <w:r w:rsidRPr="004029EF">
          <w:rPr>
            <w:rStyle w:val="Hyperlink"/>
            <w:lang w:eastAsia="ja-JP"/>
          </w:rPr>
          <w:t>http://www.5gworkshops.com/5GCM.html</w:t>
        </w:r>
      </w:hyperlink>
      <w:r w:rsidRPr="004029EF">
        <w:rPr>
          <w:lang w:eastAsia="ja-JP"/>
        </w:rPr>
        <w:t>)</w:t>
      </w:r>
      <w:bookmarkEnd w:id="18"/>
    </w:p>
    <w:p w:rsidR="003C6236" w:rsidRDefault="003C6236" w:rsidP="00335FA1">
      <w:pPr>
        <w:pStyle w:val="ListParagraph"/>
        <w:numPr>
          <w:ilvl w:val="0"/>
          <w:numId w:val="22"/>
        </w:numPr>
        <w:ind w:left="450" w:hanging="450"/>
        <w:rPr>
          <w:lang w:eastAsia="ja-JP"/>
        </w:rPr>
      </w:pPr>
      <w:r w:rsidRPr="003C6236">
        <w:rPr>
          <w:lang w:eastAsia="ja-JP"/>
        </w:rPr>
        <w:t>3GPP TR 36.873 “Study on 3D channel model for LTE</w:t>
      </w:r>
      <w:r>
        <w:rPr>
          <w:lang w:eastAsia="ja-JP"/>
        </w:rPr>
        <w:t>”, v12.0.0, June 2015</w:t>
      </w:r>
    </w:p>
    <w:p w:rsidR="003E0EE3" w:rsidRDefault="003E0EE3" w:rsidP="00335FA1">
      <w:pPr>
        <w:pStyle w:val="ListParagraph"/>
        <w:numPr>
          <w:ilvl w:val="0"/>
          <w:numId w:val="22"/>
        </w:numPr>
        <w:ind w:left="450" w:hanging="450"/>
        <w:rPr>
          <w:lang w:eastAsia="ja-JP"/>
        </w:rPr>
      </w:pPr>
      <w:r w:rsidRPr="003E0EE3">
        <w:rPr>
          <w:lang w:eastAsia="ja-JP"/>
        </w:rPr>
        <w:t>E. Semaan, F. Harrysson, A. Furuskär and H. Asplund, "Outdoor-to-indoor coverage in high frequency bands", Globecom Workshops 2014, pp. 393-398.</w:t>
      </w:r>
    </w:p>
    <w:p w:rsidR="00CB454F" w:rsidRDefault="00CB454F" w:rsidP="00CB454F">
      <w:pPr>
        <w:pStyle w:val="ListParagraph"/>
        <w:numPr>
          <w:ilvl w:val="0"/>
          <w:numId w:val="22"/>
        </w:numPr>
        <w:ind w:left="450" w:hanging="450"/>
        <w:rPr>
          <w:lang w:eastAsia="ja-JP"/>
        </w:rPr>
      </w:pPr>
      <w:bookmarkStart w:id="19" w:name="_Ref447029953"/>
      <w:r>
        <w:rPr>
          <w:lang w:eastAsia="ja-JP"/>
        </w:rPr>
        <w:t xml:space="preserve">Ignacio Rodriguez, Huan C. Nguyen, </w:t>
      </w:r>
      <w:r w:rsidRPr="00851953">
        <w:rPr>
          <w:lang w:eastAsia="ja-JP"/>
        </w:rPr>
        <w:t xml:space="preserve">Troels B. Sørensen, Jan Elling, Jens </w:t>
      </w:r>
      <w:r>
        <w:rPr>
          <w:lang w:eastAsia="ja-JP"/>
        </w:rPr>
        <w:t>Å</w:t>
      </w:r>
      <w:r w:rsidRPr="00851953">
        <w:rPr>
          <w:lang w:eastAsia="ja-JP"/>
        </w:rPr>
        <w:t>ge Holm, Preben Mogensen, and Benny Vejlgaard</w:t>
      </w:r>
      <w:r>
        <w:rPr>
          <w:lang w:eastAsia="ja-JP"/>
        </w:rPr>
        <w:t>, “Analysis of 38 GHz mmWave Propagation Characteristics of Urban Scenarios,” ICC 2015, London, UK</w:t>
      </w:r>
      <w:bookmarkEnd w:id="19"/>
    </w:p>
    <w:p w:rsidR="008B730E" w:rsidRDefault="008B730E" w:rsidP="009E2839">
      <w:pPr>
        <w:pStyle w:val="ListParagraph"/>
        <w:numPr>
          <w:ilvl w:val="0"/>
          <w:numId w:val="22"/>
        </w:numPr>
        <w:ind w:left="450" w:hanging="450"/>
        <w:rPr>
          <w:lang w:eastAsia="ja-JP"/>
        </w:rPr>
      </w:pPr>
      <w:bookmarkStart w:id="20" w:name="_Ref446947882"/>
      <w:r>
        <w:rPr>
          <w:lang w:eastAsia="ja-JP"/>
        </w:rPr>
        <w:t>TNO Built Environment and Geosciences – Glazing type distribution in the EU building stock – TNO Report TNO-60-DTM-2011-00338 – February 2011</w:t>
      </w:r>
      <w:bookmarkEnd w:id="20"/>
      <w:r w:rsidR="00533EC8">
        <w:rPr>
          <w:lang w:eastAsia="ja-JP"/>
        </w:rPr>
        <w:t>, available at</w:t>
      </w:r>
    </w:p>
    <w:p w:rsidR="003A4CF7" w:rsidRDefault="003A4CF7" w:rsidP="009E2839">
      <w:pPr>
        <w:pStyle w:val="ListParagraph"/>
        <w:numPr>
          <w:ilvl w:val="0"/>
          <w:numId w:val="22"/>
        </w:numPr>
        <w:ind w:left="450" w:hanging="450"/>
        <w:rPr>
          <w:lang w:eastAsia="ja-JP"/>
        </w:rPr>
      </w:pPr>
      <w:bookmarkStart w:id="21" w:name="_Ref446948991"/>
      <w:bookmarkStart w:id="22" w:name="_Ref447285629"/>
      <w:r>
        <w:rPr>
          <w:lang w:eastAsia="ja-JP"/>
        </w:rPr>
        <w:t xml:space="preserve">Niels Schreuder, “Glass Windows for Energy Efficient Buildings,” </w:t>
      </w:r>
      <w:bookmarkEnd w:id="21"/>
      <w:r w:rsidR="00533EC8">
        <w:rPr>
          <w:lang w:eastAsia="ja-JP"/>
        </w:rPr>
        <w:t>available at</w:t>
      </w:r>
      <w:bookmarkEnd w:id="22"/>
    </w:p>
    <w:p w:rsidR="00AE782D" w:rsidRDefault="00CE7F53" w:rsidP="009E2839">
      <w:pPr>
        <w:pStyle w:val="ListParagraph"/>
        <w:numPr>
          <w:ilvl w:val="0"/>
          <w:numId w:val="22"/>
        </w:numPr>
        <w:ind w:left="450" w:hanging="450"/>
        <w:rPr>
          <w:lang w:eastAsia="ja-JP"/>
        </w:rPr>
      </w:pPr>
      <w:r>
        <w:rPr>
          <w:lang w:eastAsia="ja-JP"/>
        </w:rPr>
        <w:t>Glass for Europe, “Energy Saving Glazing Solutions and a Low Carbon Economy,”</w:t>
      </w:r>
      <w:r w:rsidR="00533EC8">
        <w:rPr>
          <w:lang w:eastAsia="ja-JP"/>
        </w:rPr>
        <w:t xml:space="preserve"> available at</w:t>
      </w:r>
    </w:p>
    <w:p w:rsidR="00DF1A11" w:rsidRDefault="00DF1A11" w:rsidP="00DF1A11">
      <w:pPr>
        <w:pStyle w:val="ListParagraph"/>
        <w:numPr>
          <w:ilvl w:val="0"/>
          <w:numId w:val="22"/>
        </w:numPr>
        <w:ind w:left="450" w:hanging="450"/>
        <w:rPr>
          <w:lang w:eastAsia="ja-JP"/>
        </w:rPr>
      </w:pPr>
      <w:bookmarkStart w:id="23" w:name="_Ref447095950"/>
      <w:r>
        <w:rPr>
          <w:lang w:eastAsia="ja-JP"/>
        </w:rPr>
        <w:t xml:space="preserve">U.S. Energy Information Administration Commercial Buildings Energy Consumption Survey (CBECS) 2012, available at </w:t>
      </w:r>
      <w:hyperlink r:id="rId18" w:history="1">
        <w:r w:rsidRPr="002A4162">
          <w:rPr>
            <w:rStyle w:val="Hyperlink"/>
            <w:lang w:eastAsia="ja-JP"/>
          </w:rPr>
          <w:t>https://www.eia.gov/consumption/commercial/</w:t>
        </w:r>
      </w:hyperlink>
      <w:bookmarkEnd w:id="23"/>
      <w:r>
        <w:rPr>
          <w:lang w:eastAsia="ja-JP"/>
        </w:rPr>
        <w:t xml:space="preserve"> </w:t>
      </w:r>
    </w:p>
    <w:p w:rsidR="00DF1A11" w:rsidRDefault="00DF1A11" w:rsidP="00DF1A11">
      <w:pPr>
        <w:pStyle w:val="ListParagraph"/>
        <w:numPr>
          <w:ilvl w:val="0"/>
          <w:numId w:val="22"/>
        </w:numPr>
        <w:ind w:left="450" w:hanging="450"/>
        <w:rPr>
          <w:lang w:eastAsia="ja-JP"/>
        </w:rPr>
      </w:pPr>
      <w:bookmarkStart w:id="24" w:name="_Ref447272651"/>
      <w:r>
        <w:rPr>
          <w:lang w:eastAsia="ja-JP"/>
        </w:rPr>
        <w:t>U.S. Energy Information Administration Residential Buildings Energy Consumption Survey (RECS) 200</w:t>
      </w:r>
      <w:r w:rsidR="00872B0E">
        <w:rPr>
          <w:lang w:eastAsia="ja-JP"/>
        </w:rPr>
        <w:t>5</w:t>
      </w:r>
      <w:r>
        <w:rPr>
          <w:lang w:eastAsia="ja-JP"/>
        </w:rPr>
        <w:t xml:space="preserve">, available at </w:t>
      </w:r>
      <w:hyperlink r:id="rId19" w:history="1">
        <w:r w:rsidRPr="002A4162">
          <w:rPr>
            <w:rStyle w:val="Hyperlink"/>
            <w:lang w:eastAsia="ja-JP"/>
          </w:rPr>
          <w:t>https://www.eia.gov/consumption/residential/</w:t>
        </w:r>
      </w:hyperlink>
      <w:bookmarkEnd w:id="24"/>
      <w:r>
        <w:rPr>
          <w:lang w:eastAsia="ja-JP"/>
        </w:rPr>
        <w:t xml:space="preserve"> </w:t>
      </w:r>
    </w:p>
    <w:p w:rsidR="000C3FE0" w:rsidRDefault="000C3FE0" w:rsidP="000C3FE0">
      <w:pPr>
        <w:pStyle w:val="ListParagraph"/>
        <w:numPr>
          <w:ilvl w:val="0"/>
          <w:numId w:val="22"/>
        </w:numPr>
        <w:ind w:left="450" w:hanging="450"/>
        <w:rPr>
          <w:lang w:eastAsia="ja-JP"/>
        </w:rPr>
      </w:pPr>
      <w:bookmarkStart w:id="25" w:name="_Ref447107586"/>
      <w:r>
        <w:rPr>
          <w:lang w:eastAsia="ja-JP"/>
        </w:rPr>
        <w:t xml:space="preserve">U.S. Department of Energy Building Energy Data Book, available at </w:t>
      </w:r>
      <w:hyperlink r:id="rId20" w:history="1">
        <w:r w:rsidRPr="002A4162">
          <w:rPr>
            <w:rStyle w:val="Hyperlink"/>
            <w:lang w:eastAsia="ja-JP"/>
          </w:rPr>
          <w:t>http://buildingsdatabook.eren.doe.gov/</w:t>
        </w:r>
      </w:hyperlink>
      <w:bookmarkEnd w:id="25"/>
      <w:r>
        <w:rPr>
          <w:lang w:eastAsia="ja-JP"/>
        </w:rPr>
        <w:t xml:space="preserve"> </w:t>
      </w:r>
    </w:p>
    <w:p w:rsidR="005567EC" w:rsidRDefault="005567EC" w:rsidP="005567EC">
      <w:pPr>
        <w:pStyle w:val="ListParagraph"/>
        <w:numPr>
          <w:ilvl w:val="0"/>
          <w:numId w:val="22"/>
        </w:numPr>
        <w:ind w:left="450" w:hanging="450"/>
        <w:rPr>
          <w:lang w:eastAsia="ja-JP"/>
        </w:rPr>
      </w:pPr>
      <w:bookmarkStart w:id="26" w:name="_Ref447111459"/>
      <w:r>
        <w:rPr>
          <w:lang w:eastAsia="ja-JP"/>
        </w:rPr>
        <w:t>Andrew P. McCoy, “High-Efficiency Windows: The Frontier of High-Performance Construction,” Cityscape Vol</w:t>
      </w:r>
      <w:r w:rsidR="00833149">
        <w:rPr>
          <w:lang w:eastAsia="ja-JP"/>
        </w:rPr>
        <w:t>.</w:t>
      </w:r>
      <w:r>
        <w:rPr>
          <w:lang w:eastAsia="ja-JP"/>
        </w:rPr>
        <w:t xml:space="preserve"> 15, </w:t>
      </w:r>
      <w:r w:rsidR="00833149">
        <w:rPr>
          <w:lang w:eastAsia="ja-JP"/>
        </w:rPr>
        <w:t>No.</w:t>
      </w:r>
      <w:r>
        <w:rPr>
          <w:lang w:eastAsia="ja-JP"/>
        </w:rPr>
        <w:t xml:space="preserve"> 3,</w:t>
      </w:r>
      <w:r w:rsidR="006C07DF">
        <w:rPr>
          <w:lang w:eastAsia="ja-JP"/>
        </w:rPr>
        <w:t xml:space="preserve"> 2013,</w:t>
      </w:r>
      <w:r>
        <w:rPr>
          <w:lang w:eastAsia="ja-JP"/>
        </w:rPr>
        <w:t xml:space="preserve"> available at </w:t>
      </w:r>
      <w:hyperlink r:id="rId21" w:history="1">
        <w:r w:rsidRPr="002A4162">
          <w:rPr>
            <w:rStyle w:val="Hyperlink"/>
            <w:lang w:eastAsia="ja-JP"/>
          </w:rPr>
          <w:t>https://www.huduser.gov/portal/periodicals/cityscpe/vol15num3/ch20.pdf</w:t>
        </w:r>
      </w:hyperlink>
      <w:bookmarkEnd w:id="26"/>
      <w:r>
        <w:rPr>
          <w:lang w:eastAsia="ja-JP"/>
        </w:rPr>
        <w:t xml:space="preserve"> </w:t>
      </w:r>
    </w:p>
    <w:p w:rsidR="00E3284A" w:rsidRDefault="00E3284A" w:rsidP="00E3284A">
      <w:pPr>
        <w:pStyle w:val="ListParagraph"/>
        <w:numPr>
          <w:ilvl w:val="0"/>
          <w:numId w:val="22"/>
        </w:numPr>
        <w:ind w:left="450" w:hanging="450"/>
        <w:rPr>
          <w:lang w:eastAsia="ja-JP"/>
        </w:rPr>
      </w:pPr>
      <w:bookmarkStart w:id="27" w:name="_Ref447286709"/>
      <w:r>
        <w:rPr>
          <w:lang w:eastAsia="ja-JP"/>
        </w:rPr>
        <w:t xml:space="preserve">Tianzhen Hong, and Stephen Selkowitz, “Assessment of Energy Performance of Window Technologies for Commercial Buildings,” Lawrence Berkeley National Laboratory, available at </w:t>
      </w:r>
      <w:hyperlink r:id="rId22" w:history="1">
        <w:r w:rsidRPr="00A80AA8">
          <w:rPr>
            <w:rStyle w:val="Hyperlink"/>
            <w:lang w:eastAsia="ja-JP"/>
          </w:rPr>
          <w:t>http://aceee.org/files/proceedings/2010/data/papers/1989.pdf</w:t>
        </w:r>
      </w:hyperlink>
      <w:bookmarkEnd w:id="27"/>
      <w:r>
        <w:rPr>
          <w:lang w:eastAsia="ja-JP"/>
        </w:rPr>
        <w:t xml:space="preserve"> </w:t>
      </w:r>
    </w:p>
    <w:p w:rsidR="00A11596" w:rsidRDefault="009E2839" w:rsidP="009E2839">
      <w:pPr>
        <w:pStyle w:val="ListParagraph"/>
        <w:numPr>
          <w:ilvl w:val="0"/>
          <w:numId w:val="22"/>
        </w:numPr>
        <w:ind w:left="450" w:hanging="450"/>
        <w:rPr>
          <w:lang w:eastAsia="ja-JP"/>
        </w:rPr>
      </w:pPr>
      <w:bookmarkStart w:id="28" w:name="_Ref447035204"/>
      <w:r w:rsidRPr="009E2839">
        <w:rPr>
          <w:lang w:eastAsia="ja-JP"/>
        </w:rPr>
        <w:t xml:space="preserve">Widder SH, GB Parker, MC Baechler, and NN Bauman. 2012. </w:t>
      </w:r>
      <w:r>
        <w:rPr>
          <w:lang w:eastAsia="ja-JP"/>
        </w:rPr>
        <w:t>“</w:t>
      </w:r>
      <w:r w:rsidRPr="009E2839">
        <w:rPr>
          <w:lang w:eastAsia="ja-JP"/>
        </w:rPr>
        <w:t>Side-by-Side Field Evaluation of Highly Insulatin</w:t>
      </w:r>
      <w:r>
        <w:rPr>
          <w:lang w:eastAsia="ja-JP"/>
        </w:rPr>
        <w:t>g Windows in the PNNL Lab Homes”</w:t>
      </w:r>
      <w:r w:rsidRPr="009E2839">
        <w:rPr>
          <w:lang w:eastAsia="ja-JP"/>
        </w:rPr>
        <w:t>. PNNL-21678, Pacific Northwest Na</w:t>
      </w:r>
      <w:r>
        <w:rPr>
          <w:lang w:eastAsia="ja-JP"/>
        </w:rPr>
        <w:t xml:space="preserve">tional Laboratory, Richland, WA, available online at </w:t>
      </w:r>
      <w:hyperlink r:id="rId23" w:history="1">
        <w:r w:rsidRPr="002A4162">
          <w:rPr>
            <w:rStyle w:val="Hyperlink"/>
            <w:lang w:eastAsia="ja-JP"/>
          </w:rPr>
          <w:t>http://www.pnnl.gov/main/publications/external/technical_reports/PNNL-21678.pdf</w:t>
        </w:r>
      </w:hyperlink>
      <w:bookmarkEnd w:id="28"/>
      <w:r>
        <w:rPr>
          <w:lang w:eastAsia="ja-JP"/>
        </w:rPr>
        <w:t xml:space="preserve"> </w:t>
      </w:r>
    </w:p>
    <w:p w:rsidR="0045600C" w:rsidRDefault="0045600C" w:rsidP="0045600C">
      <w:pPr>
        <w:pStyle w:val="ListParagraph"/>
        <w:numPr>
          <w:ilvl w:val="0"/>
          <w:numId w:val="22"/>
        </w:numPr>
        <w:ind w:left="450" w:hanging="450"/>
        <w:rPr>
          <w:lang w:eastAsia="ja-JP"/>
        </w:rPr>
      </w:pPr>
      <w:bookmarkStart w:id="29" w:name="_Ref447292329"/>
      <w:r w:rsidRPr="00EF423F">
        <w:rPr>
          <w:lang w:eastAsia="ja-JP"/>
        </w:rPr>
        <w:t>J. B. Andersen, T. S. Rappaport and S. Yoshida, "Propagation measurements and models for wireless communications channels," in IEEE Communications Magazine, vol. 33, no. 1, pp. 42-49, Jan 1995.</w:t>
      </w:r>
      <w:bookmarkEnd w:id="29"/>
      <w:r>
        <w:rPr>
          <w:lang w:eastAsia="ja-JP"/>
        </w:rPr>
        <w:t xml:space="preserve"> </w:t>
      </w:r>
    </w:p>
    <w:p w:rsidR="000808FB" w:rsidRDefault="000808FB" w:rsidP="007E3E33">
      <w:pPr>
        <w:pStyle w:val="ListParagraph"/>
        <w:numPr>
          <w:ilvl w:val="0"/>
          <w:numId w:val="22"/>
        </w:numPr>
        <w:ind w:left="450" w:hanging="450"/>
        <w:rPr>
          <w:lang w:eastAsia="ja-JP"/>
        </w:rPr>
      </w:pPr>
      <w:bookmarkStart w:id="30" w:name="_Ref447292984"/>
      <w:r w:rsidRPr="000808FB">
        <w:rPr>
          <w:lang w:eastAsia="ja-JP"/>
        </w:rPr>
        <w:t>Björn Widenberg and José Víctor Rodríguez Rodríguez</w:t>
      </w:r>
      <w:r>
        <w:rPr>
          <w:lang w:eastAsia="ja-JP"/>
        </w:rPr>
        <w:t>,</w:t>
      </w:r>
      <w:r w:rsidRPr="000808FB">
        <w:rPr>
          <w:lang w:eastAsia="ja-JP"/>
        </w:rPr>
        <w:t xml:space="preserve"> </w:t>
      </w:r>
      <w:r>
        <w:rPr>
          <w:lang w:eastAsia="ja-JP"/>
        </w:rPr>
        <w:t>“Design of Energy Saving Windows with High Transmission at 900 MHz and 1800 MHz,”</w:t>
      </w:r>
      <w:r w:rsidR="007E3E33">
        <w:rPr>
          <w:lang w:eastAsia="ja-JP"/>
        </w:rPr>
        <w:t xml:space="preserve"> available at </w:t>
      </w:r>
      <w:hyperlink r:id="rId24" w:history="1">
        <w:r w:rsidR="007E3E33" w:rsidRPr="00A80AA8">
          <w:rPr>
            <w:rStyle w:val="Hyperlink"/>
            <w:lang w:eastAsia="ja-JP"/>
          </w:rPr>
          <w:t>http://lup.lub.lu.se/record/530536/file/624944.pdf</w:t>
        </w:r>
      </w:hyperlink>
      <w:bookmarkEnd w:id="30"/>
      <w:r w:rsidR="007E3E33">
        <w:rPr>
          <w:lang w:eastAsia="ja-JP"/>
        </w:rPr>
        <w:t xml:space="preserve"> </w:t>
      </w:r>
    </w:p>
    <w:p w:rsidR="00AE54B6" w:rsidRDefault="00AE54B6" w:rsidP="00691EF9">
      <w:pPr>
        <w:pStyle w:val="ListParagraph"/>
        <w:numPr>
          <w:ilvl w:val="0"/>
          <w:numId w:val="22"/>
        </w:numPr>
        <w:ind w:left="450" w:hanging="450"/>
        <w:rPr>
          <w:lang w:eastAsia="ja-JP"/>
        </w:rPr>
      </w:pPr>
      <w:bookmarkStart w:id="31" w:name="_Ref447893292"/>
      <w:r>
        <w:rPr>
          <w:lang w:eastAsia="ja-JP"/>
        </w:rPr>
        <w:t xml:space="preserve">Stephen Malpezzi, “Population Density: Some Facts and Some Predictions,” Cityscape Vol. 15, No. 3, 2013, available at </w:t>
      </w:r>
      <w:hyperlink r:id="rId25" w:history="1">
        <w:r w:rsidRPr="00995A28">
          <w:rPr>
            <w:rStyle w:val="Hyperlink"/>
            <w:lang w:eastAsia="ja-JP"/>
          </w:rPr>
          <w:t>https://www.huduser.gov/portal/periodicals/cityscpe/vol15num3/ch13.pdf</w:t>
        </w:r>
      </w:hyperlink>
      <w:bookmarkEnd w:id="31"/>
      <w:r>
        <w:rPr>
          <w:lang w:eastAsia="ja-JP"/>
        </w:rPr>
        <w:t xml:space="preserve"> </w:t>
      </w:r>
    </w:p>
    <w:p w:rsidR="00067741" w:rsidRPr="002B7F31" w:rsidRDefault="00067741" w:rsidP="00067741">
      <w:pPr>
        <w:pStyle w:val="FP"/>
        <w:ind w:right="-99"/>
        <w:jc w:val="right"/>
        <w:rPr>
          <w:vanish/>
          <w:sz w:val="12"/>
          <w:lang w:val="en-US"/>
        </w:rPr>
      </w:pPr>
      <w:r w:rsidRPr="002B7F31">
        <w:rPr>
          <w:vanish/>
          <w:sz w:val="12"/>
          <w:lang w:val="en-US"/>
        </w:rPr>
        <w:t>form change history:</w:t>
      </w:r>
    </w:p>
    <w:p w:rsidR="00707673" w:rsidRPr="002B7F31" w:rsidRDefault="00707673" w:rsidP="00707673">
      <w:pPr>
        <w:pStyle w:val="FP"/>
        <w:ind w:right="-99"/>
        <w:jc w:val="right"/>
        <w:rPr>
          <w:vanish/>
          <w:sz w:val="12"/>
          <w:szCs w:val="16"/>
          <w:lang w:val="en-US"/>
        </w:rPr>
      </w:pPr>
      <w:r w:rsidRPr="002B7F31">
        <w:rPr>
          <w:vanish/>
          <w:sz w:val="12"/>
          <w:highlight w:val="yellow"/>
          <w:lang w:val="en-US"/>
        </w:rPr>
        <w:t>2013-12-06 v1.14.1</w:t>
      </w:r>
      <w:r w:rsidRPr="002B7F31">
        <w:rPr>
          <w:vanish/>
          <w:sz w:val="12"/>
          <w:lang w:val="en-US"/>
        </w:rPr>
        <w:t xml:space="preserve"> modified §11 to read: &lt;FamilyName&gt;, &lt;GivenName&gt;, (If the person is new to 3GPP work, give full contact coordinates, in particular, email address.)</w:t>
      </w:r>
    </w:p>
    <w:p w:rsidR="00707673" w:rsidRPr="002B7F31" w:rsidRDefault="00707673" w:rsidP="00707673">
      <w:pPr>
        <w:pStyle w:val="FP"/>
        <w:ind w:right="-99"/>
        <w:jc w:val="right"/>
        <w:rPr>
          <w:vanish/>
          <w:sz w:val="12"/>
          <w:lang w:val="en-US"/>
        </w:rPr>
      </w:pPr>
      <w:r w:rsidRPr="002B7F31">
        <w:rPr>
          <w:vanish/>
          <w:sz w:val="12"/>
          <w:lang w:val="en-US"/>
        </w:rPr>
        <w:t>2013-10-03 v1.14.0 removal of embedded help text</w:t>
      </w:r>
    </w:p>
    <w:p w:rsidR="00067741" w:rsidRPr="002B7F31" w:rsidRDefault="00067741" w:rsidP="00067741">
      <w:pPr>
        <w:pStyle w:val="FP"/>
        <w:ind w:right="-99"/>
        <w:jc w:val="right"/>
        <w:rPr>
          <w:vanish/>
          <w:sz w:val="12"/>
          <w:lang w:val="en-US"/>
        </w:rPr>
      </w:pPr>
      <w:r w:rsidRPr="002B7F31">
        <w:rPr>
          <w:vanish/>
          <w:sz w:val="12"/>
          <w:lang w:val="en-US"/>
        </w:rPr>
        <w:t>v1.13.2: adds tdoc header</w:t>
      </w:r>
    </w:p>
    <w:p w:rsidR="00067741" w:rsidRPr="002B7F31" w:rsidRDefault="00067741" w:rsidP="00067741">
      <w:pPr>
        <w:pStyle w:val="FP"/>
        <w:ind w:right="-99"/>
        <w:jc w:val="right"/>
        <w:rPr>
          <w:vanish/>
          <w:sz w:val="12"/>
          <w:lang w:val="en-US"/>
        </w:rPr>
      </w:pPr>
      <w:r w:rsidRPr="002B7F31">
        <w:rPr>
          <w:vanish/>
          <w:sz w:val="12"/>
          <w:lang w:val="en-US"/>
        </w:rPr>
        <w:t>v1.13.1: minor changes resulting from discussions at CT#41 &amp; SA#41</w:t>
      </w:r>
    </w:p>
    <w:p w:rsidR="00067741" w:rsidRPr="002B7F31" w:rsidRDefault="00067741" w:rsidP="00067741">
      <w:pPr>
        <w:pStyle w:val="FP"/>
        <w:ind w:right="-99"/>
        <w:jc w:val="right"/>
        <w:rPr>
          <w:vanish/>
          <w:sz w:val="12"/>
          <w:lang w:val="en-US"/>
        </w:rPr>
      </w:pPr>
      <w:r w:rsidRPr="002B7F31">
        <w:rPr>
          <w:vanish/>
          <w:sz w:val="12"/>
          <w:lang w:val="en-US"/>
        </w:rPr>
        <w:t>v1.13.0: mods to enforce linkage amongst stages 1, 2, 3</w:t>
      </w:r>
    </w:p>
    <w:p w:rsidR="00067741" w:rsidRPr="002B7F31" w:rsidRDefault="00067741" w:rsidP="00067741">
      <w:pPr>
        <w:pStyle w:val="FP"/>
        <w:ind w:right="-99"/>
        <w:jc w:val="right"/>
        <w:rPr>
          <w:vanish/>
          <w:sz w:val="12"/>
          <w:lang w:val="en-US"/>
        </w:rPr>
      </w:pPr>
      <w:r w:rsidRPr="002B7F31">
        <w:rPr>
          <w:vanish/>
          <w:sz w:val="12"/>
          <w:lang w:val="en-US"/>
        </w:rPr>
        <w:t>draft mods Scarrone-Meredith 2008-07 ff</w:t>
      </w:r>
    </w:p>
    <w:p w:rsidR="00067741" w:rsidRPr="002B7F31" w:rsidRDefault="00067741" w:rsidP="00067741">
      <w:pPr>
        <w:pStyle w:val="FP"/>
        <w:ind w:right="-99"/>
        <w:jc w:val="right"/>
        <w:rPr>
          <w:vanish/>
          <w:sz w:val="12"/>
          <w:lang w:val="en-US"/>
        </w:rPr>
      </w:pPr>
      <w:r w:rsidRPr="002B7F31">
        <w:rPr>
          <w:vanish/>
          <w:sz w:val="12"/>
          <w:lang w:val="en-US"/>
        </w:rPr>
        <w:t>v1.12.1: removes revision marks following approval at SP-29</w:t>
      </w:r>
      <w:r w:rsidRPr="002B7F31">
        <w:rPr>
          <w:vanish/>
          <w:sz w:val="12"/>
          <w:lang w:val="en-US"/>
        </w:rPr>
        <w:br/>
        <w:t>v1.12.0: includes provision for Study Items (SP-29)</w:t>
      </w:r>
    </w:p>
    <w:p w:rsidR="00067741" w:rsidRPr="002B7F31" w:rsidRDefault="00067741" w:rsidP="00067741">
      <w:pPr>
        <w:pStyle w:val="FP"/>
        <w:ind w:right="-99"/>
        <w:jc w:val="right"/>
        <w:rPr>
          <w:vanish/>
          <w:sz w:val="12"/>
          <w:lang w:val="en-US"/>
        </w:rPr>
      </w:pPr>
      <w:r w:rsidRPr="002B7F31">
        <w:rPr>
          <w:vanish/>
          <w:sz w:val="12"/>
          <w:lang w:val="en-US"/>
        </w:rPr>
        <w:t>v1.11.0: includes those changes from v1.8.0 agreed at SP-25.</w:t>
      </w:r>
    </w:p>
    <w:p w:rsidR="00067741" w:rsidRPr="002B7F31" w:rsidRDefault="00067741" w:rsidP="00067741">
      <w:pPr>
        <w:pStyle w:val="FP"/>
        <w:ind w:right="-99"/>
        <w:jc w:val="right"/>
        <w:rPr>
          <w:vanish/>
          <w:sz w:val="12"/>
          <w:lang w:val="en-US"/>
        </w:rPr>
      </w:pPr>
      <w:r w:rsidRPr="002B7F31">
        <w:rPr>
          <w:vanish/>
          <w:sz w:val="12"/>
          <w:lang w:val="en-US"/>
        </w:rPr>
        <w:tab/>
        <w:t>v1.10.0: full circle</w:t>
      </w:r>
    </w:p>
    <w:p w:rsidR="00067741" w:rsidRPr="002B7F31" w:rsidRDefault="00067741" w:rsidP="00067741">
      <w:pPr>
        <w:pStyle w:val="FP"/>
        <w:ind w:right="-99"/>
        <w:jc w:val="right"/>
        <w:rPr>
          <w:vanish/>
          <w:sz w:val="12"/>
          <w:lang w:val="en-US"/>
        </w:rPr>
      </w:pPr>
      <w:r w:rsidRPr="002B7F31">
        <w:rPr>
          <w:vanish/>
          <w:sz w:val="12"/>
          <w:lang w:val="en-US"/>
        </w:rPr>
        <w:t>v1.9.0: a clean sheet</w:t>
      </w:r>
    </w:p>
    <w:p w:rsidR="00067741" w:rsidRPr="002B7F31" w:rsidRDefault="00067741" w:rsidP="00067741">
      <w:pPr>
        <w:pStyle w:val="FP"/>
        <w:ind w:right="-99"/>
        <w:jc w:val="right"/>
        <w:rPr>
          <w:vanish/>
          <w:sz w:val="12"/>
          <w:lang w:val="en-US"/>
        </w:rPr>
      </w:pPr>
      <w:r w:rsidRPr="002B7F31">
        <w:rPr>
          <w:vanish/>
          <w:sz w:val="12"/>
          <w:lang w:val="en-US"/>
        </w:rPr>
        <w:t xml:space="preserve">v1.8.0: includes comments from SA#24 </w:t>
      </w:r>
    </w:p>
    <w:p w:rsidR="00067741" w:rsidRPr="002B7F31" w:rsidRDefault="00067741" w:rsidP="00067741">
      <w:pPr>
        <w:pStyle w:val="FP"/>
        <w:ind w:right="-99"/>
        <w:jc w:val="right"/>
        <w:rPr>
          <w:vanish/>
          <w:sz w:val="12"/>
          <w:lang w:val="en-US"/>
        </w:rPr>
      </w:pPr>
      <w:r w:rsidRPr="002B7F31">
        <w:rPr>
          <w:vanish/>
          <w:sz w:val="12"/>
          <w:lang w:val="en-US"/>
        </w:rPr>
        <w:t>v1.7.0: includes comments from RAN, CN and T #24; also includes “early implementation” data</w:t>
      </w:r>
    </w:p>
    <w:p w:rsidR="00067741" w:rsidRPr="002B7F31" w:rsidRDefault="00067741" w:rsidP="00067741">
      <w:pPr>
        <w:pStyle w:val="FP"/>
        <w:ind w:right="-99"/>
        <w:jc w:val="right"/>
        <w:rPr>
          <w:vanish/>
          <w:sz w:val="12"/>
          <w:lang w:val="en-US"/>
        </w:rPr>
      </w:pPr>
      <w:r w:rsidRPr="002B7F31">
        <w:rPr>
          <w:vanish/>
          <w:sz w:val="12"/>
          <w:lang w:val="en-US"/>
        </w:rPr>
        <w:t>v1.6.0: includes comments made during review period prior to TSGs#24</w:t>
      </w:r>
    </w:p>
    <w:p w:rsidR="00067741" w:rsidRPr="002B7F31" w:rsidRDefault="00067741" w:rsidP="00067741">
      <w:pPr>
        <w:pStyle w:val="FP"/>
        <w:ind w:right="-99"/>
        <w:jc w:val="right"/>
        <w:rPr>
          <w:vanish/>
          <w:sz w:val="12"/>
          <w:lang w:val="en-US"/>
        </w:rPr>
      </w:pPr>
      <w:r w:rsidRPr="002B7F31">
        <w:rPr>
          <w:vanish/>
          <w:sz w:val="12"/>
          <w:lang w:val="en-US"/>
        </w:rPr>
        <w:t>v1.5.0: includes comments made at TSGs#23 (Phoenix)</w:t>
      </w:r>
    </w:p>
    <w:p w:rsidR="00067741" w:rsidRPr="002B7F31" w:rsidRDefault="00067741" w:rsidP="00067741">
      <w:pPr>
        <w:pStyle w:val="FP"/>
        <w:ind w:right="-99"/>
        <w:jc w:val="right"/>
        <w:rPr>
          <w:vanish/>
          <w:sz w:val="12"/>
          <w:lang w:val="en-US"/>
        </w:rPr>
      </w:pPr>
      <w:r w:rsidRPr="002B7F31">
        <w:rPr>
          <w:vanish/>
          <w:sz w:val="12"/>
          <w:lang w:val="en-US"/>
        </w:rPr>
        <w:t>v1.4.0: offered to SA#23 for approval</w:t>
      </w:r>
    </w:p>
    <w:p w:rsidR="00067741" w:rsidRPr="002B7F31" w:rsidRDefault="00067741" w:rsidP="00067741">
      <w:pPr>
        <w:pStyle w:val="FP"/>
        <w:ind w:right="-99"/>
        <w:jc w:val="right"/>
        <w:rPr>
          <w:vanish/>
          <w:sz w:val="12"/>
          <w:lang w:val="en-US"/>
        </w:rPr>
      </w:pPr>
      <w:r w:rsidRPr="002B7F31">
        <w:rPr>
          <w:vanish/>
          <w:sz w:val="12"/>
          <w:lang w:val="en-US"/>
        </w:rPr>
        <w:t>v1.3.0: offered to CN#23, RAN#23 and T#23 for comments</w:t>
      </w:r>
    </w:p>
    <w:p w:rsidR="00067741" w:rsidRPr="002B7F31" w:rsidRDefault="00067741" w:rsidP="00067741">
      <w:pPr>
        <w:pStyle w:val="FP"/>
        <w:ind w:right="-99"/>
        <w:jc w:val="right"/>
        <w:rPr>
          <w:vanish/>
          <w:sz w:val="12"/>
          <w:lang w:val="en-US"/>
        </w:rPr>
      </w:pPr>
      <w:r w:rsidRPr="002B7F31">
        <w:rPr>
          <w:vanish/>
          <w:sz w:val="12"/>
          <w:lang w:val="en-US"/>
        </w:rPr>
        <w:t>DRAFT4 v1.3.0: 2004-03-09: Incorporation of comments from Leaders list</w:t>
      </w:r>
    </w:p>
    <w:p w:rsidR="00067741" w:rsidRPr="002B7F31" w:rsidRDefault="00067741" w:rsidP="00067741">
      <w:pPr>
        <w:pStyle w:val="FP"/>
        <w:ind w:right="-99"/>
        <w:jc w:val="right"/>
        <w:rPr>
          <w:vanish/>
          <w:sz w:val="12"/>
          <w:lang w:val="en-US"/>
        </w:rPr>
      </w:pPr>
      <w:r w:rsidRPr="002B7F31">
        <w:rPr>
          <w:vanish/>
          <w:sz w:val="12"/>
          <w:lang w:val="en-US"/>
        </w:rPr>
        <w:t>DRAFT3 v1.3.0: 2004-02-19: Incorporation of comments from MCC members</w:t>
      </w:r>
    </w:p>
    <w:p w:rsidR="00067741" w:rsidRPr="002B7F31" w:rsidRDefault="00067741" w:rsidP="00067741">
      <w:pPr>
        <w:pStyle w:val="FP"/>
        <w:ind w:right="-99"/>
        <w:jc w:val="right"/>
        <w:rPr>
          <w:vanish/>
          <w:sz w:val="12"/>
          <w:lang w:val="en-US"/>
        </w:rPr>
      </w:pPr>
      <w:r w:rsidRPr="002B7F31">
        <w:rPr>
          <w:vanish/>
          <w:sz w:val="12"/>
          <w:lang w:val="en-US"/>
        </w:rPr>
        <w:t>DRAFT2 v1.3.0: 2004-01-29: Complete redraft:</w:t>
      </w:r>
    </w:p>
    <w:p w:rsidR="00067741" w:rsidRPr="002B7F31" w:rsidRDefault="00067741" w:rsidP="00067741">
      <w:pPr>
        <w:pStyle w:val="FP"/>
        <w:ind w:right="-99"/>
        <w:jc w:val="right"/>
        <w:rPr>
          <w:vanish/>
          <w:sz w:val="12"/>
          <w:lang w:val="en-US"/>
        </w:rPr>
      </w:pPr>
      <w:r w:rsidRPr="002B7F31">
        <w:rPr>
          <w:vanish/>
          <w:sz w:val="12"/>
          <w:lang w:val="en-US"/>
        </w:rPr>
        <w:t>v1.2.0: 2002-07-04: "USIM" box changed to "UICC apps"</w:t>
      </w:r>
    </w:p>
    <w:p w:rsidR="00067741" w:rsidRPr="002B7F31" w:rsidRDefault="00067741" w:rsidP="00067741">
      <w:pPr>
        <w:pStyle w:val="FP"/>
        <w:ind w:right="-99"/>
        <w:jc w:val="right"/>
        <w:rPr>
          <w:vanish/>
          <w:sz w:val="12"/>
          <w:lang w:val="en-US"/>
        </w:rPr>
      </w:pPr>
      <w:r w:rsidRPr="002B7F31">
        <w:rPr>
          <w:vanish/>
          <w:sz w:val="12"/>
          <w:lang w:val="en-US"/>
        </w:rPr>
        <w:t>2003-05-28: spelling of “rapporteur” corrected</w:t>
      </w:r>
    </w:p>
    <w:p w:rsidR="00067741" w:rsidRPr="002B7F31" w:rsidRDefault="00067741" w:rsidP="00067741">
      <w:pPr>
        <w:pStyle w:val="FP"/>
        <w:ind w:right="-99"/>
        <w:jc w:val="right"/>
        <w:rPr>
          <w:vanish/>
          <w:sz w:val="12"/>
          <w:lang w:val="en-US"/>
        </w:rPr>
      </w:pPr>
      <w:r w:rsidRPr="002B7F31">
        <w:rPr>
          <w:vanish/>
          <w:sz w:val="12"/>
          <w:lang w:val="en-US"/>
        </w:rPr>
        <w:t>2002-07-04: "USIM" box changed to "UICC apps"</w:t>
      </w:r>
    </w:p>
    <w:p w:rsidR="00F41A27" w:rsidRPr="002B7F31" w:rsidRDefault="00F41A27" w:rsidP="00067741">
      <w:pPr>
        <w:pStyle w:val="FP"/>
        <w:ind w:right="-99"/>
        <w:jc w:val="right"/>
        <w:rPr>
          <w:vanish/>
          <w:sz w:val="12"/>
          <w:lang w:val="en-US"/>
        </w:rPr>
      </w:pPr>
    </w:p>
    <w:sectPr w:rsidR="00F41A27" w:rsidRPr="002B7F31"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278C" w:rsidRDefault="009B278C">
      <w:r>
        <w:separator/>
      </w:r>
    </w:p>
  </w:endnote>
  <w:endnote w:type="continuationSeparator" w:id="0">
    <w:p w:rsidR="009B278C" w:rsidRDefault="009B2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278C" w:rsidRDefault="009B278C">
      <w:r>
        <w:separator/>
      </w:r>
    </w:p>
  </w:footnote>
  <w:footnote w:type="continuationSeparator" w:id="0">
    <w:p w:rsidR="009B278C" w:rsidRDefault="009B278C">
      <w:r>
        <w:continuationSeparator/>
      </w:r>
    </w:p>
  </w:footnote>
  <w:footnote w:id="1">
    <w:p w:rsidR="006F5E25" w:rsidRPr="00C0274E" w:rsidRDefault="006F5E25" w:rsidP="00C82E55">
      <w:pPr>
        <w:pStyle w:val="FootnoteText"/>
        <w:rPr>
          <w:lang w:val="en-US"/>
        </w:rPr>
      </w:pPr>
      <w:r>
        <w:rPr>
          <w:rStyle w:val="FootnoteReference"/>
        </w:rPr>
        <w:footnoteRef/>
      </w:r>
      <w:r>
        <w:t xml:space="preserve"> </w:t>
      </w:r>
      <w:r>
        <w:tab/>
      </w:r>
      <w:r>
        <w:rPr>
          <w:lang w:val="en-US"/>
        </w:rPr>
        <w:t xml:space="preserve">See U.S. DoE Building Energy Data Book Table 5.2.7, available at </w:t>
      </w:r>
      <w:hyperlink r:id="rId1" w:history="1">
        <w:r w:rsidRPr="002A4162">
          <w:rPr>
            <w:rStyle w:val="Hyperlink"/>
            <w:lang w:val="en-US"/>
          </w:rPr>
          <w:t>http://buildingsdatabook.eren.doe.gov/TableView.aspx?table=5.2.7</w:t>
        </w:r>
      </w:hyperlink>
    </w:p>
  </w:footnote>
  <w:footnote w:id="2">
    <w:p w:rsidR="006F5E25" w:rsidRPr="00094C29" w:rsidRDefault="006F5E25" w:rsidP="00C82E55">
      <w:pPr>
        <w:pStyle w:val="FootnoteText"/>
        <w:rPr>
          <w:lang w:val="en-US"/>
        </w:rPr>
      </w:pPr>
      <w:r>
        <w:rPr>
          <w:rStyle w:val="FootnoteReference"/>
        </w:rPr>
        <w:footnoteRef/>
      </w:r>
      <w:r>
        <w:t xml:space="preserve"> </w:t>
      </w:r>
      <w:r>
        <w:tab/>
      </w:r>
      <w:r>
        <w:rPr>
          <w:lang w:val="en-US"/>
        </w:rPr>
        <w:t xml:space="preserve">See U.S. DoE Building Energy Data Book Table 5.2.6, available at </w:t>
      </w:r>
      <w:hyperlink r:id="rId2" w:history="1">
        <w:r w:rsidRPr="002A4162">
          <w:rPr>
            <w:rStyle w:val="Hyperlink"/>
            <w:lang w:val="en-US"/>
          </w:rPr>
          <w:t>http://buildingsdatabook.eren.doe.gov/TableView.aspx?table=5.2.6</w:t>
        </w:r>
      </w:hyperlink>
      <w:r>
        <w:rPr>
          <w:lang w:val="en-US"/>
        </w:rPr>
        <w:t xml:space="preserve">  </w:t>
      </w:r>
    </w:p>
  </w:footnote>
  <w:footnote w:id="3">
    <w:p w:rsidR="006F5E25" w:rsidRPr="00772B2F" w:rsidRDefault="006F5E25" w:rsidP="00C82E55">
      <w:pPr>
        <w:pStyle w:val="FootnoteText"/>
      </w:pPr>
      <w:r>
        <w:rPr>
          <w:rStyle w:val="FootnoteReference"/>
        </w:rPr>
        <w:footnoteRef/>
      </w:r>
      <w:r>
        <w:t xml:space="preserve"> </w:t>
      </w:r>
      <w:r>
        <w:tab/>
        <w:t>The total square footage of the U.S. residential homes is 223.9 billion according to U.S. EIA RECS 2009. The total square footage of the U.S. commercial buildings is 87 billion according to U.S. EIA CBECS 2012.</w:t>
      </w:r>
    </w:p>
  </w:footnote>
  <w:footnote w:id="4">
    <w:p w:rsidR="0020508B" w:rsidRPr="0020059C" w:rsidRDefault="0020508B" w:rsidP="0020508B">
      <w:pPr>
        <w:pStyle w:val="FootnoteText"/>
        <w:rPr>
          <w:lang w:val="en-US"/>
        </w:rPr>
      </w:pPr>
      <w:r>
        <w:rPr>
          <w:rStyle w:val="FootnoteReference"/>
        </w:rPr>
        <w:footnoteRef/>
      </w:r>
      <w:r>
        <w:t xml:space="preserve"> </w:t>
      </w:r>
      <w:r>
        <w:tab/>
      </w:r>
      <w:r>
        <w:rPr>
          <w:lang w:val="en-US"/>
        </w:rPr>
        <w:t xml:space="preserve">See U.S. DoE Building Energy Data Book Table 5.2.7, available at </w:t>
      </w:r>
      <w:hyperlink r:id="rId3" w:history="1">
        <w:r w:rsidRPr="002A4162">
          <w:rPr>
            <w:rStyle w:val="Hyperlink"/>
            <w:lang w:val="en-US"/>
          </w:rPr>
          <w:t>http://buildingsdatabook.eren.doe.gov/TableView.aspx?table=5.2.7</w:t>
        </w:r>
      </w:hyperlink>
    </w:p>
  </w:footnote>
  <w:footnote w:id="5">
    <w:p w:rsidR="0020508B" w:rsidRPr="009F2A72" w:rsidRDefault="0020508B" w:rsidP="0020508B">
      <w:pPr>
        <w:pStyle w:val="FootnoteText"/>
        <w:rPr>
          <w:lang w:val="en-US"/>
        </w:rPr>
      </w:pPr>
      <w:r>
        <w:rPr>
          <w:rStyle w:val="FootnoteReference"/>
        </w:rPr>
        <w:footnoteRef/>
      </w:r>
      <w:r>
        <w:t xml:space="preserve"> </w:t>
      </w:r>
      <w:r>
        <w:tab/>
      </w:r>
      <w:r>
        <w:rPr>
          <w:lang w:val="en-US"/>
        </w:rPr>
        <w:t xml:space="preserve">See U.S. DoE Building Energy Data Book Table 5.2.5, available at </w:t>
      </w:r>
      <w:hyperlink r:id="rId4" w:history="1">
        <w:r w:rsidRPr="002A4162">
          <w:rPr>
            <w:rStyle w:val="Hyperlink"/>
            <w:lang w:val="en-US"/>
          </w:rPr>
          <w:t>http://buildingsdatabook.eren.doe.gov/TableView.aspx?table=5.2.5</w:t>
        </w:r>
      </w:hyperlink>
      <w:r>
        <w:rPr>
          <w:lang w:val="en-US"/>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46F6BE6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4F3F43"/>
    <w:multiLevelType w:val="hybridMultilevel"/>
    <w:tmpl w:val="1E80900A"/>
    <w:lvl w:ilvl="0" w:tplc="672A27C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D91BA3"/>
    <w:multiLevelType w:val="hybridMultilevel"/>
    <w:tmpl w:val="030E9600"/>
    <w:lvl w:ilvl="0" w:tplc="5E067CE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0D45FF"/>
    <w:multiLevelType w:val="hybridMultilevel"/>
    <w:tmpl w:val="8EDC10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2D6D40"/>
    <w:multiLevelType w:val="hybridMultilevel"/>
    <w:tmpl w:val="DB7A62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10E2633"/>
    <w:multiLevelType w:val="hybridMultilevel"/>
    <w:tmpl w:val="437EC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8AB121F"/>
    <w:multiLevelType w:val="hybridMultilevel"/>
    <w:tmpl w:val="1B701BCE"/>
    <w:lvl w:ilvl="0" w:tplc="9544E0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8EA70FE"/>
    <w:multiLevelType w:val="hybridMultilevel"/>
    <w:tmpl w:val="33D6199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4D2958C3"/>
    <w:multiLevelType w:val="hybridMultilevel"/>
    <w:tmpl w:val="E94E154C"/>
    <w:lvl w:ilvl="0" w:tplc="6AB2945A">
      <w:start w:val="1"/>
      <w:numFmt w:val="bullet"/>
      <w:lvlText w:val=""/>
      <w:lvlJc w:val="left"/>
      <w:pPr>
        <w:tabs>
          <w:tab w:val="num" w:pos="720"/>
        </w:tabs>
        <w:ind w:left="720" w:hanging="360"/>
      </w:pPr>
      <w:rPr>
        <w:rFonts w:ascii="Wingdings" w:hAnsi="Wingdings" w:hint="default"/>
      </w:rPr>
    </w:lvl>
    <w:lvl w:ilvl="1" w:tplc="C1E864EC" w:tentative="1">
      <w:start w:val="1"/>
      <w:numFmt w:val="bullet"/>
      <w:lvlText w:val=""/>
      <w:lvlJc w:val="left"/>
      <w:pPr>
        <w:tabs>
          <w:tab w:val="num" w:pos="1440"/>
        </w:tabs>
        <w:ind w:left="1440" w:hanging="360"/>
      </w:pPr>
      <w:rPr>
        <w:rFonts w:ascii="Wingdings" w:hAnsi="Wingdings" w:hint="default"/>
      </w:rPr>
    </w:lvl>
    <w:lvl w:ilvl="2" w:tplc="067E5C7A" w:tentative="1">
      <w:start w:val="1"/>
      <w:numFmt w:val="bullet"/>
      <w:lvlText w:val=""/>
      <w:lvlJc w:val="left"/>
      <w:pPr>
        <w:tabs>
          <w:tab w:val="num" w:pos="2160"/>
        </w:tabs>
        <w:ind w:left="2160" w:hanging="360"/>
      </w:pPr>
      <w:rPr>
        <w:rFonts w:ascii="Wingdings" w:hAnsi="Wingdings" w:hint="default"/>
      </w:rPr>
    </w:lvl>
    <w:lvl w:ilvl="3" w:tplc="4E0EDA46" w:tentative="1">
      <w:start w:val="1"/>
      <w:numFmt w:val="bullet"/>
      <w:lvlText w:val=""/>
      <w:lvlJc w:val="left"/>
      <w:pPr>
        <w:tabs>
          <w:tab w:val="num" w:pos="2880"/>
        </w:tabs>
        <w:ind w:left="2880" w:hanging="360"/>
      </w:pPr>
      <w:rPr>
        <w:rFonts w:ascii="Wingdings" w:hAnsi="Wingdings" w:hint="default"/>
      </w:rPr>
    </w:lvl>
    <w:lvl w:ilvl="4" w:tplc="635C27F0" w:tentative="1">
      <w:start w:val="1"/>
      <w:numFmt w:val="bullet"/>
      <w:lvlText w:val=""/>
      <w:lvlJc w:val="left"/>
      <w:pPr>
        <w:tabs>
          <w:tab w:val="num" w:pos="3600"/>
        </w:tabs>
        <w:ind w:left="3600" w:hanging="360"/>
      </w:pPr>
      <w:rPr>
        <w:rFonts w:ascii="Wingdings" w:hAnsi="Wingdings" w:hint="default"/>
      </w:rPr>
    </w:lvl>
    <w:lvl w:ilvl="5" w:tplc="6B2E34B0" w:tentative="1">
      <w:start w:val="1"/>
      <w:numFmt w:val="bullet"/>
      <w:lvlText w:val=""/>
      <w:lvlJc w:val="left"/>
      <w:pPr>
        <w:tabs>
          <w:tab w:val="num" w:pos="4320"/>
        </w:tabs>
        <w:ind w:left="4320" w:hanging="360"/>
      </w:pPr>
      <w:rPr>
        <w:rFonts w:ascii="Wingdings" w:hAnsi="Wingdings" w:hint="default"/>
      </w:rPr>
    </w:lvl>
    <w:lvl w:ilvl="6" w:tplc="C36EDE4C" w:tentative="1">
      <w:start w:val="1"/>
      <w:numFmt w:val="bullet"/>
      <w:lvlText w:val=""/>
      <w:lvlJc w:val="left"/>
      <w:pPr>
        <w:tabs>
          <w:tab w:val="num" w:pos="5040"/>
        </w:tabs>
        <w:ind w:left="5040" w:hanging="360"/>
      </w:pPr>
      <w:rPr>
        <w:rFonts w:ascii="Wingdings" w:hAnsi="Wingdings" w:hint="default"/>
      </w:rPr>
    </w:lvl>
    <w:lvl w:ilvl="7" w:tplc="B82E5612" w:tentative="1">
      <w:start w:val="1"/>
      <w:numFmt w:val="bullet"/>
      <w:lvlText w:val=""/>
      <w:lvlJc w:val="left"/>
      <w:pPr>
        <w:tabs>
          <w:tab w:val="num" w:pos="5760"/>
        </w:tabs>
        <w:ind w:left="5760" w:hanging="360"/>
      </w:pPr>
      <w:rPr>
        <w:rFonts w:ascii="Wingdings" w:hAnsi="Wingdings" w:hint="default"/>
      </w:rPr>
    </w:lvl>
    <w:lvl w:ilvl="8" w:tplc="7F74226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1242BAA"/>
    <w:multiLevelType w:val="hybridMultilevel"/>
    <w:tmpl w:val="C374AF84"/>
    <w:lvl w:ilvl="0" w:tplc="6FD001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5EDE3CB3"/>
    <w:multiLevelType w:val="hybridMultilevel"/>
    <w:tmpl w:val="2CA66874"/>
    <w:lvl w:ilvl="0" w:tplc="E9EA620E">
      <w:start w:val="1"/>
      <w:numFmt w:val="decimal"/>
      <w:lvlText w:val="%1."/>
      <w:lvlJc w:val="left"/>
      <w:pPr>
        <w:ind w:left="720" w:hanging="360"/>
      </w:pPr>
      <w:rPr>
        <w:rFonts w:hint="default"/>
      </w:rPr>
    </w:lvl>
    <w:lvl w:ilvl="1" w:tplc="12548D2A">
      <w:start w:val="1"/>
      <w:numFmt w:val="lowerLetter"/>
      <w:lvlText w:val="%2."/>
      <w:lvlJc w:val="left"/>
      <w:pPr>
        <w:ind w:left="1440" w:hanging="360"/>
      </w:pPr>
    </w:lvl>
    <w:lvl w:ilvl="2" w:tplc="F74CC54C">
      <w:start w:val="1"/>
      <w:numFmt w:val="lowerRoman"/>
      <w:lvlText w:val="%3."/>
      <w:lvlJc w:val="right"/>
      <w:pPr>
        <w:ind w:left="2160" w:hanging="180"/>
      </w:pPr>
    </w:lvl>
    <w:lvl w:ilvl="3" w:tplc="A2E4AB60">
      <w:start w:val="1"/>
      <w:numFmt w:val="lowerLetter"/>
      <w:lvlText w:val="%4)"/>
      <w:lvlJc w:val="left"/>
      <w:pPr>
        <w:ind w:left="2880" w:hanging="360"/>
      </w:pPr>
      <w:rPr>
        <w:rFonts w:hint="default"/>
      </w:rPr>
    </w:lvl>
    <w:lvl w:ilvl="4" w:tplc="0C2AE484" w:tentative="1">
      <w:start w:val="1"/>
      <w:numFmt w:val="lowerLetter"/>
      <w:lvlText w:val="%5."/>
      <w:lvlJc w:val="left"/>
      <w:pPr>
        <w:ind w:left="3600" w:hanging="360"/>
      </w:pPr>
    </w:lvl>
    <w:lvl w:ilvl="5" w:tplc="61FEBC00" w:tentative="1">
      <w:start w:val="1"/>
      <w:numFmt w:val="lowerRoman"/>
      <w:lvlText w:val="%6."/>
      <w:lvlJc w:val="right"/>
      <w:pPr>
        <w:ind w:left="4320" w:hanging="180"/>
      </w:pPr>
    </w:lvl>
    <w:lvl w:ilvl="6" w:tplc="D69A8A4C" w:tentative="1">
      <w:start w:val="1"/>
      <w:numFmt w:val="decimal"/>
      <w:lvlText w:val="%7."/>
      <w:lvlJc w:val="left"/>
      <w:pPr>
        <w:ind w:left="5040" w:hanging="360"/>
      </w:pPr>
    </w:lvl>
    <w:lvl w:ilvl="7" w:tplc="04023F28" w:tentative="1">
      <w:start w:val="1"/>
      <w:numFmt w:val="lowerLetter"/>
      <w:lvlText w:val="%8."/>
      <w:lvlJc w:val="left"/>
      <w:pPr>
        <w:ind w:left="5760" w:hanging="360"/>
      </w:pPr>
    </w:lvl>
    <w:lvl w:ilvl="8" w:tplc="5AC47E00" w:tentative="1">
      <w:start w:val="1"/>
      <w:numFmt w:val="lowerRoman"/>
      <w:lvlText w:val="%9."/>
      <w:lvlJc w:val="right"/>
      <w:pPr>
        <w:ind w:left="6480" w:hanging="180"/>
      </w:pPr>
    </w:lvl>
  </w:abstractNum>
  <w:abstractNum w:abstractNumId="16" w15:restartNumberingAfterBreak="0">
    <w:nsid w:val="752C74B0"/>
    <w:multiLevelType w:val="hybridMultilevel"/>
    <w:tmpl w:val="9B602196"/>
    <w:lvl w:ilvl="0" w:tplc="9BFC838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75B74D05"/>
    <w:multiLevelType w:val="hybridMultilevel"/>
    <w:tmpl w:val="0B143E2A"/>
    <w:lvl w:ilvl="0" w:tplc="00D4266C">
      <w:start w:val="1"/>
      <w:numFmt w:val="decimal"/>
      <w:lvlText w:val="%1."/>
      <w:lvlJc w:val="left"/>
      <w:pPr>
        <w:ind w:left="720" w:hanging="360"/>
      </w:pPr>
      <w:rPr>
        <w:rFonts w:hint="default"/>
      </w:rPr>
    </w:lvl>
    <w:lvl w:ilvl="1" w:tplc="45CABCDC">
      <w:start w:val="1"/>
      <w:numFmt w:val="lowerLetter"/>
      <w:lvlText w:val="%2."/>
      <w:lvlJc w:val="left"/>
      <w:pPr>
        <w:ind w:left="1440" w:hanging="360"/>
      </w:pPr>
      <w:rPr>
        <w:rFonts w:ascii="Times New Roman" w:eastAsia="SimSun" w:hAnsi="Times New Roman" w:cs="SimSun"/>
      </w:rPr>
    </w:lvl>
    <w:lvl w:ilvl="2" w:tplc="EE84D910">
      <w:start w:val="1"/>
      <w:numFmt w:val="lowerRoman"/>
      <w:lvlText w:val="%3."/>
      <w:lvlJc w:val="right"/>
      <w:pPr>
        <w:ind w:left="2160" w:hanging="180"/>
      </w:pPr>
    </w:lvl>
    <w:lvl w:ilvl="3" w:tplc="EAA8F37C">
      <w:start w:val="1"/>
      <w:numFmt w:val="lowerLetter"/>
      <w:lvlText w:val="%4)"/>
      <w:lvlJc w:val="left"/>
      <w:pPr>
        <w:ind w:left="2880" w:hanging="360"/>
      </w:pPr>
      <w:rPr>
        <w:rFonts w:hint="default"/>
      </w:rPr>
    </w:lvl>
    <w:lvl w:ilvl="4" w:tplc="968AC3FC" w:tentative="1">
      <w:start w:val="1"/>
      <w:numFmt w:val="lowerLetter"/>
      <w:lvlText w:val="%5."/>
      <w:lvlJc w:val="left"/>
      <w:pPr>
        <w:ind w:left="3600" w:hanging="360"/>
      </w:pPr>
    </w:lvl>
    <w:lvl w:ilvl="5" w:tplc="2C843E8C" w:tentative="1">
      <w:start w:val="1"/>
      <w:numFmt w:val="lowerRoman"/>
      <w:lvlText w:val="%6."/>
      <w:lvlJc w:val="right"/>
      <w:pPr>
        <w:ind w:left="4320" w:hanging="180"/>
      </w:pPr>
    </w:lvl>
    <w:lvl w:ilvl="6" w:tplc="EE0CDDEC" w:tentative="1">
      <w:start w:val="1"/>
      <w:numFmt w:val="decimal"/>
      <w:lvlText w:val="%7."/>
      <w:lvlJc w:val="left"/>
      <w:pPr>
        <w:ind w:left="5040" w:hanging="360"/>
      </w:pPr>
    </w:lvl>
    <w:lvl w:ilvl="7" w:tplc="60341360" w:tentative="1">
      <w:start w:val="1"/>
      <w:numFmt w:val="lowerLetter"/>
      <w:lvlText w:val="%8."/>
      <w:lvlJc w:val="left"/>
      <w:pPr>
        <w:ind w:left="5760" w:hanging="360"/>
      </w:pPr>
    </w:lvl>
    <w:lvl w:ilvl="8" w:tplc="C298F776" w:tentative="1">
      <w:start w:val="1"/>
      <w:numFmt w:val="lowerRoman"/>
      <w:lvlText w:val="%9."/>
      <w:lvlJc w:val="right"/>
      <w:pPr>
        <w:ind w:left="6480" w:hanging="180"/>
      </w:pPr>
    </w:lvl>
  </w:abstractNum>
  <w:abstractNum w:abstractNumId="18" w15:restartNumberingAfterBreak="0">
    <w:nsid w:val="79224F77"/>
    <w:multiLevelType w:val="hybridMultilevel"/>
    <w:tmpl w:val="20469844"/>
    <w:lvl w:ilvl="0" w:tplc="F8E2A3F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D374CC"/>
    <w:multiLevelType w:val="hybridMultilevel"/>
    <w:tmpl w:val="27E4B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1" w15:restartNumberingAfterBreak="0">
    <w:nsid w:val="7EB35A33"/>
    <w:multiLevelType w:val="hybridMultilevel"/>
    <w:tmpl w:val="249865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7"/>
  </w:num>
  <w:num w:numId="5">
    <w:abstractNumId w:val="20"/>
  </w:num>
  <w:num w:numId="6">
    <w:abstractNumId w:val="19"/>
  </w:num>
  <w:num w:numId="7">
    <w:abstractNumId w:val="6"/>
  </w:num>
  <w:num w:numId="8">
    <w:abstractNumId w:val="10"/>
  </w:num>
  <w:num w:numId="9">
    <w:abstractNumId w:val="18"/>
  </w:num>
  <w:num w:numId="10">
    <w:abstractNumId w:val="21"/>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9"/>
  </w:num>
  <w:num w:numId="14">
    <w:abstractNumId w:val="8"/>
    <w:lvlOverride w:ilvl="0">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3"/>
  </w:num>
  <w:num w:numId="18">
    <w:abstractNumId w:val="15"/>
  </w:num>
  <w:num w:numId="19">
    <w:abstractNumId w:val="17"/>
  </w:num>
  <w:num w:numId="20">
    <w:abstractNumId w:val="11"/>
  </w:num>
  <w:num w:numId="21">
    <w:abstractNumId w:val="4"/>
  </w:num>
  <w:num w:numId="22">
    <w:abstractNumId w:val="12"/>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4664"/>
    <w:rsid w:val="000205C5"/>
    <w:rsid w:val="00020D74"/>
    <w:rsid w:val="00022861"/>
    <w:rsid w:val="00023749"/>
    <w:rsid w:val="000313F2"/>
    <w:rsid w:val="0003197E"/>
    <w:rsid w:val="000366CE"/>
    <w:rsid w:val="00037C06"/>
    <w:rsid w:val="00040269"/>
    <w:rsid w:val="000409FA"/>
    <w:rsid w:val="000427AF"/>
    <w:rsid w:val="0004365A"/>
    <w:rsid w:val="00043CA6"/>
    <w:rsid w:val="000462E5"/>
    <w:rsid w:val="00047BEC"/>
    <w:rsid w:val="00050CD2"/>
    <w:rsid w:val="00051AD7"/>
    <w:rsid w:val="00052BF8"/>
    <w:rsid w:val="000549B1"/>
    <w:rsid w:val="0005503D"/>
    <w:rsid w:val="00057116"/>
    <w:rsid w:val="00060D30"/>
    <w:rsid w:val="00063634"/>
    <w:rsid w:val="00067741"/>
    <w:rsid w:val="000706C0"/>
    <w:rsid w:val="00072E8A"/>
    <w:rsid w:val="00074786"/>
    <w:rsid w:val="000808FB"/>
    <w:rsid w:val="00081428"/>
    <w:rsid w:val="000817FD"/>
    <w:rsid w:val="00090951"/>
    <w:rsid w:val="00091115"/>
    <w:rsid w:val="00094C29"/>
    <w:rsid w:val="00096CD0"/>
    <w:rsid w:val="000B0519"/>
    <w:rsid w:val="000B2810"/>
    <w:rsid w:val="000B37D2"/>
    <w:rsid w:val="000B61FD"/>
    <w:rsid w:val="000C0643"/>
    <w:rsid w:val="000C3FE0"/>
    <w:rsid w:val="000C62E7"/>
    <w:rsid w:val="000D23E5"/>
    <w:rsid w:val="000D4EB3"/>
    <w:rsid w:val="000D56EB"/>
    <w:rsid w:val="000E40F4"/>
    <w:rsid w:val="000E55AD"/>
    <w:rsid w:val="000E7EBB"/>
    <w:rsid w:val="000F37E8"/>
    <w:rsid w:val="000F5445"/>
    <w:rsid w:val="000F7165"/>
    <w:rsid w:val="00104688"/>
    <w:rsid w:val="00106B55"/>
    <w:rsid w:val="00116938"/>
    <w:rsid w:val="0011743D"/>
    <w:rsid w:val="00121018"/>
    <w:rsid w:val="00123F67"/>
    <w:rsid w:val="001300E0"/>
    <w:rsid w:val="0013253D"/>
    <w:rsid w:val="0013313F"/>
    <w:rsid w:val="00134CD0"/>
    <w:rsid w:val="0013663B"/>
    <w:rsid w:val="00143971"/>
    <w:rsid w:val="00146E7E"/>
    <w:rsid w:val="0015401A"/>
    <w:rsid w:val="00154E87"/>
    <w:rsid w:val="00156F7B"/>
    <w:rsid w:val="001648BE"/>
    <w:rsid w:val="00171F00"/>
    <w:rsid w:val="001734E3"/>
    <w:rsid w:val="0017521D"/>
    <w:rsid w:val="001762A9"/>
    <w:rsid w:val="00184373"/>
    <w:rsid w:val="00184B5E"/>
    <w:rsid w:val="00195ADC"/>
    <w:rsid w:val="001A147B"/>
    <w:rsid w:val="001A2A26"/>
    <w:rsid w:val="001A373A"/>
    <w:rsid w:val="001A5A16"/>
    <w:rsid w:val="001B5709"/>
    <w:rsid w:val="001B6A1B"/>
    <w:rsid w:val="001B6FBA"/>
    <w:rsid w:val="001C1976"/>
    <w:rsid w:val="001C520B"/>
    <w:rsid w:val="001C59CC"/>
    <w:rsid w:val="001C5C86"/>
    <w:rsid w:val="001C62D2"/>
    <w:rsid w:val="001D2A34"/>
    <w:rsid w:val="001E0351"/>
    <w:rsid w:val="001E1D53"/>
    <w:rsid w:val="001E2740"/>
    <w:rsid w:val="001E2924"/>
    <w:rsid w:val="001E5078"/>
    <w:rsid w:val="001F2A12"/>
    <w:rsid w:val="002000C2"/>
    <w:rsid w:val="0020059C"/>
    <w:rsid w:val="0020508B"/>
    <w:rsid w:val="0021544E"/>
    <w:rsid w:val="00216A9A"/>
    <w:rsid w:val="00216C1D"/>
    <w:rsid w:val="0022038E"/>
    <w:rsid w:val="00221B83"/>
    <w:rsid w:val="00222908"/>
    <w:rsid w:val="002243D3"/>
    <w:rsid w:val="002310D8"/>
    <w:rsid w:val="00233769"/>
    <w:rsid w:val="00233AC3"/>
    <w:rsid w:val="00234A05"/>
    <w:rsid w:val="00240D86"/>
    <w:rsid w:val="0024786B"/>
    <w:rsid w:val="00251ED1"/>
    <w:rsid w:val="002574A6"/>
    <w:rsid w:val="00264667"/>
    <w:rsid w:val="00271C7D"/>
    <w:rsid w:val="002728A6"/>
    <w:rsid w:val="00276416"/>
    <w:rsid w:val="0028043F"/>
    <w:rsid w:val="00280EA0"/>
    <w:rsid w:val="0028150E"/>
    <w:rsid w:val="002843BD"/>
    <w:rsid w:val="002A17BE"/>
    <w:rsid w:val="002B0C22"/>
    <w:rsid w:val="002B2511"/>
    <w:rsid w:val="002B5F9B"/>
    <w:rsid w:val="002B6DD1"/>
    <w:rsid w:val="002B7F31"/>
    <w:rsid w:val="002C0F0A"/>
    <w:rsid w:val="002C4B71"/>
    <w:rsid w:val="002C4FB4"/>
    <w:rsid w:val="002C6F14"/>
    <w:rsid w:val="002D4462"/>
    <w:rsid w:val="002D5D01"/>
    <w:rsid w:val="002D650D"/>
    <w:rsid w:val="002E158A"/>
    <w:rsid w:val="002E18E8"/>
    <w:rsid w:val="002E37D4"/>
    <w:rsid w:val="002E4CF2"/>
    <w:rsid w:val="002E7A9E"/>
    <w:rsid w:val="002F116A"/>
    <w:rsid w:val="002F702A"/>
    <w:rsid w:val="0030225B"/>
    <w:rsid w:val="00303CFE"/>
    <w:rsid w:val="00317E01"/>
    <w:rsid w:val="003205AD"/>
    <w:rsid w:val="00321071"/>
    <w:rsid w:val="003255C0"/>
    <w:rsid w:val="00325CBE"/>
    <w:rsid w:val="00327029"/>
    <w:rsid w:val="0032747D"/>
    <w:rsid w:val="00334D9E"/>
    <w:rsid w:val="00335FA1"/>
    <w:rsid w:val="00335FB2"/>
    <w:rsid w:val="003360AB"/>
    <w:rsid w:val="00337C20"/>
    <w:rsid w:val="00344158"/>
    <w:rsid w:val="0034526B"/>
    <w:rsid w:val="003518AA"/>
    <w:rsid w:val="00353396"/>
    <w:rsid w:val="003535DD"/>
    <w:rsid w:val="003634BF"/>
    <w:rsid w:val="003653B7"/>
    <w:rsid w:val="003863EA"/>
    <w:rsid w:val="00394F91"/>
    <w:rsid w:val="003A1EB0"/>
    <w:rsid w:val="003A413F"/>
    <w:rsid w:val="003A4CF7"/>
    <w:rsid w:val="003A5AC9"/>
    <w:rsid w:val="003B0762"/>
    <w:rsid w:val="003B51EF"/>
    <w:rsid w:val="003B545E"/>
    <w:rsid w:val="003B625C"/>
    <w:rsid w:val="003B76A6"/>
    <w:rsid w:val="003C052C"/>
    <w:rsid w:val="003C3894"/>
    <w:rsid w:val="003C6236"/>
    <w:rsid w:val="003C6DA6"/>
    <w:rsid w:val="003D0187"/>
    <w:rsid w:val="003D4C13"/>
    <w:rsid w:val="003D67F4"/>
    <w:rsid w:val="003D7907"/>
    <w:rsid w:val="003E0EE3"/>
    <w:rsid w:val="003E2747"/>
    <w:rsid w:val="003E2B4C"/>
    <w:rsid w:val="003E6FE6"/>
    <w:rsid w:val="003F0C1F"/>
    <w:rsid w:val="003F268E"/>
    <w:rsid w:val="003F2A96"/>
    <w:rsid w:val="003F7B3D"/>
    <w:rsid w:val="004029EF"/>
    <w:rsid w:val="00425181"/>
    <w:rsid w:val="00431FE7"/>
    <w:rsid w:val="00433292"/>
    <w:rsid w:val="0043745F"/>
    <w:rsid w:val="0044029F"/>
    <w:rsid w:val="00440FED"/>
    <w:rsid w:val="00445A6F"/>
    <w:rsid w:val="004461BB"/>
    <w:rsid w:val="004516D0"/>
    <w:rsid w:val="004544B7"/>
    <w:rsid w:val="00455700"/>
    <w:rsid w:val="0045600C"/>
    <w:rsid w:val="00460DCB"/>
    <w:rsid w:val="00461413"/>
    <w:rsid w:val="004649FC"/>
    <w:rsid w:val="0048013A"/>
    <w:rsid w:val="0048267C"/>
    <w:rsid w:val="00482EBD"/>
    <w:rsid w:val="004876B9"/>
    <w:rsid w:val="004922D6"/>
    <w:rsid w:val="004923CF"/>
    <w:rsid w:val="00493A79"/>
    <w:rsid w:val="004A1273"/>
    <w:rsid w:val="004A5183"/>
    <w:rsid w:val="004A6A60"/>
    <w:rsid w:val="004A7209"/>
    <w:rsid w:val="004B65E7"/>
    <w:rsid w:val="004B6F52"/>
    <w:rsid w:val="004C7921"/>
    <w:rsid w:val="004D4B67"/>
    <w:rsid w:val="004E1BE5"/>
    <w:rsid w:val="004E31AC"/>
    <w:rsid w:val="004E3261"/>
    <w:rsid w:val="004E502C"/>
    <w:rsid w:val="004E6F8A"/>
    <w:rsid w:val="004F1EF0"/>
    <w:rsid w:val="00506635"/>
    <w:rsid w:val="00506E42"/>
    <w:rsid w:val="005151ED"/>
    <w:rsid w:val="00517E5C"/>
    <w:rsid w:val="00524640"/>
    <w:rsid w:val="00525296"/>
    <w:rsid w:val="00530477"/>
    <w:rsid w:val="00533EC8"/>
    <w:rsid w:val="005350A7"/>
    <w:rsid w:val="00536E18"/>
    <w:rsid w:val="0055160F"/>
    <w:rsid w:val="00552198"/>
    <w:rsid w:val="00554434"/>
    <w:rsid w:val="0055608A"/>
    <w:rsid w:val="005567EC"/>
    <w:rsid w:val="005573BB"/>
    <w:rsid w:val="00557B2E"/>
    <w:rsid w:val="00561267"/>
    <w:rsid w:val="00564B04"/>
    <w:rsid w:val="00566463"/>
    <w:rsid w:val="00571971"/>
    <w:rsid w:val="005735A5"/>
    <w:rsid w:val="00590087"/>
    <w:rsid w:val="00590C9D"/>
    <w:rsid w:val="005943C2"/>
    <w:rsid w:val="005A2BDB"/>
    <w:rsid w:val="005A6256"/>
    <w:rsid w:val="005A7A24"/>
    <w:rsid w:val="005B4E40"/>
    <w:rsid w:val="005B60D7"/>
    <w:rsid w:val="005C0314"/>
    <w:rsid w:val="005C4449"/>
    <w:rsid w:val="005C4F58"/>
    <w:rsid w:val="005D08B9"/>
    <w:rsid w:val="005D3FEC"/>
    <w:rsid w:val="005D43C5"/>
    <w:rsid w:val="005D44BE"/>
    <w:rsid w:val="005E7357"/>
    <w:rsid w:val="005F1C57"/>
    <w:rsid w:val="005F4E0C"/>
    <w:rsid w:val="006065C8"/>
    <w:rsid w:val="00606DA5"/>
    <w:rsid w:val="00607B7D"/>
    <w:rsid w:val="00611EC4"/>
    <w:rsid w:val="00620B3F"/>
    <w:rsid w:val="00620F6A"/>
    <w:rsid w:val="006212CA"/>
    <w:rsid w:val="00626AD7"/>
    <w:rsid w:val="006273DD"/>
    <w:rsid w:val="00634718"/>
    <w:rsid w:val="0063528D"/>
    <w:rsid w:val="006418C6"/>
    <w:rsid w:val="006449F1"/>
    <w:rsid w:val="00647B70"/>
    <w:rsid w:val="00650AB5"/>
    <w:rsid w:val="006515C6"/>
    <w:rsid w:val="00651C56"/>
    <w:rsid w:val="00654893"/>
    <w:rsid w:val="006601CA"/>
    <w:rsid w:val="006628D8"/>
    <w:rsid w:val="0066374B"/>
    <w:rsid w:val="00667424"/>
    <w:rsid w:val="006718F4"/>
    <w:rsid w:val="00671BBB"/>
    <w:rsid w:val="00677D16"/>
    <w:rsid w:val="00680536"/>
    <w:rsid w:val="00682237"/>
    <w:rsid w:val="00682B74"/>
    <w:rsid w:val="0068499E"/>
    <w:rsid w:val="00691EF9"/>
    <w:rsid w:val="00692641"/>
    <w:rsid w:val="00692CFE"/>
    <w:rsid w:val="006941F6"/>
    <w:rsid w:val="006A6EB2"/>
    <w:rsid w:val="006A7484"/>
    <w:rsid w:val="006B4280"/>
    <w:rsid w:val="006B45EC"/>
    <w:rsid w:val="006B751A"/>
    <w:rsid w:val="006C07DF"/>
    <w:rsid w:val="006C161B"/>
    <w:rsid w:val="006C60DF"/>
    <w:rsid w:val="006D4652"/>
    <w:rsid w:val="006D7878"/>
    <w:rsid w:val="006E024A"/>
    <w:rsid w:val="006E60BF"/>
    <w:rsid w:val="006E7F21"/>
    <w:rsid w:val="006F105B"/>
    <w:rsid w:val="006F451B"/>
    <w:rsid w:val="006F5E25"/>
    <w:rsid w:val="006F6897"/>
    <w:rsid w:val="007001E3"/>
    <w:rsid w:val="00703303"/>
    <w:rsid w:val="00704457"/>
    <w:rsid w:val="00705787"/>
    <w:rsid w:val="007067AA"/>
    <w:rsid w:val="00707673"/>
    <w:rsid w:val="007211CD"/>
    <w:rsid w:val="00721655"/>
    <w:rsid w:val="00723E8B"/>
    <w:rsid w:val="0072442A"/>
    <w:rsid w:val="00726BBF"/>
    <w:rsid w:val="00731F5F"/>
    <w:rsid w:val="00734A52"/>
    <w:rsid w:val="007422B6"/>
    <w:rsid w:val="0074749E"/>
    <w:rsid w:val="007520CE"/>
    <w:rsid w:val="0075252A"/>
    <w:rsid w:val="00764B84"/>
    <w:rsid w:val="00765FFF"/>
    <w:rsid w:val="007671E6"/>
    <w:rsid w:val="007705E7"/>
    <w:rsid w:val="00772B2F"/>
    <w:rsid w:val="00773835"/>
    <w:rsid w:val="00776FE4"/>
    <w:rsid w:val="0078020F"/>
    <w:rsid w:val="0078034D"/>
    <w:rsid w:val="00790BCC"/>
    <w:rsid w:val="00792A11"/>
    <w:rsid w:val="007974F5"/>
    <w:rsid w:val="00797D13"/>
    <w:rsid w:val="007A3C17"/>
    <w:rsid w:val="007A6C9E"/>
    <w:rsid w:val="007B00F1"/>
    <w:rsid w:val="007B0A05"/>
    <w:rsid w:val="007B0F49"/>
    <w:rsid w:val="007B1EB7"/>
    <w:rsid w:val="007B3BC9"/>
    <w:rsid w:val="007B5056"/>
    <w:rsid w:val="007B5788"/>
    <w:rsid w:val="007C2F43"/>
    <w:rsid w:val="007C6B48"/>
    <w:rsid w:val="007C7E14"/>
    <w:rsid w:val="007D78AA"/>
    <w:rsid w:val="007D7BD9"/>
    <w:rsid w:val="007E05D6"/>
    <w:rsid w:val="007E0887"/>
    <w:rsid w:val="007E36D8"/>
    <w:rsid w:val="007E3E33"/>
    <w:rsid w:val="007E47FA"/>
    <w:rsid w:val="007E4C8E"/>
    <w:rsid w:val="007F567B"/>
    <w:rsid w:val="007F7421"/>
    <w:rsid w:val="0080088A"/>
    <w:rsid w:val="00802183"/>
    <w:rsid w:val="00807547"/>
    <w:rsid w:val="00807DCC"/>
    <w:rsid w:val="008109C3"/>
    <w:rsid w:val="008149F4"/>
    <w:rsid w:val="0081617B"/>
    <w:rsid w:val="0081635F"/>
    <w:rsid w:val="008177B4"/>
    <w:rsid w:val="00820E41"/>
    <w:rsid w:val="008238E0"/>
    <w:rsid w:val="00825DF9"/>
    <w:rsid w:val="00833149"/>
    <w:rsid w:val="00847095"/>
    <w:rsid w:val="00851953"/>
    <w:rsid w:val="00853F45"/>
    <w:rsid w:val="008560B6"/>
    <w:rsid w:val="00856381"/>
    <w:rsid w:val="00857E34"/>
    <w:rsid w:val="00866F39"/>
    <w:rsid w:val="00872B0E"/>
    <w:rsid w:val="00875C47"/>
    <w:rsid w:val="0088222A"/>
    <w:rsid w:val="00890707"/>
    <w:rsid w:val="00897D1C"/>
    <w:rsid w:val="008A0E48"/>
    <w:rsid w:val="008A2A47"/>
    <w:rsid w:val="008A63EF"/>
    <w:rsid w:val="008A76FD"/>
    <w:rsid w:val="008B2D09"/>
    <w:rsid w:val="008B730E"/>
    <w:rsid w:val="008C2E08"/>
    <w:rsid w:val="008C537F"/>
    <w:rsid w:val="008C6792"/>
    <w:rsid w:val="008C7C48"/>
    <w:rsid w:val="008D05E5"/>
    <w:rsid w:val="008D3C26"/>
    <w:rsid w:val="008D658B"/>
    <w:rsid w:val="008D6D93"/>
    <w:rsid w:val="008E5EE3"/>
    <w:rsid w:val="008E70AB"/>
    <w:rsid w:val="008F7D8C"/>
    <w:rsid w:val="00900B06"/>
    <w:rsid w:val="009037E5"/>
    <w:rsid w:val="009054A0"/>
    <w:rsid w:val="009070D8"/>
    <w:rsid w:val="00910F64"/>
    <w:rsid w:val="009134D4"/>
    <w:rsid w:val="009213E3"/>
    <w:rsid w:val="00922568"/>
    <w:rsid w:val="00924C40"/>
    <w:rsid w:val="0093526E"/>
    <w:rsid w:val="00935B23"/>
    <w:rsid w:val="009437A2"/>
    <w:rsid w:val="00944B28"/>
    <w:rsid w:val="00950541"/>
    <w:rsid w:val="00953C02"/>
    <w:rsid w:val="00977016"/>
    <w:rsid w:val="009855A3"/>
    <w:rsid w:val="00985B73"/>
    <w:rsid w:val="00986D94"/>
    <w:rsid w:val="009870A7"/>
    <w:rsid w:val="009918C5"/>
    <w:rsid w:val="00991ED7"/>
    <w:rsid w:val="00997354"/>
    <w:rsid w:val="009A3BC4"/>
    <w:rsid w:val="009A7077"/>
    <w:rsid w:val="009B1936"/>
    <w:rsid w:val="009B278C"/>
    <w:rsid w:val="009B40AC"/>
    <w:rsid w:val="009D5B45"/>
    <w:rsid w:val="009E2839"/>
    <w:rsid w:val="009E4F1C"/>
    <w:rsid w:val="009F0D51"/>
    <w:rsid w:val="009F29DC"/>
    <w:rsid w:val="009F2A72"/>
    <w:rsid w:val="009F448C"/>
    <w:rsid w:val="009F7ADB"/>
    <w:rsid w:val="00A07B86"/>
    <w:rsid w:val="00A10539"/>
    <w:rsid w:val="00A11596"/>
    <w:rsid w:val="00A14E84"/>
    <w:rsid w:val="00A15763"/>
    <w:rsid w:val="00A16216"/>
    <w:rsid w:val="00A17220"/>
    <w:rsid w:val="00A17CA3"/>
    <w:rsid w:val="00A21E2E"/>
    <w:rsid w:val="00A2266D"/>
    <w:rsid w:val="00A23F5C"/>
    <w:rsid w:val="00A2411A"/>
    <w:rsid w:val="00A338A3"/>
    <w:rsid w:val="00A36378"/>
    <w:rsid w:val="00A40CBC"/>
    <w:rsid w:val="00A5385F"/>
    <w:rsid w:val="00A53AD9"/>
    <w:rsid w:val="00A554C2"/>
    <w:rsid w:val="00A55537"/>
    <w:rsid w:val="00A574E7"/>
    <w:rsid w:val="00A579A6"/>
    <w:rsid w:val="00A61C16"/>
    <w:rsid w:val="00A62365"/>
    <w:rsid w:val="00A62995"/>
    <w:rsid w:val="00A64173"/>
    <w:rsid w:val="00A67391"/>
    <w:rsid w:val="00A70E1E"/>
    <w:rsid w:val="00A73C7C"/>
    <w:rsid w:val="00A740D0"/>
    <w:rsid w:val="00A76AA3"/>
    <w:rsid w:val="00A82209"/>
    <w:rsid w:val="00A83BAE"/>
    <w:rsid w:val="00A85D32"/>
    <w:rsid w:val="00A87DB4"/>
    <w:rsid w:val="00A96D58"/>
    <w:rsid w:val="00AA458D"/>
    <w:rsid w:val="00AA6A80"/>
    <w:rsid w:val="00AC0584"/>
    <w:rsid w:val="00AC0D12"/>
    <w:rsid w:val="00AC1207"/>
    <w:rsid w:val="00AC295C"/>
    <w:rsid w:val="00AC36FF"/>
    <w:rsid w:val="00AC5A37"/>
    <w:rsid w:val="00AD75A2"/>
    <w:rsid w:val="00AE18E0"/>
    <w:rsid w:val="00AE1BF7"/>
    <w:rsid w:val="00AE25BF"/>
    <w:rsid w:val="00AE4AF8"/>
    <w:rsid w:val="00AE54B6"/>
    <w:rsid w:val="00AE65B1"/>
    <w:rsid w:val="00AE782D"/>
    <w:rsid w:val="00AF36FD"/>
    <w:rsid w:val="00AF49E5"/>
    <w:rsid w:val="00B00AF4"/>
    <w:rsid w:val="00B03B82"/>
    <w:rsid w:val="00B03C01"/>
    <w:rsid w:val="00B05D99"/>
    <w:rsid w:val="00B06449"/>
    <w:rsid w:val="00B078D6"/>
    <w:rsid w:val="00B227F3"/>
    <w:rsid w:val="00B23405"/>
    <w:rsid w:val="00B25C91"/>
    <w:rsid w:val="00B3015C"/>
    <w:rsid w:val="00B352C2"/>
    <w:rsid w:val="00B3568B"/>
    <w:rsid w:val="00B376D8"/>
    <w:rsid w:val="00B4282E"/>
    <w:rsid w:val="00B46DE0"/>
    <w:rsid w:val="00B5233E"/>
    <w:rsid w:val="00B527A7"/>
    <w:rsid w:val="00B54752"/>
    <w:rsid w:val="00B5682C"/>
    <w:rsid w:val="00B66D7C"/>
    <w:rsid w:val="00B71FB9"/>
    <w:rsid w:val="00B749F8"/>
    <w:rsid w:val="00B75765"/>
    <w:rsid w:val="00B853A8"/>
    <w:rsid w:val="00B85BE7"/>
    <w:rsid w:val="00B86AE4"/>
    <w:rsid w:val="00B94C7C"/>
    <w:rsid w:val="00B95BFB"/>
    <w:rsid w:val="00B9642F"/>
    <w:rsid w:val="00B96A7C"/>
    <w:rsid w:val="00BA1D31"/>
    <w:rsid w:val="00BA3A53"/>
    <w:rsid w:val="00BA4095"/>
    <w:rsid w:val="00BA5B43"/>
    <w:rsid w:val="00BB01E3"/>
    <w:rsid w:val="00BB10C1"/>
    <w:rsid w:val="00BB475D"/>
    <w:rsid w:val="00BB5318"/>
    <w:rsid w:val="00BB7DFE"/>
    <w:rsid w:val="00BC642A"/>
    <w:rsid w:val="00BC661C"/>
    <w:rsid w:val="00BD4251"/>
    <w:rsid w:val="00BD5E8A"/>
    <w:rsid w:val="00BE1B14"/>
    <w:rsid w:val="00BE1BEC"/>
    <w:rsid w:val="00BE1D64"/>
    <w:rsid w:val="00BE3569"/>
    <w:rsid w:val="00BE6407"/>
    <w:rsid w:val="00BF3BAA"/>
    <w:rsid w:val="00BF7FEA"/>
    <w:rsid w:val="00C019DD"/>
    <w:rsid w:val="00C0274E"/>
    <w:rsid w:val="00C03EBC"/>
    <w:rsid w:val="00C06014"/>
    <w:rsid w:val="00C14D91"/>
    <w:rsid w:val="00C1548A"/>
    <w:rsid w:val="00C16236"/>
    <w:rsid w:val="00C21657"/>
    <w:rsid w:val="00C348D6"/>
    <w:rsid w:val="00C41F14"/>
    <w:rsid w:val="00C43D1E"/>
    <w:rsid w:val="00C50F7C"/>
    <w:rsid w:val="00C51441"/>
    <w:rsid w:val="00C51E06"/>
    <w:rsid w:val="00C57C50"/>
    <w:rsid w:val="00C57E6A"/>
    <w:rsid w:val="00C715CA"/>
    <w:rsid w:val="00C80E6D"/>
    <w:rsid w:val="00C810C2"/>
    <w:rsid w:val="00C82E55"/>
    <w:rsid w:val="00C90F39"/>
    <w:rsid w:val="00C91722"/>
    <w:rsid w:val="00C9184B"/>
    <w:rsid w:val="00CA22FD"/>
    <w:rsid w:val="00CA541B"/>
    <w:rsid w:val="00CA734F"/>
    <w:rsid w:val="00CA7B23"/>
    <w:rsid w:val="00CB454F"/>
    <w:rsid w:val="00CB5A3F"/>
    <w:rsid w:val="00CB6A90"/>
    <w:rsid w:val="00CC471B"/>
    <w:rsid w:val="00CC5335"/>
    <w:rsid w:val="00CC62EE"/>
    <w:rsid w:val="00CD0992"/>
    <w:rsid w:val="00CD1BEF"/>
    <w:rsid w:val="00CD48C7"/>
    <w:rsid w:val="00CD56FC"/>
    <w:rsid w:val="00CE2E54"/>
    <w:rsid w:val="00CE3B60"/>
    <w:rsid w:val="00CE6BA1"/>
    <w:rsid w:val="00CE7F53"/>
    <w:rsid w:val="00CF5065"/>
    <w:rsid w:val="00CF570F"/>
    <w:rsid w:val="00D0501B"/>
    <w:rsid w:val="00D070C1"/>
    <w:rsid w:val="00D164A1"/>
    <w:rsid w:val="00D20020"/>
    <w:rsid w:val="00D20E9E"/>
    <w:rsid w:val="00D20F14"/>
    <w:rsid w:val="00D23600"/>
    <w:rsid w:val="00D26371"/>
    <w:rsid w:val="00D331AD"/>
    <w:rsid w:val="00D34B54"/>
    <w:rsid w:val="00D37943"/>
    <w:rsid w:val="00D44FC8"/>
    <w:rsid w:val="00D52AD4"/>
    <w:rsid w:val="00D55B03"/>
    <w:rsid w:val="00D56675"/>
    <w:rsid w:val="00D61CBE"/>
    <w:rsid w:val="00D64456"/>
    <w:rsid w:val="00D652B4"/>
    <w:rsid w:val="00D71BB4"/>
    <w:rsid w:val="00D71F40"/>
    <w:rsid w:val="00D72AE7"/>
    <w:rsid w:val="00D74EF9"/>
    <w:rsid w:val="00D769AB"/>
    <w:rsid w:val="00D77416"/>
    <w:rsid w:val="00D864C2"/>
    <w:rsid w:val="00DA0A27"/>
    <w:rsid w:val="00DA11D0"/>
    <w:rsid w:val="00DA2C87"/>
    <w:rsid w:val="00DA3D2E"/>
    <w:rsid w:val="00DA48E6"/>
    <w:rsid w:val="00DA744C"/>
    <w:rsid w:val="00DA74F3"/>
    <w:rsid w:val="00DB4307"/>
    <w:rsid w:val="00DB6A05"/>
    <w:rsid w:val="00DC18CC"/>
    <w:rsid w:val="00DC7CC4"/>
    <w:rsid w:val="00DD11AB"/>
    <w:rsid w:val="00DD58B7"/>
    <w:rsid w:val="00DE3824"/>
    <w:rsid w:val="00DE4371"/>
    <w:rsid w:val="00DE67C7"/>
    <w:rsid w:val="00DF05AA"/>
    <w:rsid w:val="00DF1A11"/>
    <w:rsid w:val="00DF1DD2"/>
    <w:rsid w:val="00DF39DD"/>
    <w:rsid w:val="00DF40D0"/>
    <w:rsid w:val="00E033E0"/>
    <w:rsid w:val="00E04205"/>
    <w:rsid w:val="00E06C47"/>
    <w:rsid w:val="00E13875"/>
    <w:rsid w:val="00E13CB2"/>
    <w:rsid w:val="00E13DA2"/>
    <w:rsid w:val="00E16D63"/>
    <w:rsid w:val="00E16EBE"/>
    <w:rsid w:val="00E207DE"/>
    <w:rsid w:val="00E3284A"/>
    <w:rsid w:val="00E37C2F"/>
    <w:rsid w:val="00E434CB"/>
    <w:rsid w:val="00E51540"/>
    <w:rsid w:val="00E52469"/>
    <w:rsid w:val="00E601D4"/>
    <w:rsid w:val="00E60799"/>
    <w:rsid w:val="00E60E69"/>
    <w:rsid w:val="00E62B96"/>
    <w:rsid w:val="00E656A3"/>
    <w:rsid w:val="00E7462B"/>
    <w:rsid w:val="00E74819"/>
    <w:rsid w:val="00E75211"/>
    <w:rsid w:val="00E809BD"/>
    <w:rsid w:val="00E81097"/>
    <w:rsid w:val="00E87C63"/>
    <w:rsid w:val="00E90B85"/>
    <w:rsid w:val="00E91D9D"/>
    <w:rsid w:val="00E94F40"/>
    <w:rsid w:val="00EA57E8"/>
    <w:rsid w:val="00EA6001"/>
    <w:rsid w:val="00EB4956"/>
    <w:rsid w:val="00EB4D86"/>
    <w:rsid w:val="00EC2397"/>
    <w:rsid w:val="00EC4E68"/>
    <w:rsid w:val="00ED567B"/>
    <w:rsid w:val="00ED6055"/>
    <w:rsid w:val="00ED6C6D"/>
    <w:rsid w:val="00ED7A5B"/>
    <w:rsid w:val="00EE1AB4"/>
    <w:rsid w:val="00EE56F9"/>
    <w:rsid w:val="00EF3A47"/>
    <w:rsid w:val="00EF423F"/>
    <w:rsid w:val="00EF5453"/>
    <w:rsid w:val="00EF7740"/>
    <w:rsid w:val="00F071F4"/>
    <w:rsid w:val="00F11ED5"/>
    <w:rsid w:val="00F13FC0"/>
    <w:rsid w:val="00F1493C"/>
    <w:rsid w:val="00F1646E"/>
    <w:rsid w:val="00F214A7"/>
    <w:rsid w:val="00F23BC4"/>
    <w:rsid w:val="00F25CC9"/>
    <w:rsid w:val="00F32AD8"/>
    <w:rsid w:val="00F34B10"/>
    <w:rsid w:val="00F400F7"/>
    <w:rsid w:val="00F40B75"/>
    <w:rsid w:val="00F41A27"/>
    <w:rsid w:val="00F4338D"/>
    <w:rsid w:val="00F440D3"/>
    <w:rsid w:val="00F4590F"/>
    <w:rsid w:val="00F52B84"/>
    <w:rsid w:val="00F64994"/>
    <w:rsid w:val="00F65034"/>
    <w:rsid w:val="00F71806"/>
    <w:rsid w:val="00F72C19"/>
    <w:rsid w:val="00F75B5C"/>
    <w:rsid w:val="00F77E9B"/>
    <w:rsid w:val="00F815DB"/>
    <w:rsid w:val="00F8549B"/>
    <w:rsid w:val="00F86414"/>
    <w:rsid w:val="00F87787"/>
    <w:rsid w:val="00F9072B"/>
    <w:rsid w:val="00F917B9"/>
    <w:rsid w:val="00F921F1"/>
    <w:rsid w:val="00F927C5"/>
    <w:rsid w:val="00F946DF"/>
    <w:rsid w:val="00F94B99"/>
    <w:rsid w:val="00F95095"/>
    <w:rsid w:val="00FA2D22"/>
    <w:rsid w:val="00FA47FC"/>
    <w:rsid w:val="00FA4CE8"/>
    <w:rsid w:val="00FA4E7D"/>
    <w:rsid w:val="00FB14F2"/>
    <w:rsid w:val="00FB2BBE"/>
    <w:rsid w:val="00FB33B0"/>
    <w:rsid w:val="00FB4236"/>
    <w:rsid w:val="00FC0804"/>
    <w:rsid w:val="00FC1655"/>
    <w:rsid w:val="00FC3B6D"/>
    <w:rsid w:val="00FD3A4E"/>
    <w:rsid w:val="00FD69F5"/>
    <w:rsid w:val="00FD79B5"/>
    <w:rsid w:val="00FE5BAC"/>
    <w:rsid w:val="00FE73FA"/>
    <w:rsid w:val="00FE7CA9"/>
    <w:rsid w:val="00FF699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92BA480-39E2-4C00-9A6D-CC63F6786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0541"/>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9505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950541"/>
    <w:pPr>
      <w:pBdr>
        <w:top w:val="none" w:sz="0" w:space="0" w:color="auto"/>
      </w:pBdr>
      <w:spacing w:before="180"/>
      <w:outlineLvl w:val="1"/>
    </w:pPr>
    <w:rPr>
      <w:sz w:val="32"/>
    </w:rPr>
  </w:style>
  <w:style w:type="paragraph" w:styleId="Heading3">
    <w:name w:val="heading 3"/>
    <w:basedOn w:val="Heading2"/>
    <w:next w:val="Normal"/>
    <w:qFormat/>
    <w:rsid w:val="00950541"/>
    <w:pPr>
      <w:spacing w:before="120"/>
      <w:outlineLvl w:val="2"/>
    </w:pPr>
    <w:rPr>
      <w:sz w:val="28"/>
    </w:rPr>
  </w:style>
  <w:style w:type="paragraph" w:styleId="Heading4">
    <w:name w:val="heading 4"/>
    <w:basedOn w:val="Heading3"/>
    <w:next w:val="Normal"/>
    <w:qFormat/>
    <w:rsid w:val="00950541"/>
    <w:pPr>
      <w:ind w:left="1418" w:hanging="1418"/>
      <w:outlineLvl w:val="3"/>
    </w:pPr>
    <w:rPr>
      <w:sz w:val="24"/>
    </w:rPr>
  </w:style>
  <w:style w:type="paragraph" w:styleId="Heading5">
    <w:name w:val="heading 5"/>
    <w:basedOn w:val="Heading4"/>
    <w:next w:val="Normal"/>
    <w:qFormat/>
    <w:rsid w:val="00950541"/>
    <w:pPr>
      <w:ind w:left="1701" w:hanging="1701"/>
      <w:outlineLvl w:val="4"/>
    </w:pPr>
    <w:rPr>
      <w:sz w:val="22"/>
    </w:rPr>
  </w:style>
  <w:style w:type="paragraph" w:styleId="Heading6">
    <w:name w:val="heading 6"/>
    <w:basedOn w:val="H6"/>
    <w:next w:val="Normal"/>
    <w:qFormat/>
    <w:rsid w:val="00950541"/>
    <w:pPr>
      <w:outlineLvl w:val="5"/>
    </w:pPr>
  </w:style>
  <w:style w:type="paragraph" w:styleId="Heading7">
    <w:name w:val="heading 7"/>
    <w:basedOn w:val="H6"/>
    <w:next w:val="Normal"/>
    <w:qFormat/>
    <w:rsid w:val="00950541"/>
    <w:pPr>
      <w:outlineLvl w:val="6"/>
    </w:pPr>
  </w:style>
  <w:style w:type="paragraph" w:styleId="Heading8">
    <w:name w:val="heading 8"/>
    <w:basedOn w:val="Heading1"/>
    <w:next w:val="Normal"/>
    <w:qFormat/>
    <w:rsid w:val="00950541"/>
    <w:pPr>
      <w:ind w:left="0" w:firstLine="0"/>
      <w:outlineLvl w:val="7"/>
    </w:pPr>
  </w:style>
  <w:style w:type="paragraph" w:styleId="Heading9">
    <w:name w:val="heading 9"/>
    <w:basedOn w:val="Heading8"/>
    <w:next w:val="Normal"/>
    <w:qFormat/>
    <w:rsid w:val="009505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50541"/>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950541"/>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rsid w:val="00950541"/>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50541"/>
    <w:pPr>
      <w:spacing w:before="180"/>
      <w:ind w:left="2693" w:hanging="2693"/>
    </w:pPr>
    <w:rPr>
      <w:b/>
    </w:rPr>
  </w:style>
  <w:style w:type="paragraph" w:styleId="TOC1">
    <w:name w:val="toc 1"/>
    <w:semiHidden/>
    <w:rsid w:val="009505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9505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950541"/>
    <w:pPr>
      <w:ind w:left="1701" w:hanging="1701"/>
    </w:pPr>
  </w:style>
  <w:style w:type="paragraph" w:styleId="TOC4">
    <w:name w:val="toc 4"/>
    <w:basedOn w:val="TOC3"/>
    <w:semiHidden/>
    <w:rsid w:val="00950541"/>
    <w:pPr>
      <w:ind w:left="1418" w:hanging="1418"/>
    </w:pPr>
  </w:style>
  <w:style w:type="paragraph" w:styleId="TOC3">
    <w:name w:val="toc 3"/>
    <w:basedOn w:val="TOC2"/>
    <w:semiHidden/>
    <w:rsid w:val="00950541"/>
    <w:pPr>
      <w:ind w:left="1134" w:hanging="1134"/>
    </w:pPr>
  </w:style>
  <w:style w:type="paragraph" w:styleId="TOC2">
    <w:name w:val="toc 2"/>
    <w:basedOn w:val="TOC1"/>
    <w:semiHidden/>
    <w:rsid w:val="00950541"/>
    <w:pPr>
      <w:keepNext w:val="0"/>
      <w:spacing w:before="0"/>
      <w:ind w:left="851" w:hanging="851"/>
    </w:pPr>
    <w:rPr>
      <w:sz w:val="20"/>
    </w:rPr>
  </w:style>
  <w:style w:type="paragraph" w:styleId="Index2">
    <w:name w:val="index 2"/>
    <w:basedOn w:val="Index1"/>
    <w:semiHidden/>
    <w:rsid w:val="00950541"/>
    <w:pPr>
      <w:ind w:left="284"/>
    </w:pPr>
  </w:style>
  <w:style w:type="paragraph" w:styleId="Index1">
    <w:name w:val="index 1"/>
    <w:basedOn w:val="Normal"/>
    <w:semiHidden/>
    <w:rsid w:val="00950541"/>
    <w:pPr>
      <w:keepLines/>
      <w:spacing w:after="0"/>
    </w:pPr>
  </w:style>
  <w:style w:type="paragraph" w:customStyle="1" w:styleId="ZH">
    <w:name w:val="ZH"/>
    <w:rsid w:val="0095054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50541"/>
    <w:pPr>
      <w:outlineLvl w:val="9"/>
    </w:pPr>
  </w:style>
  <w:style w:type="paragraph" w:styleId="ListNumber2">
    <w:name w:val="List Number 2"/>
    <w:basedOn w:val="ListNumber"/>
    <w:rsid w:val="00950541"/>
    <w:pPr>
      <w:ind w:left="851"/>
    </w:pPr>
  </w:style>
  <w:style w:type="character" w:styleId="FootnoteReference">
    <w:name w:val="footnote reference"/>
    <w:semiHidden/>
    <w:rsid w:val="00950541"/>
    <w:rPr>
      <w:b/>
      <w:position w:val="6"/>
      <w:sz w:val="16"/>
    </w:rPr>
  </w:style>
  <w:style w:type="paragraph" w:styleId="FootnoteText">
    <w:name w:val="footnote text"/>
    <w:basedOn w:val="Normal"/>
    <w:semiHidden/>
    <w:rsid w:val="00950541"/>
    <w:pPr>
      <w:keepLines/>
      <w:spacing w:after="0"/>
      <w:ind w:left="454" w:hanging="454"/>
    </w:pPr>
    <w:rPr>
      <w:sz w:val="16"/>
    </w:rPr>
  </w:style>
  <w:style w:type="paragraph" w:customStyle="1" w:styleId="TAC">
    <w:name w:val="TAC"/>
    <w:basedOn w:val="TAL"/>
    <w:rsid w:val="00950541"/>
    <w:pPr>
      <w:jc w:val="center"/>
    </w:pPr>
  </w:style>
  <w:style w:type="paragraph" w:customStyle="1" w:styleId="TF">
    <w:name w:val="TF"/>
    <w:basedOn w:val="TH"/>
    <w:rsid w:val="00950541"/>
    <w:pPr>
      <w:keepNext w:val="0"/>
      <w:spacing w:before="0" w:after="240"/>
    </w:pPr>
  </w:style>
  <w:style w:type="paragraph" w:customStyle="1" w:styleId="NO">
    <w:name w:val="NO"/>
    <w:basedOn w:val="Normal"/>
    <w:rsid w:val="00950541"/>
    <w:pPr>
      <w:keepLines/>
      <w:ind w:left="1135" w:hanging="851"/>
    </w:pPr>
  </w:style>
  <w:style w:type="paragraph" w:styleId="TOC9">
    <w:name w:val="toc 9"/>
    <w:basedOn w:val="TOC8"/>
    <w:semiHidden/>
    <w:rsid w:val="00950541"/>
    <w:pPr>
      <w:ind w:left="1418" w:hanging="1418"/>
    </w:pPr>
  </w:style>
  <w:style w:type="paragraph" w:customStyle="1" w:styleId="EX">
    <w:name w:val="EX"/>
    <w:basedOn w:val="Normal"/>
    <w:rsid w:val="00950541"/>
    <w:pPr>
      <w:keepLines/>
      <w:ind w:left="1702" w:hanging="1418"/>
    </w:pPr>
  </w:style>
  <w:style w:type="paragraph" w:customStyle="1" w:styleId="FP">
    <w:name w:val="FP"/>
    <w:basedOn w:val="Normal"/>
    <w:rsid w:val="00950541"/>
    <w:pPr>
      <w:spacing w:after="0"/>
    </w:pPr>
  </w:style>
  <w:style w:type="paragraph" w:customStyle="1" w:styleId="LD">
    <w:name w:val="LD"/>
    <w:rsid w:val="0095054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50541"/>
    <w:pPr>
      <w:spacing w:after="0"/>
    </w:pPr>
  </w:style>
  <w:style w:type="paragraph" w:customStyle="1" w:styleId="EW">
    <w:name w:val="EW"/>
    <w:basedOn w:val="EX"/>
    <w:rsid w:val="00950541"/>
    <w:pPr>
      <w:spacing w:after="0"/>
    </w:pPr>
  </w:style>
  <w:style w:type="paragraph" w:styleId="TOC6">
    <w:name w:val="toc 6"/>
    <w:basedOn w:val="TOC5"/>
    <w:next w:val="Normal"/>
    <w:semiHidden/>
    <w:rsid w:val="00950541"/>
    <w:pPr>
      <w:ind w:left="1985" w:hanging="1985"/>
    </w:pPr>
  </w:style>
  <w:style w:type="paragraph" w:styleId="TOC7">
    <w:name w:val="toc 7"/>
    <w:basedOn w:val="TOC6"/>
    <w:next w:val="Normal"/>
    <w:semiHidden/>
    <w:rsid w:val="00950541"/>
    <w:pPr>
      <w:ind w:left="2268" w:hanging="2268"/>
    </w:pPr>
  </w:style>
  <w:style w:type="paragraph" w:styleId="ListBullet2">
    <w:name w:val="List Bullet 2"/>
    <w:basedOn w:val="ListBullet"/>
    <w:rsid w:val="00950541"/>
    <w:pPr>
      <w:ind w:left="851"/>
    </w:pPr>
  </w:style>
  <w:style w:type="paragraph" w:styleId="ListBullet3">
    <w:name w:val="List Bullet 3"/>
    <w:basedOn w:val="ListBullet2"/>
    <w:rsid w:val="00950541"/>
    <w:pPr>
      <w:ind w:left="1135"/>
    </w:pPr>
  </w:style>
  <w:style w:type="paragraph" w:styleId="ListNumber">
    <w:name w:val="List Number"/>
    <w:basedOn w:val="List"/>
    <w:rsid w:val="00950541"/>
  </w:style>
  <w:style w:type="paragraph" w:customStyle="1" w:styleId="EQ">
    <w:name w:val="EQ"/>
    <w:basedOn w:val="Normal"/>
    <w:next w:val="Normal"/>
    <w:rsid w:val="00950541"/>
    <w:pPr>
      <w:keepLines/>
      <w:tabs>
        <w:tab w:val="center" w:pos="4536"/>
        <w:tab w:val="right" w:pos="9072"/>
      </w:tabs>
    </w:pPr>
    <w:rPr>
      <w:noProof/>
    </w:rPr>
  </w:style>
  <w:style w:type="paragraph" w:customStyle="1" w:styleId="TH">
    <w:name w:val="TH"/>
    <w:basedOn w:val="Normal"/>
    <w:rsid w:val="00950541"/>
    <w:pPr>
      <w:keepNext/>
      <w:keepLines/>
      <w:spacing w:before="60"/>
      <w:jc w:val="center"/>
    </w:pPr>
    <w:rPr>
      <w:rFonts w:ascii="Arial" w:hAnsi="Arial"/>
      <w:b/>
    </w:rPr>
  </w:style>
  <w:style w:type="paragraph" w:customStyle="1" w:styleId="NF">
    <w:name w:val="NF"/>
    <w:basedOn w:val="NO"/>
    <w:rsid w:val="00950541"/>
    <w:pPr>
      <w:keepNext/>
      <w:spacing w:after="0"/>
    </w:pPr>
    <w:rPr>
      <w:rFonts w:ascii="Arial" w:hAnsi="Arial"/>
      <w:sz w:val="18"/>
    </w:rPr>
  </w:style>
  <w:style w:type="paragraph" w:customStyle="1" w:styleId="PL">
    <w:name w:val="PL"/>
    <w:rsid w:val="009505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50541"/>
    <w:pPr>
      <w:jc w:val="right"/>
    </w:pPr>
  </w:style>
  <w:style w:type="paragraph" w:customStyle="1" w:styleId="H6">
    <w:name w:val="H6"/>
    <w:basedOn w:val="Heading5"/>
    <w:next w:val="Normal"/>
    <w:rsid w:val="00950541"/>
    <w:pPr>
      <w:ind w:left="1985" w:hanging="1985"/>
      <w:outlineLvl w:val="9"/>
    </w:pPr>
    <w:rPr>
      <w:sz w:val="20"/>
    </w:rPr>
  </w:style>
  <w:style w:type="paragraph" w:customStyle="1" w:styleId="TAN">
    <w:name w:val="TAN"/>
    <w:basedOn w:val="TAL"/>
    <w:rsid w:val="00950541"/>
    <w:pPr>
      <w:ind w:left="851" w:hanging="851"/>
    </w:pPr>
  </w:style>
  <w:style w:type="paragraph" w:customStyle="1" w:styleId="ZA">
    <w:name w:val="ZA"/>
    <w:rsid w:val="009505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505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5054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505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50541"/>
    <w:pPr>
      <w:framePr w:wrap="notBeside" w:y="16161"/>
    </w:pPr>
  </w:style>
  <w:style w:type="character" w:customStyle="1" w:styleId="ZGSM">
    <w:name w:val="ZGSM"/>
    <w:rsid w:val="00950541"/>
  </w:style>
  <w:style w:type="paragraph" w:styleId="List2">
    <w:name w:val="List 2"/>
    <w:basedOn w:val="List"/>
    <w:rsid w:val="00950541"/>
    <w:pPr>
      <w:ind w:left="851"/>
    </w:pPr>
  </w:style>
  <w:style w:type="paragraph" w:customStyle="1" w:styleId="ZG">
    <w:name w:val="ZG"/>
    <w:rsid w:val="009505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50541"/>
    <w:pPr>
      <w:ind w:left="1135"/>
    </w:pPr>
  </w:style>
  <w:style w:type="paragraph" w:styleId="List4">
    <w:name w:val="List 4"/>
    <w:basedOn w:val="List3"/>
    <w:rsid w:val="00950541"/>
    <w:pPr>
      <w:ind w:left="1418"/>
    </w:pPr>
  </w:style>
  <w:style w:type="paragraph" w:styleId="List5">
    <w:name w:val="List 5"/>
    <w:basedOn w:val="List4"/>
    <w:rsid w:val="00950541"/>
    <w:pPr>
      <w:ind w:left="1702"/>
    </w:pPr>
  </w:style>
  <w:style w:type="paragraph" w:customStyle="1" w:styleId="EditorsNote">
    <w:name w:val="Editor's Note"/>
    <w:basedOn w:val="NO"/>
    <w:rsid w:val="00950541"/>
    <w:rPr>
      <w:color w:val="FF0000"/>
    </w:rPr>
  </w:style>
  <w:style w:type="paragraph" w:styleId="List">
    <w:name w:val="List"/>
    <w:basedOn w:val="Normal"/>
    <w:rsid w:val="00950541"/>
    <w:pPr>
      <w:ind w:left="568" w:hanging="284"/>
    </w:pPr>
  </w:style>
  <w:style w:type="paragraph" w:styleId="ListBullet">
    <w:name w:val="List Bullet"/>
    <w:basedOn w:val="List"/>
    <w:rsid w:val="00950541"/>
  </w:style>
  <w:style w:type="paragraph" w:styleId="ListBullet4">
    <w:name w:val="List Bullet 4"/>
    <w:basedOn w:val="ListBullet3"/>
    <w:rsid w:val="00950541"/>
    <w:pPr>
      <w:ind w:left="1418"/>
    </w:pPr>
  </w:style>
  <w:style w:type="paragraph" w:styleId="ListBullet5">
    <w:name w:val="List Bullet 5"/>
    <w:basedOn w:val="ListBullet4"/>
    <w:rsid w:val="00950541"/>
    <w:pPr>
      <w:ind w:left="1702"/>
    </w:pPr>
  </w:style>
  <w:style w:type="paragraph" w:customStyle="1" w:styleId="B1">
    <w:name w:val="B1"/>
    <w:basedOn w:val="List"/>
    <w:rsid w:val="00950541"/>
  </w:style>
  <w:style w:type="paragraph" w:customStyle="1" w:styleId="B2">
    <w:name w:val="B2"/>
    <w:basedOn w:val="List2"/>
    <w:rsid w:val="00950541"/>
  </w:style>
  <w:style w:type="paragraph" w:customStyle="1" w:styleId="B3">
    <w:name w:val="B3"/>
    <w:basedOn w:val="List3"/>
    <w:rsid w:val="00950541"/>
  </w:style>
  <w:style w:type="paragraph" w:customStyle="1" w:styleId="B4">
    <w:name w:val="B4"/>
    <w:basedOn w:val="List4"/>
    <w:rsid w:val="00950541"/>
  </w:style>
  <w:style w:type="paragraph" w:customStyle="1" w:styleId="B5">
    <w:name w:val="B5"/>
    <w:basedOn w:val="List5"/>
    <w:rsid w:val="00950541"/>
  </w:style>
  <w:style w:type="paragraph" w:styleId="Footer">
    <w:name w:val="footer"/>
    <w:basedOn w:val="Header"/>
    <w:rsid w:val="00950541"/>
    <w:pPr>
      <w:jc w:val="center"/>
    </w:pPr>
    <w:rPr>
      <w:i/>
    </w:rPr>
  </w:style>
  <w:style w:type="paragraph" w:customStyle="1" w:styleId="ZTD">
    <w:name w:val="ZTD"/>
    <w:basedOn w:val="ZB"/>
    <w:rsid w:val="00950541"/>
    <w:pPr>
      <w:framePr w:hRule="auto" w:wrap="notBeside" w:y="852"/>
    </w:pPr>
    <w:rPr>
      <w:i w:val="0"/>
      <w:sz w:val="40"/>
    </w:rPr>
  </w:style>
  <w:style w:type="table" w:styleId="TableGrid">
    <w:name w:val="Table Grid"/>
    <w:basedOn w:val="TableNormal"/>
    <w:uiPriority w:val="5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MediumGrid1-Accent21">
    <w:name w:val="Medium Grid 1 - Accent 21"/>
    <w:basedOn w:val="Normal"/>
    <w:uiPriority w:val="34"/>
    <w:qFormat/>
    <w:rsid w:val="007520CE"/>
    <w:pPr>
      <w:overflowPunct/>
      <w:autoSpaceDE/>
      <w:autoSpaceDN/>
      <w:adjustRightInd/>
      <w:spacing w:after="0"/>
      <w:ind w:left="720"/>
      <w:textAlignment w:val="auto"/>
    </w:pPr>
    <w:rPr>
      <w:rFonts w:ascii="Calibri" w:eastAsia="Calibri" w:hAnsi="Calibri"/>
      <w:sz w:val="22"/>
      <w:szCs w:val="22"/>
      <w:lang w:val="sv-SE" w:eastAsia="sv-SE"/>
    </w:rPr>
  </w:style>
  <w:style w:type="paragraph" w:styleId="NormalWeb">
    <w:name w:val="Normal (Web)"/>
    <w:basedOn w:val="Normal"/>
    <w:uiPriority w:val="99"/>
    <w:unhideWhenUsed/>
    <w:rsid w:val="00797D13"/>
    <w:pPr>
      <w:overflowPunct/>
      <w:autoSpaceDE/>
      <w:autoSpaceDN/>
      <w:adjustRightInd/>
      <w:spacing w:before="100" w:beforeAutospacing="1" w:after="100" w:afterAutospacing="1"/>
      <w:textAlignment w:val="auto"/>
    </w:pPr>
    <w:rPr>
      <w:rFonts w:eastAsia="Malgun Gothic"/>
      <w:sz w:val="24"/>
      <w:szCs w:val="24"/>
      <w:lang w:val="en-US" w:eastAsia="ko-KR"/>
    </w:rPr>
  </w:style>
  <w:style w:type="paragraph" w:styleId="Caption">
    <w:name w:val="caption"/>
    <w:aliases w:val="cap"/>
    <w:basedOn w:val="Normal"/>
    <w:link w:val="CaptionChar"/>
    <w:qFormat/>
    <w:rsid w:val="007C6B48"/>
    <w:pPr>
      <w:keepNext/>
      <w:overflowPunct/>
      <w:autoSpaceDE/>
      <w:autoSpaceDN/>
      <w:adjustRightInd/>
      <w:spacing w:after="0"/>
      <w:jc w:val="center"/>
      <w:textAlignment w:val="auto"/>
    </w:pPr>
    <w:rPr>
      <w:rFonts w:ascii="Arial" w:eastAsia="Malgun Gothic" w:hAnsi="Arial" w:cs="Arial"/>
      <w:b/>
      <w:bCs/>
      <w:lang w:val="en-US"/>
    </w:rPr>
  </w:style>
  <w:style w:type="paragraph" w:customStyle="1" w:styleId="References">
    <w:name w:val="References"/>
    <w:basedOn w:val="Normal"/>
    <w:next w:val="Normal"/>
    <w:rsid w:val="00B06449"/>
    <w:pPr>
      <w:numPr>
        <w:numId w:val="14"/>
      </w:numPr>
      <w:overflowPunct/>
      <w:adjustRightInd/>
      <w:snapToGrid w:val="0"/>
      <w:spacing w:after="60"/>
      <w:textAlignment w:val="auto"/>
    </w:pPr>
    <w:rPr>
      <w:rFonts w:eastAsia="SimSun"/>
      <w:szCs w:val="16"/>
      <w:lang w:val="en-US"/>
    </w:rPr>
  </w:style>
  <w:style w:type="character" w:customStyle="1" w:styleId="TextkrperZeichen">
    <w:name w:val="Textkörper Zeichen"/>
    <w:aliases w:val="bt Zeichen,body indent Zeichen,paragraph 2 Zeichen,body text Zeichen,ändrad Zeichen,AvtalBrödtext Zeichen,Bodytext Zeichen,Compliance Zeichen,Response Zeichen,Body3 Zeichen,Corps de texte Car Zeichen"/>
    <w:link w:val="Textkrper"/>
    <w:locked/>
    <w:rsid w:val="006F451B"/>
    <w:rPr>
      <w:rFonts w:ascii="Times" w:hAnsi="Times"/>
      <w:szCs w:val="24"/>
      <w:lang w:eastAsia="en-US"/>
    </w:rPr>
  </w:style>
  <w:style w:type="paragraph" w:customStyle="1" w:styleId="Textkrper">
    <w:name w:val="Textkörper"/>
    <w:aliases w:val="bt,body indent,paragraph 2,body text,ändrad,AvtalBrödtext,Bodytext,Compliance,Response,Body3,Corps de texte Car,Corps de texte Car1 Car,Corps de texte Car Car Car,Corps de texte Car1 Car Car Car,Corps de texte Car Car Car Car Car"/>
    <w:basedOn w:val="Normal"/>
    <w:link w:val="TextkrperZeichen"/>
    <w:rsid w:val="006F451B"/>
    <w:pPr>
      <w:overflowPunct/>
      <w:autoSpaceDE/>
      <w:autoSpaceDN/>
      <w:adjustRightInd/>
      <w:spacing w:after="120"/>
      <w:jc w:val="both"/>
      <w:textAlignment w:val="auto"/>
    </w:pPr>
    <w:rPr>
      <w:rFonts w:ascii="Times" w:hAnsi="Times"/>
      <w:szCs w:val="24"/>
      <w:lang w:val="en-US"/>
    </w:rPr>
  </w:style>
  <w:style w:type="character" w:customStyle="1" w:styleId="TAHCar">
    <w:name w:val="TAH Car"/>
    <w:link w:val="TAH"/>
    <w:locked/>
    <w:rsid w:val="006F451B"/>
    <w:rPr>
      <w:rFonts w:ascii="Arial" w:hAnsi="Arial"/>
      <w:b/>
      <w:sz w:val="18"/>
      <w:lang w:val="en-GB" w:eastAsia="en-US"/>
    </w:rPr>
  </w:style>
  <w:style w:type="table" w:customStyle="1" w:styleId="NormaleTabelle1">
    <w:name w:val="Normale Tabelle1"/>
    <w:uiPriority w:val="99"/>
    <w:semiHidden/>
    <w:rsid w:val="006F451B"/>
    <w:rPr>
      <w:rFonts w:eastAsia="SimSun"/>
    </w:rPr>
    <w:tblPr>
      <w:tblCellMar>
        <w:top w:w="0" w:type="dxa"/>
        <w:left w:w="108" w:type="dxa"/>
        <w:bottom w:w="0" w:type="dxa"/>
        <w:right w:w="108" w:type="dxa"/>
      </w:tblCellMar>
    </w:tblPr>
  </w:style>
  <w:style w:type="paragraph" w:customStyle="1" w:styleId="ColorfulList-Accent11">
    <w:name w:val="Colorful List - Accent 11"/>
    <w:basedOn w:val="Normal"/>
    <w:uiPriority w:val="34"/>
    <w:qFormat/>
    <w:rsid w:val="006A7484"/>
    <w:pPr>
      <w:overflowPunct/>
      <w:autoSpaceDE/>
      <w:autoSpaceDN/>
      <w:adjustRightInd/>
      <w:spacing w:before="100" w:beforeAutospacing="1" w:after="100" w:afterAutospacing="1"/>
      <w:textAlignment w:val="auto"/>
    </w:pPr>
    <w:rPr>
      <w:rFonts w:eastAsia="Calibri"/>
      <w:sz w:val="24"/>
      <w:szCs w:val="24"/>
      <w:lang w:val="en-US"/>
    </w:rPr>
  </w:style>
  <w:style w:type="paragraph" w:styleId="Revision">
    <w:name w:val="Revision"/>
    <w:hidden/>
    <w:uiPriority w:val="99"/>
    <w:semiHidden/>
    <w:rsid w:val="007B5056"/>
    <w:rPr>
      <w:lang w:val="en-GB" w:eastAsia="en-US"/>
    </w:rPr>
  </w:style>
  <w:style w:type="paragraph" w:customStyle="1" w:styleId="INDENT2">
    <w:name w:val="INDENT2"/>
    <w:basedOn w:val="Normal"/>
    <w:rsid w:val="00EB4956"/>
    <w:pPr>
      <w:ind w:left="1135" w:hanging="284"/>
    </w:pPr>
  </w:style>
  <w:style w:type="character" w:customStyle="1" w:styleId="CaptionChar">
    <w:name w:val="Caption Char"/>
    <w:aliases w:val="cap Char"/>
    <w:link w:val="Caption"/>
    <w:rsid w:val="00EB4956"/>
    <w:rPr>
      <w:rFonts w:ascii="Arial" w:eastAsia="Malgun Gothic" w:hAnsi="Arial" w:cs="Arial"/>
      <w:b/>
      <w:bCs/>
      <w:lang w:eastAsia="en-US"/>
    </w:rPr>
  </w:style>
  <w:style w:type="paragraph" w:styleId="ListParagraph">
    <w:name w:val="List Paragraph"/>
    <w:basedOn w:val="Normal"/>
    <w:uiPriority w:val="34"/>
    <w:qFormat/>
    <w:rsid w:val="008B73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611176">
      <w:bodyDiv w:val="1"/>
      <w:marLeft w:val="0"/>
      <w:marRight w:val="0"/>
      <w:marTop w:val="0"/>
      <w:marBottom w:val="0"/>
      <w:divBdr>
        <w:top w:val="none" w:sz="0" w:space="0" w:color="auto"/>
        <w:left w:val="none" w:sz="0" w:space="0" w:color="auto"/>
        <w:bottom w:val="none" w:sz="0" w:space="0" w:color="auto"/>
        <w:right w:val="none" w:sz="0" w:space="0" w:color="auto"/>
      </w:divBdr>
    </w:div>
    <w:div w:id="388696336">
      <w:bodyDiv w:val="1"/>
      <w:marLeft w:val="0"/>
      <w:marRight w:val="0"/>
      <w:marTop w:val="0"/>
      <w:marBottom w:val="0"/>
      <w:divBdr>
        <w:top w:val="none" w:sz="0" w:space="0" w:color="auto"/>
        <w:left w:val="none" w:sz="0" w:space="0" w:color="auto"/>
        <w:bottom w:val="none" w:sz="0" w:space="0" w:color="auto"/>
        <w:right w:val="none" w:sz="0" w:space="0" w:color="auto"/>
      </w:divBdr>
    </w:div>
    <w:div w:id="39081322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41074746">
      <w:bodyDiv w:val="1"/>
      <w:marLeft w:val="0"/>
      <w:marRight w:val="0"/>
      <w:marTop w:val="0"/>
      <w:marBottom w:val="0"/>
      <w:divBdr>
        <w:top w:val="none" w:sz="0" w:space="0" w:color="auto"/>
        <w:left w:val="none" w:sz="0" w:space="0" w:color="auto"/>
        <w:bottom w:val="none" w:sz="0" w:space="0" w:color="auto"/>
        <w:right w:val="none" w:sz="0" w:space="0" w:color="auto"/>
      </w:divBdr>
    </w:div>
    <w:div w:id="450787243">
      <w:bodyDiv w:val="1"/>
      <w:marLeft w:val="0"/>
      <w:marRight w:val="0"/>
      <w:marTop w:val="0"/>
      <w:marBottom w:val="0"/>
      <w:divBdr>
        <w:top w:val="none" w:sz="0" w:space="0" w:color="auto"/>
        <w:left w:val="none" w:sz="0" w:space="0" w:color="auto"/>
        <w:bottom w:val="none" w:sz="0" w:space="0" w:color="auto"/>
        <w:right w:val="none" w:sz="0" w:space="0" w:color="auto"/>
      </w:divBdr>
    </w:div>
    <w:div w:id="471873940">
      <w:bodyDiv w:val="1"/>
      <w:marLeft w:val="0"/>
      <w:marRight w:val="0"/>
      <w:marTop w:val="0"/>
      <w:marBottom w:val="0"/>
      <w:divBdr>
        <w:top w:val="none" w:sz="0" w:space="0" w:color="auto"/>
        <w:left w:val="none" w:sz="0" w:space="0" w:color="auto"/>
        <w:bottom w:val="none" w:sz="0" w:space="0" w:color="auto"/>
        <w:right w:val="none" w:sz="0" w:space="0" w:color="auto"/>
      </w:divBdr>
    </w:div>
    <w:div w:id="605189497">
      <w:bodyDiv w:val="1"/>
      <w:marLeft w:val="0"/>
      <w:marRight w:val="0"/>
      <w:marTop w:val="0"/>
      <w:marBottom w:val="0"/>
      <w:divBdr>
        <w:top w:val="none" w:sz="0" w:space="0" w:color="auto"/>
        <w:left w:val="none" w:sz="0" w:space="0" w:color="auto"/>
        <w:bottom w:val="none" w:sz="0" w:space="0" w:color="auto"/>
        <w:right w:val="none" w:sz="0" w:space="0" w:color="auto"/>
      </w:divBdr>
    </w:div>
    <w:div w:id="628437688">
      <w:bodyDiv w:val="1"/>
      <w:marLeft w:val="0"/>
      <w:marRight w:val="0"/>
      <w:marTop w:val="0"/>
      <w:marBottom w:val="0"/>
      <w:divBdr>
        <w:top w:val="none" w:sz="0" w:space="0" w:color="auto"/>
        <w:left w:val="none" w:sz="0" w:space="0" w:color="auto"/>
        <w:bottom w:val="none" w:sz="0" w:space="0" w:color="auto"/>
        <w:right w:val="none" w:sz="0" w:space="0" w:color="auto"/>
      </w:divBdr>
    </w:div>
    <w:div w:id="725450669">
      <w:bodyDiv w:val="1"/>
      <w:marLeft w:val="0"/>
      <w:marRight w:val="0"/>
      <w:marTop w:val="0"/>
      <w:marBottom w:val="0"/>
      <w:divBdr>
        <w:top w:val="none" w:sz="0" w:space="0" w:color="auto"/>
        <w:left w:val="none" w:sz="0" w:space="0" w:color="auto"/>
        <w:bottom w:val="none" w:sz="0" w:space="0" w:color="auto"/>
        <w:right w:val="none" w:sz="0" w:space="0" w:color="auto"/>
      </w:divBdr>
    </w:div>
    <w:div w:id="762457675">
      <w:bodyDiv w:val="1"/>
      <w:marLeft w:val="0"/>
      <w:marRight w:val="0"/>
      <w:marTop w:val="0"/>
      <w:marBottom w:val="0"/>
      <w:divBdr>
        <w:top w:val="none" w:sz="0" w:space="0" w:color="auto"/>
        <w:left w:val="none" w:sz="0" w:space="0" w:color="auto"/>
        <w:bottom w:val="none" w:sz="0" w:space="0" w:color="auto"/>
        <w:right w:val="none" w:sz="0" w:space="0" w:color="auto"/>
      </w:divBdr>
    </w:div>
    <w:div w:id="857697414">
      <w:bodyDiv w:val="1"/>
      <w:marLeft w:val="0"/>
      <w:marRight w:val="0"/>
      <w:marTop w:val="0"/>
      <w:marBottom w:val="0"/>
      <w:divBdr>
        <w:top w:val="none" w:sz="0" w:space="0" w:color="auto"/>
        <w:left w:val="none" w:sz="0" w:space="0" w:color="auto"/>
        <w:bottom w:val="none" w:sz="0" w:space="0" w:color="auto"/>
        <w:right w:val="none" w:sz="0" w:space="0" w:color="auto"/>
      </w:divBdr>
    </w:div>
    <w:div w:id="956445305">
      <w:bodyDiv w:val="1"/>
      <w:marLeft w:val="0"/>
      <w:marRight w:val="0"/>
      <w:marTop w:val="0"/>
      <w:marBottom w:val="0"/>
      <w:divBdr>
        <w:top w:val="none" w:sz="0" w:space="0" w:color="auto"/>
        <w:left w:val="none" w:sz="0" w:space="0" w:color="auto"/>
        <w:bottom w:val="none" w:sz="0" w:space="0" w:color="auto"/>
        <w:right w:val="none" w:sz="0" w:space="0" w:color="auto"/>
      </w:divBdr>
    </w:div>
    <w:div w:id="1022166141">
      <w:bodyDiv w:val="1"/>
      <w:marLeft w:val="0"/>
      <w:marRight w:val="0"/>
      <w:marTop w:val="0"/>
      <w:marBottom w:val="0"/>
      <w:divBdr>
        <w:top w:val="none" w:sz="0" w:space="0" w:color="auto"/>
        <w:left w:val="none" w:sz="0" w:space="0" w:color="auto"/>
        <w:bottom w:val="none" w:sz="0" w:space="0" w:color="auto"/>
        <w:right w:val="none" w:sz="0" w:space="0" w:color="auto"/>
      </w:divBdr>
    </w:div>
    <w:div w:id="1077941595">
      <w:bodyDiv w:val="1"/>
      <w:marLeft w:val="0"/>
      <w:marRight w:val="0"/>
      <w:marTop w:val="0"/>
      <w:marBottom w:val="0"/>
      <w:divBdr>
        <w:top w:val="none" w:sz="0" w:space="0" w:color="auto"/>
        <w:left w:val="none" w:sz="0" w:space="0" w:color="auto"/>
        <w:bottom w:val="none" w:sz="0" w:space="0" w:color="auto"/>
        <w:right w:val="none" w:sz="0" w:space="0" w:color="auto"/>
      </w:divBdr>
    </w:div>
    <w:div w:id="1190296397">
      <w:bodyDiv w:val="1"/>
      <w:marLeft w:val="0"/>
      <w:marRight w:val="0"/>
      <w:marTop w:val="0"/>
      <w:marBottom w:val="0"/>
      <w:divBdr>
        <w:top w:val="none" w:sz="0" w:space="0" w:color="auto"/>
        <w:left w:val="none" w:sz="0" w:space="0" w:color="auto"/>
        <w:bottom w:val="none" w:sz="0" w:space="0" w:color="auto"/>
        <w:right w:val="none" w:sz="0" w:space="0" w:color="auto"/>
      </w:divBdr>
    </w:div>
    <w:div w:id="1196112786">
      <w:bodyDiv w:val="1"/>
      <w:marLeft w:val="0"/>
      <w:marRight w:val="0"/>
      <w:marTop w:val="0"/>
      <w:marBottom w:val="0"/>
      <w:divBdr>
        <w:top w:val="none" w:sz="0" w:space="0" w:color="auto"/>
        <w:left w:val="none" w:sz="0" w:space="0" w:color="auto"/>
        <w:bottom w:val="none" w:sz="0" w:space="0" w:color="auto"/>
        <w:right w:val="none" w:sz="0" w:space="0" w:color="auto"/>
      </w:divBdr>
    </w:div>
    <w:div w:id="1259943870">
      <w:bodyDiv w:val="1"/>
      <w:marLeft w:val="0"/>
      <w:marRight w:val="0"/>
      <w:marTop w:val="0"/>
      <w:marBottom w:val="0"/>
      <w:divBdr>
        <w:top w:val="none" w:sz="0" w:space="0" w:color="auto"/>
        <w:left w:val="none" w:sz="0" w:space="0" w:color="auto"/>
        <w:bottom w:val="none" w:sz="0" w:space="0" w:color="auto"/>
        <w:right w:val="none" w:sz="0" w:space="0" w:color="auto"/>
      </w:divBdr>
    </w:div>
    <w:div w:id="1271476272">
      <w:bodyDiv w:val="1"/>
      <w:marLeft w:val="0"/>
      <w:marRight w:val="0"/>
      <w:marTop w:val="0"/>
      <w:marBottom w:val="0"/>
      <w:divBdr>
        <w:top w:val="none" w:sz="0" w:space="0" w:color="auto"/>
        <w:left w:val="none" w:sz="0" w:space="0" w:color="auto"/>
        <w:bottom w:val="none" w:sz="0" w:space="0" w:color="auto"/>
        <w:right w:val="none" w:sz="0" w:space="0" w:color="auto"/>
      </w:divBdr>
    </w:div>
    <w:div w:id="1365718491">
      <w:bodyDiv w:val="1"/>
      <w:marLeft w:val="0"/>
      <w:marRight w:val="0"/>
      <w:marTop w:val="0"/>
      <w:marBottom w:val="0"/>
      <w:divBdr>
        <w:top w:val="none" w:sz="0" w:space="0" w:color="auto"/>
        <w:left w:val="none" w:sz="0" w:space="0" w:color="auto"/>
        <w:bottom w:val="none" w:sz="0" w:space="0" w:color="auto"/>
        <w:right w:val="none" w:sz="0" w:space="0" w:color="auto"/>
      </w:divBdr>
    </w:div>
    <w:div w:id="1394935002">
      <w:bodyDiv w:val="1"/>
      <w:marLeft w:val="0"/>
      <w:marRight w:val="0"/>
      <w:marTop w:val="0"/>
      <w:marBottom w:val="0"/>
      <w:divBdr>
        <w:top w:val="none" w:sz="0" w:space="0" w:color="auto"/>
        <w:left w:val="none" w:sz="0" w:space="0" w:color="auto"/>
        <w:bottom w:val="none" w:sz="0" w:space="0" w:color="auto"/>
        <w:right w:val="none" w:sz="0" w:space="0" w:color="auto"/>
      </w:divBdr>
    </w:div>
    <w:div w:id="1422989291">
      <w:bodyDiv w:val="1"/>
      <w:marLeft w:val="0"/>
      <w:marRight w:val="0"/>
      <w:marTop w:val="0"/>
      <w:marBottom w:val="0"/>
      <w:divBdr>
        <w:top w:val="none" w:sz="0" w:space="0" w:color="auto"/>
        <w:left w:val="none" w:sz="0" w:space="0" w:color="auto"/>
        <w:bottom w:val="none" w:sz="0" w:space="0" w:color="auto"/>
        <w:right w:val="none" w:sz="0" w:space="0" w:color="auto"/>
      </w:divBdr>
      <w:divsChild>
        <w:div w:id="590893981">
          <w:marLeft w:val="418"/>
          <w:marRight w:val="0"/>
          <w:marTop w:val="77"/>
          <w:marBottom w:val="0"/>
          <w:divBdr>
            <w:top w:val="none" w:sz="0" w:space="0" w:color="auto"/>
            <w:left w:val="none" w:sz="0" w:space="0" w:color="auto"/>
            <w:bottom w:val="none" w:sz="0" w:space="0" w:color="auto"/>
            <w:right w:val="none" w:sz="0" w:space="0" w:color="auto"/>
          </w:divBdr>
        </w:div>
      </w:divsChild>
    </w:div>
    <w:div w:id="1549101561">
      <w:bodyDiv w:val="1"/>
      <w:marLeft w:val="0"/>
      <w:marRight w:val="0"/>
      <w:marTop w:val="0"/>
      <w:marBottom w:val="0"/>
      <w:divBdr>
        <w:top w:val="none" w:sz="0" w:space="0" w:color="auto"/>
        <w:left w:val="none" w:sz="0" w:space="0" w:color="auto"/>
        <w:bottom w:val="none" w:sz="0" w:space="0" w:color="auto"/>
        <w:right w:val="none" w:sz="0" w:space="0" w:color="auto"/>
      </w:divBdr>
    </w:div>
    <w:div w:id="1587225728">
      <w:bodyDiv w:val="1"/>
      <w:marLeft w:val="0"/>
      <w:marRight w:val="0"/>
      <w:marTop w:val="0"/>
      <w:marBottom w:val="0"/>
      <w:divBdr>
        <w:top w:val="none" w:sz="0" w:space="0" w:color="auto"/>
        <w:left w:val="none" w:sz="0" w:space="0" w:color="auto"/>
        <w:bottom w:val="none" w:sz="0" w:space="0" w:color="auto"/>
        <w:right w:val="none" w:sz="0" w:space="0" w:color="auto"/>
      </w:divBdr>
    </w:div>
    <w:div w:id="1647735130">
      <w:bodyDiv w:val="1"/>
      <w:marLeft w:val="0"/>
      <w:marRight w:val="0"/>
      <w:marTop w:val="0"/>
      <w:marBottom w:val="0"/>
      <w:divBdr>
        <w:top w:val="none" w:sz="0" w:space="0" w:color="auto"/>
        <w:left w:val="none" w:sz="0" w:space="0" w:color="auto"/>
        <w:bottom w:val="none" w:sz="0" w:space="0" w:color="auto"/>
        <w:right w:val="none" w:sz="0" w:space="0" w:color="auto"/>
      </w:divBdr>
    </w:div>
    <w:div w:id="1672489075">
      <w:bodyDiv w:val="1"/>
      <w:marLeft w:val="0"/>
      <w:marRight w:val="0"/>
      <w:marTop w:val="0"/>
      <w:marBottom w:val="0"/>
      <w:divBdr>
        <w:top w:val="none" w:sz="0" w:space="0" w:color="auto"/>
        <w:left w:val="none" w:sz="0" w:space="0" w:color="auto"/>
        <w:bottom w:val="none" w:sz="0" w:space="0" w:color="auto"/>
        <w:right w:val="none" w:sz="0" w:space="0" w:color="auto"/>
      </w:divBdr>
    </w:div>
    <w:div w:id="1749157866">
      <w:bodyDiv w:val="1"/>
      <w:marLeft w:val="0"/>
      <w:marRight w:val="0"/>
      <w:marTop w:val="0"/>
      <w:marBottom w:val="0"/>
      <w:divBdr>
        <w:top w:val="none" w:sz="0" w:space="0" w:color="auto"/>
        <w:left w:val="none" w:sz="0" w:space="0" w:color="auto"/>
        <w:bottom w:val="none" w:sz="0" w:space="0" w:color="auto"/>
        <w:right w:val="none" w:sz="0" w:space="0" w:color="auto"/>
      </w:divBdr>
    </w:div>
    <w:div w:id="1799758924">
      <w:bodyDiv w:val="1"/>
      <w:marLeft w:val="0"/>
      <w:marRight w:val="0"/>
      <w:marTop w:val="0"/>
      <w:marBottom w:val="0"/>
      <w:divBdr>
        <w:top w:val="none" w:sz="0" w:space="0" w:color="auto"/>
        <w:left w:val="none" w:sz="0" w:space="0" w:color="auto"/>
        <w:bottom w:val="none" w:sz="0" w:space="0" w:color="auto"/>
        <w:right w:val="none" w:sz="0" w:space="0" w:color="auto"/>
      </w:divBdr>
    </w:div>
    <w:div w:id="1821656715">
      <w:bodyDiv w:val="1"/>
      <w:marLeft w:val="0"/>
      <w:marRight w:val="0"/>
      <w:marTop w:val="0"/>
      <w:marBottom w:val="0"/>
      <w:divBdr>
        <w:top w:val="none" w:sz="0" w:space="0" w:color="auto"/>
        <w:left w:val="none" w:sz="0" w:space="0" w:color="auto"/>
        <w:bottom w:val="none" w:sz="0" w:space="0" w:color="auto"/>
        <w:right w:val="none" w:sz="0" w:space="0" w:color="auto"/>
      </w:divBdr>
    </w:div>
    <w:div w:id="1905484194">
      <w:bodyDiv w:val="1"/>
      <w:marLeft w:val="0"/>
      <w:marRight w:val="0"/>
      <w:marTop w:val="0"/>
      <w:marBottom w:val="0"/>
      <w:divBdr>
        <w:top w:val="none" w:sz="0" w:space="0" w:color="auto"/>
        <w:left w:val="none" w:sz="0" w:space="0" w:color="auto"/>
        <w:bottom w:val="none" w:sz="0" w:space="0" w:color="auto"/>
        <w:right w:val="none" w:sz="0" w:space="0" w:color="auto"/>
      </w:divBdr>
    </w:div>
    <w:div w:id="2000427151">
      <w:bodyDiv w:val="1"/>
      <w:marLeft w:val="0"/>
      <w:marRight w:val="0"/>
      <w:marTop w:val="0"/>
      <w:marBottom w:val="0"/>
      <w:divBdr>
        <w:top w:val="none" w:sz="0" w:space="0" w:color="auto"/>
        <w:left w:val="none" w:sz="0" w:space="0" w:color="auto"/>
        <w:bottom w:val="none" w:sz="0" w:space="0" w:color="auto"/>
        <w:right w:val="none" w:sz="0" w:space="0" w:color="auto"/>
      </w:divBdr>
    </w:div>
    <w:div w:id="2042777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hyperlink" Target="https://www.eia.gov/consumption/commercia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huduser.gov/portal/periodicals/cityscpe/vol15num3/ch20.pdf" TargetMode="Externa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yperlink" Target="http://www.5gworkshops.com/5GCM.html" TargetMode="External"/><Relationship Id="rId25" Type="http://schemas.openxmlformats.org/officeDocument/2006/relationships/hyperlink" Target="https://www.huduser.gov/portal/periodicals/cityscpe/vol15num3/ch13.pdf" TargetMode="Externa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hyperlink" Target="http://buildingsdatabook.eren.doe.gov/"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lup.lub.lu.se/record/530536/file/624944.pdf" TargetMode="Externa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hyperlink" Target="http://www.pnnl.gov/main/publications/external/technical_reports/PNNL-21678.pdf" TargetMode="External"/><Relationship Id="rId10" Type="http://schemas.openxmlformats.org/officeDocument/2006/relationships/image" Target="media/image3.png"/><Relationship Id="rId19" Type="http://schemas.openxmlformats.org/officeDocument/2006/relationships/hyperlink" Target="https://www.eia.gov/consumption/residential/"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hyperlink" Target="http://aceee.org/files/proceedings/2010/data/papers/1989.pdf"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buildingsdatabook.eren.doe.gov/TableView.aspx?table=5.2.7" TargetMode="External"/><Relationship Id="rId2" Type="http://schemas.openxmlformats.org/officeDocument/2006/relationships/hyperlink" Target="http://buildingsdatabook.eren.doe.gov/TableView.aspx?table=5.2.6" TargetMode="External"/><Relationship Id="rId1" Type="http://schemas.openxmlformats.org/officeDocument/2006/relationships/hyperlink" Target="http://buildingsdatabook.eren.doe.gov/TableView.aspx?table=5.2.7" TargetMode="External"/><Relationship Id="rId4" Type="http://schemas.openxmlformats.org/officeDocument/2006/relationships/hyperlink" Target="http://buildingsdatabook.eren.doe.gov/TableView.aspx?table=5.2.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501139-C475-4F7A-8378-3796DE779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3202</Words>
  <Characters>18254</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WID template adapted for RAN</vt:lpstr>
    </vt:vector>
  </TitlesOfParts>
  <Company>BT</Company>
  <LinksUpToDate>false</LinksUpToDate>
  <CharactersWithSpaces>21414</CharactersWithSpaces>
  <SharedDoc>false</SharedDoc>
  <HLinks>
    <vt:vector size="12" baseType="variant">
      <vt:variant>
        <vt:i4>1704010</vt:i4>
      </vt:variant>
      <vt:variant>
        <vt:i4>33</vt:i4>
      </vt:variant>
      <vt:variant>
        <vt:i4>0</vt:i4>
      </vt:variant>
      <vt:variant>
        <vt:i4>5</vt:i4>
      </vt:variant>
      <vt:variant>
        <vt:lpwstr>http://www.5gworkshops.com/5GCM.html</vt:lpwstr>
      </vt:variant>
      <vt:variant>
        <vt:lpwstr/>
      </vt:variant>
      <vt:variant>
        <vt:i4>1704010</vt:i4>
      </vt:variant>
      <vt:variant>
        <vt:i4>30</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 adapted for RAN</dc:title>
  <dc:creator>Joern Krause</dc:creator>
  <cp:lastModifiedBy>zhouyue.pi</cp:lastModifiedBy>
  <cp:revision>3</cp:revision>
  <cp:lastPrinted>2016-03-28T18:41:00Z</cp:lastPrinted>
  <dcterms:created xsi:type="dcterms:W3CDTF">2016-04-10T23:10:00Z</dcterms:created>
  <dcterms:modified xsi:type="dcterms:W3CDTF">2016-04-10T23:10:00Z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