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7A8A31AF"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bookmarkStart w:id="2" w:name="_GoBack"/>
      <w:bookmarkEnd w:id="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sidR="00263A3F">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r w:rsidR="002F2009" w:rsidRPr="002F2009">
        <w:rPr>
          <w:rFonts w:eastAsia="Times New Roman" w:cs="Arial"/>
          <w:bCs/>
          <w:noProof/>
          <w:sz w:val="20"/>
          <w:szCs w:val="18"/>
          <w:lang w:val="en-US" w:eastAsia="zh-CN"/>
        </w:rPr>
        <w:t>R1-163321</w:t>
      </w:r>
    </w:p>
    <w:p w14:paraId="53AF47EE" w14:textId="70C459C1" w:rsidR="00F85CDA" w:rsidRDefault="00263A3F"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1673F322"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FF5625" w:rsidRPr="00FF5625">
        <w:rPr>
          <w:sz w:val="20"/>
          <w:lang w:val="en-US"/>
        </w:rPr>
        <w:t>Physical layer aspects for PUCCH for short TTI</w:t>
      </w:r>
    </w:p>
    <w:p w14:paraId="0AF57746" w14:textId="7943111A"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142A99">
        <w:rPr>
          <w:sz w:val="20"/>
          <w:lang w:val="en-US"/>
        </w:rPr>
        <w:t>7.3.</w:t>
      </w:r>
      <w:r w:rsidR="00FF5625">
        <w:rPr>
          <w:sz w:val="20"/>
          <w:lang w:val="en-US"/>
        </w:rPr>
        <w:t>10</w:t>
      </w:r>
      <w:r w:rsidR="00142A99">
        <w:rPr>
          <w:sz w:val="20"/>
          <w:lang w:val="en-US"/>
        </w:rPr>
        <w:t>.2</w:t>
      </w:r>
    </w:p>
    <w:p w14:paraId="05ED6158" w14:textId="77777777" w:rsidR="00D00AE7" w:rsidRDefault="00D00AE7" w:rsidP="00D00AE7">
      <w:pPr>
        <w:pStyle w:val="TdocHeader2"/>
        <w:rPr>
          <w:sz w:val="20"/>
          <w:lang w:val="en-US"/>
        </w:rPr>
      </w:pPr>
      <w:r>
        <w:rPr>
          <w:sz w:val="20"/>
          <w:lang w:val="en-US"/>
        </w:rPr>
        <w:t>Document for:</w:t>
      </w:r>
      <w:r>
        <w:rPr>
          <w:sz w:val="20"/>
          <w:lang w:val="en-US"/>
        </w:rPr>
        <w:tab/>
        <w:t>Discussion and Decision</w:t>
      </w:r>
    </w:p>
    <w:p w14:paraId="68BD6DE4" w14:textId="77777777" w:rsidR="00413A74" w:rsidRDefault="00413A74" w:rsidP="00D00AE7">
      <w:pPr>
        <w:pStyle w:val="TdocHeader2"/>
        <w:rPr>
          <w:sz w:val="20"/>
          <w:lang w:val="en-US"/>
        </w:rPr>
      </w:pPr>
    </w:p>
    <w:p w14:paraId="78CBEDE8" w14:textId="77777777" w:rsidR="00EB6169" w:rsidRDefault="00EB6169" w:rsidP="00EB6169">
      <w:pPr>
        <w:pStyle w:val="Heading1"/>
        <w:numPr>
          <w:ilvl w:val="0"/>
          <w:numId w:val="43"/>
        </w:numPr>
        <w:textAlignment w:val="auto"/>
        <w:rPr>
          <w:lang w:val="en-US"/>
        </w:rPr>
      </w:pPr>
      <w:bookmarkStart w:id="4" w:name="_Ref298777854"/>
      <w:bookmarkEnd w:id="0"/>
      <w:bookmarkEnd w:id="1"/>
      <w:r>
        <w:rPr>
          <w:lang w:val="en-US"/>
        </w:rPr>
        <w:t>Introduction</w:t>
      </w:r>
      <w:bookmarkEnd w:id="4"/>
    </w:p>
    <w:p w14:paraId="48A272A8" w14:textId="0FE442F5" w:rsidR="00EB6169" w:rsidRPr="00ED79BF" w:rsidRDefault="00FE3D5F" w:rsidP="00EB6169">
      <w:pPr>
        <w:rPr>
          <w:lang w:val="en-US"/>
        </w:rPr>
      </w:pPr>
      <w:r>
        <w:rPr>
          <w:lang w:val="en-US"/>
        </w:rPr>
        <w:t xml:space="preserve">For the proposed short TTI transmission in DL and UL a fast UCI feedback has been discussed in </w:t>
      </w:r>
      <w:r>
        <w:rPr>
          <w:lang w:val="en-US"/>
        </w:rPr>
        <w:fldChar w:fldCharType="begin"/>
      </w:r>
      <w:r>
        <w:rPr>
          <w:lang w:val="en-US"/>
        </w:rPr>
        <w:instrText xml:space="preserve"> REF _Ref441152226 \r \h </w:instrText>
      </w:r>
      <w:r>
        <w:rPr>
          <w:lang w:val="en-US"/>
        </w:rPr>
      </w:r>
      <w:r>
        <w:rPr>
          <w:lang w:val="en-US"/>
        </w:rPr>
        <w:fldChar w:fldCharType="separate"/>
      </w:r>
      <w:r>
        <w:rPr>
          <w:lang w:val="en-US"/>
        </w:rPr>
        <w:t>[1]</w:t>
      </w:r>
      <w:r>
        <w:rPr>
          <w:lang w:val="en-US"/>
        </w:rPr>
        <w:fldChar w:fldCharType="end"/>
      </w:r>
      <w:r>
        <w:rPr>
          <w:lang w:val="en-US"/>
        </w:rPr>
        <w:t xml:space="preserve">. The need for fast HARQ feedback and fast SR in order to achieve low latency with short TTIs was noted in </w:t>
      </w:r>
      <w:r>
        <w:rPr>
          <w:lang w:val="en-US"/>
        </w:rPr>
        <w:fldChar w:fldCharType="begin"/>
      </w:r>
      <w:r>
        <w:rPr>
          <w:lang w:val="en-US"/>
        </w:rPr>
        <w:instrText xml:space="preserve"> REF _Ref442443042 \r \h </w:instrText>
      </w:r>
      <w:r>
        <w:rPr>
          <w:lang w:val="en-US"/>
        </w:rPr>
      </w:r>
      <w:r>
        <w:rPr>
          <w:lang w:val="en-US"/>
        </w:rPr>
        <w:fldChar w:fldCharType="separate"/>
      </w:r>
      <w:r>
        <w:rPr>
          <w:lang w:val="en-US"/>
        </w:rPr>
        <w:t>[2]</w:t>
      </w:r>
      <w:r>
        <w:rPr>
          <w:lang w:val="en-US"/>
        </w:rPr>
        <w:fldChar w:fldCharType="end"/>
      </w:r>
      <w:r>
        <w:rPr>
          <w:lang w:val="en-US"/>
        </w:rPr>
        <w:t xml:space="preserve"> and </w:t>
      </w:r>
      <w:r>
        <w:rPr>
          <w:lang w:val="en-US"/>
        </w:rPr>
        <w:fldChar w:fldCharType="begin"/>
      </w:r>
      <w:r>
        <w:rPr>
          <w:lang w:val="en-US"/>
        </w:rPr>
        <w:instrText xml:space="preserve"> REF _Ref442449653 \r \h </w:instrText>
      </w:r>
      <w:r>
        <w:rPr>
          <w:lang w:val="en-US"/>
        </w:rPr>
      </w:r>
      <w:r>
        <w:rPr>
          <w:lang w:val="en-US"/>
        </w:rPr>
        <w:fldChar w:fldCharType="separate"/>
      </w:r>
      <w:r>
        <w:rPr>
          <w:lang w:val="en-US"/>
        </w:rPr>
        <w:t>[3]</w:t>
      </w:r>
      <w:r>
        <w:rPr>
          <w:lang w:val="en-US"/>
        </w:rPr>
        <w:fldChar w:fldCharType="end"/>
      </w:r>
      <w:r>
        <w:rPr>
          <w:lang w:val="en-US"/>
        </w:rPr>
        <w:t>. Several different short PUCCH designs ha</w:t>
      </w:r>
      <w:r w:rsidR="00F331CC">
        <w:rPr>
          <w:lang w:val="en-US"/>
        </w:rPr>
        <w:t>ve been proposed in</w:t>
      </w:r>
      <w:r w:rsidR="00E1157C">
        <w:rPr>
          <w:lang w:val="en-US"/>
        </w:rPr>
        <w:t xml:space="preserve"> </w:t>
      </w:r>
      <w:r w:rsidR="00E1157C">
        <w:rPr>
          <w:lang w:val="en-US"/>
        </w:rPr>
        <w:fldChar w:fldCharType="begin"/>
      </w:r>
      <w:r w:rsidR="00E1157C">
        <w:rPr>
          <w:lang w:val="en-US"/>
        </w:rPr>
        <w:instrText xml:space="preserve"> REF _Ref447296969 \r \h </w:instrText>
      </w:r>
      <w:r w:rsidR="00E1157C">
        <w:rPr>
          <w:lang w:val="en-US"/>
        </w:rPr>
      </w:r>
      <w:r w:rsidR="00E1157C">
        <w:rPr>
          <w:lang w:val="en-US"/>
        </w:rPr>
        <w:fldChar w:fldCharType="separate"/>
      </w:r>
      <w:r w:rsidR="00E1157C">
        <w:rPr>
          <w:lang w:val="en-US"/>
        </w:rPr>
        <w:t>[3]</w:t>
      </w:r>
      <w:r w:rsidR="00E1157C">
        <w:rPr>
          <w:lang w:val="en-US"/>
        </w:rPr>
        <w:fldChar w:fldCharType="end"/>
      </w:r>
      <w:r w:rsidR="00E1157C">
        <w:rPr>
          <w:lang w:val="en-US"/>
        </w:rPr>
        <w:t xml:space="preserve">, </w:t>
      </w:r>
      <w:r w:rsidR="00E1157C">
        <w:rPr>
          <w:lang w:val="en-US"/>
        </w:rPr>
        <w:fldChar w:fldCharType="begin"/>
      </w:r>
      <w:r w:rsidR="00E1157C">
        <w:rPr>
          <w:lang w:val="en-US"/>
        </w:rPr>
        <w:instrText xml:space="preserve"> REF _Ref447296687 \r \h </w:instrText>
      </w:r>
      <w:r w:rsidR="00E1157C">
        <w:rPr>
          <w:lang w:val="en-US"/>
        </w:rPr>
      </w:r>
      <w:r w:rsidR="00E1157C">
        <w:rPr>
          <w:lang w:val="en-US"/>
        </w:rPr>
        <w:fldChar w:fldCharType="separate"/>
      </w:r>
      <w:r w:rsidR="00E1157C">
        <w:rPr>
          <w:lang w:val="en-US"/>
        </w:rPr>
        <w:t>[4]</w:t>
      </w:r>
      <w:r w:rsidR="00E1157C">
        <w:rPr>
          <w:lang w:val="en-US"/>
        </w:rPr>
        <w:fldChar w:fldCharType="end"/>
      </w:r>
      <w:r w:rsidR="00E1157C">
        <w:rPr>
          <w:lang w:val="en-US"/>
        </w:rPr>
        <w:t xml:space="preserve">, </w:t>
      </w:r>
      <w:r w:rsidR="00E1157C">
        <w:rPr>
          <w:lang w:val="en-US"/>
        </w:rPr>
        <w:fldChar w:fldCharType="begin"/>
      </w:r>
      <w:r w:rsidR="00E1157C">
        <w:rPr>
          <w:lang w:val="en-US"/>
        </w:rPr>
        <w:instrText xml:space="preserve"> REF _Ref447296692 \r \h </w:instrText>
      </w:r>
      <w:r w:rsidR="00E1157C">
        <w:rPr>
          <w:lang w:val="en-US"/>
        </w:rPr>
      </w:r>
      <w:r w:rsidR="00E1157C">
        <w:rPr>
          <w:lang w:val="en-US"/>
        </w:rPr>
        <w:fldChar w:fldCharType="separate"/>
      </w:r>
      <w:r w:rsidR="00E1157C">
        <w:rPr>
          <w:lang w:val="en-US"/>
        </w:rPr>
        <w:t>[5]</w:t>
      </w:r>
      <w:r w:rsidR="00E1157C">
        <w:rPr>
          <w:lang w:val="en-US"/>
        </w:rPr>
        <w:fldChar w:fldCharType="end"/>
      </w:r>
      <w:r w:rsidR="00E1157C">
        <w:rPr>
          <w:lang w:val="en-US"/>
        </w:rPr>
        <w:t xml:space="preserve">, and </w:t>
      </w:r>
      <w:r w:rsidR="00E1157C">
        <w:rPr>
          <w:lang w:val="en-US"/>
        </w:rPr>
        <w:fldChar w:fldCharType="begin"/>
      </w:r>
      <w:r w:rsidR="00E1157C">
        <w:rPr>
          <w:lang w:val="en-US"/>
        </w:rPr>
        <w:instrText xml:space="preserve"> REF _Ref447296974 \r \h </w:instrText>
      </w:r>
      <w:r w:rsidR="00E1157C">
        <w:rPr>
          <w:lang w:val="en-US"/>
        </w:rPr>
      </w:r>
      <w:r w:rsidR="00E1157C">
        <w:rPr>
          <w:lang w:val="en-US"/>
        </w:rPr>
        <w:fldChar w:fldCharType="separate"/>
      </w:r>
      <w:r w:rsidR="00E1157C">
        <w:rPr>
          <w:lang w:val="en-US"/>
        </w:rPr>
        <w:t>[6]</w:t>
      </w:r>
      <w:r w:rsidR="00E1157C">
        <w:rPr>
          <w:lang w:val="en-US"/>
        </w:rPr>
        <w:fldChar w:fldCharType="end"/>
      </w:r>
      <w:r w:rsidR="00E1157C">
        <w:rPr>
          <w:lang w:val="en-US"/>
        </w:rPr>
        <w:t xml:space="preserve">. </w:t>
      </w:r>
      <w:r w:rsidR="00FF5625">
        <w:rPr>
          <w:lang w:val="en-US"/>
        </w:rPr>
        <w:t>Given the large amount of different proposals of PUCCH designs we focus i</w:t>
      </w:r>
      <w:r w:rsidR="00F331CC">
        <w:rPr>
          <w:lang w:val="en-US"/>
        </w:rPr>
        <w:t>n this paper on different design criteria that a short PUCCH should fulfill.</w:t>
      </w:r>
    </w:p>
    <w:p w14:paraId="1B157A64" w14:textId="77777777" w:rsidR="00EB6169" w:rsidRDefault="00EB6169" w:rsidP="00EB6169">
      <w:pPr>
        <w:pStyle w:val="Heading1"/>
        <w:numPr>
          <w:ilvl w:val="0"/>
          <w:numId w:val="43"/>
        </w:numPr>
        <w:textAlignment w:val="auto"/>
      </w:pPr>
      <w:r>
        <w:t>Discussion</w:t>
      </w:r>
    </w:p>
    <w:p w14:paraId="02CB47DF" w14:textId="0EFFD183" w:rsidR="00F331CC" w:rsidRDefault="00F331CC" w:rsidP="00F331CC">
      <w:r>
        <w:t>We see the need for at least two different short PUCCH formats. For FS1 it is useful to have a low payload format capable of supporting a payload of one or two bits to be used for HARQ feedback and SR. For FS2 in Rel.</w:t>
      </w:r>
      <w:r w:rsidR="00FF5625">
        <w:t>8</w:t>
      </w:r>
      <w:r>
        <w:t>, HARQ feedback for more than one TB is transmitted using PUCCH</w:t>
      </w:r>
      <w:r w:rsidR="00185A42">
        <w:t xml:space="preserve"> f</w:t>
      </w:r>
      <w:r>
        <w:t>ormat 1</w:t>
      </w:r>
      <w:r w:rsidR="002F2009">
        <w:t>a</w:t>
      </w:r>
      <w:r>
        <w:t>/1</w:t>
      </w:r>
      <w:r w:rsidR="002F2009">
        <w:t>b</w:t>
      </w:r>
      <w:r>
        <w:t xml:space="preserve"> and channel selection. A similar HARQ feedback structure can be used for FS2 when using short TTIs.</w:t>
      </w:r>
    </w:p>
    <w:p w14:paraId="3B4002A9" w14:textId="0EBE0CAB" w:rsidR="00F331CC" w:rsidRPr="00F331CC" w:rsidRDefault="00F331CC" w:rsidP="00F331CC">
      <w:r>
        <w:t xml:space="preserve">A higher payload format is necessary for HARQ feedback when using CA, or for transmission of </w:t>
      </w:r>
      <w:r w:rsidR="00FF5625">
        <w:t>periodic CSI reports</w:t>
      </w:r>
      <w:r>
        <w:t>. It could also be used as an alternative to channel selection for HARQ feedback when FS2 is used.</w:t>
      </w:r>
    </w:p>
    <w:p w14:paraId="2204FC43" w14:textId="7DA446AE" w:rsidR="00EB6169" w:rsidRDefault="00F331CC" w:rsidP="00F331CC">
      <w:pPr>
        <w:pStyle w:val="Observation"/>
      </w:pPr>
      <w:r>
        <w:t>At least two new short PUCCH form</w:t>
      </w:r>
      <w:r w:rsidR="008E79DA">
        <w:t>ats with different payloads are needed.</w:t>
      </w:r>
    </w:p>
    <w:p w14:paraId="667CC6DD" w14:textId="77777777" w:rsidR="000964B5" w:rsidRDefault="000964B5" w:rsidP="000964B5">
      <w:pPr>
        <w:pStyle w:val="Heading2"/>
        <w:numPr>
          <w:ilvl w:val="1"/>
          <w:numId w:val="43"/>
        </w:numPr>
        <w:textAlignment w:val="auto"/>
      </w:pPr>
      <w:r>
        <w:t>Use cases</w:t>
      </w:r>
    </w:p>
    <w:p w14:paraId="5BE5FF99" w14:textId="1B2AC6AB" w:rsidR="000964B5" w:rsidRDefault="00C529D8" w:rsidP="000964B5">
      <w:r>
        <w:t xml:space="preserve">If we focus on MBB users, </w:t>
      </w:r>
      <w:r w:rsidR="00FF5625">
        <w:t xml:space="preserve">we have observed that the high data rate is required to benefit from short latency. </w:t>
      </w:r>
      <w:r w:rsidR="00211CD5">
        <w:t xml:space="preserve">It would there for good to target scenario that utilise CA or SINR levels that support this in DL from a single cell. Given that the TTI will need to be reduced in UL as well to support shortening round trip time some performance loss compared to none sTTI operation would be expected. </w:t>
      </w:r>
    </w:p>
    <w:p w14:paraId="19DB9CDD" w14:textId="592C2E76" w:rsidR="00C529D8" w:rsidRDefault="00C529D8" w:rsidP="000964B5">
      <w:pPr>
        <w:pStyle w:val="Observation"/>
      </w:pPr>
      <w:r>
        <w:t xml:space="preserve">Some reduction in coverage of sPUCCH compared to PUCCH is </w:t>
      </w:r>
      <w:r w:rsidR="00211CD5">
        <w:t>expected</w:t>
      </w:r>
      <w:r>
        <w:t>.</w:t>
      </w:r>
    </w:p>
    <w:p w14:paraId="4D66B7E1" w14:textId="078E045D" w:rsidR="00ED79BF" w:rsidRDefault="00ED79BF" w:rsidP="00ED79BF">
      <w:pPr>
        <w:pStyle w:val="Heading2"/>
      </w:pPr>
      <w:r>
        <w:t>Placement</w:t>
      </w:r>
    </w:p>
    <w:p w14:paraId="78A90767" w14:textId="749C0ED1" w:rsidR="00ED79BF" w:rsidRDefault="00ED79BF" w:rsidP="00ED79BF">
      <w:r>
        <w:t xml:space="preserve">One straightforward option is to place the sPUCCH channel in connection to the PUCCH channel. The benefit of this solution is that the UL sTTI band can be defined independently of the sPUCCH, e.g. such that only a DL sTTI band is defined, or that multiple contiguous UL sTTI bands are configured. This solution would require the sPUCCH to be automatically defined for sTTI UEs by the DL sTTI band, i.e. by the slow </w:t>
      </w:r>
      <w:r w:rsidR="00211CD5">
        <w:t>DCI</w:t>
      </w:r>
      <w:r>
        <w:t>.</w:t>
      </w:r>
    </w:p>
    <w:p w14:paraId="5BB30B15" w14:textId="7550FE61" w:rsidR="00ED79BF" w:rsidRDefault="00ED79BF" w:rsidP="00ED79BF">
      <w:r>
        <w:t xml:space="preserve">Another option is to </w:t>
      </w:r>
      <w:r w:rsidR="00CD2FE6">
        <w:t>place</w:t>
      </w:r>
      <w:r>
        <w:t xml:space="preserve"> the sPUCCH in</w:t>
      </w:r>
      <w:r w:rsidR="00CD2FE6">
        <w:t>side an</w:t>
      </w:r>
      <w:r>
        <w:t xml:space="preserve"> UL sTTI band. The benefit of this solution would be that the sTTI transmissions are self-contained and not mixed with the PUSCH/PUCCH region. </w:t>
      </w:r>
    </w:p>
    <w:p w14:paraId="2E8CD525" w14:textId="19CF0092" w:rsidR="00ED79BF" w:rsidRPr="00ED79BF" w:rsidRDefault="00ED79BF" w:rsidP="00ED79BF">
      <w:pPr>
        <w:pStyle w:val="Observation"/>
      </w:pPr>
      <w:r>
        <w:t xml:space="preserve">The sPUCCH can be placed in connection to PUCCH, or inside </w:t>
      </w:r>
      <w:r w:rsidR="00CD2FE6">
        <w:t>an</w:t>
      </w:r>
      <w:r>
        <w:t xml:space="preserve"> UL sTTI band.</w:t>
      </w:r>
    </w:p>
    <w:p w14:paraId="344E5714" w14:textId="053B614C" w:rsidR="00EB6169" w:rsidRDefault="001907A4" w:rsidP="008E79DA">
      <w:pPr>
        <w:pStyle w:val="Heading2"/>
        <w:rPr>
          <w:rFonts w:eastAsia="Calibri"/>
        </w:rPr>
      </w:pPr>
      <w:r>
        <w:t>Small</w:t>
      </w:r>
      <w:r w:rsidR="007151CD">
        <w:rPr>
          <w:rFonts w:eastAsia="Calibri"/>
        </w:rPr>
        <w:t xml:space="preserve"> </w:t>
      </w:r>
      <w:r w:rsidR="008E79DA">
        <w:rPr>
          <w:rFonts w:eastAsia="Calibri"/>
        </w:rPr>
        <w:t>payload format</w:t>
      </w:r>
    </w:p>
    <w:p w14:paraId="71579FDF" w14:textId="55D2F48B" w:rsidR="008E79DA" w:rsidRDefault="008E79DA" w:rsidP="008E79DA">
      <w:pPr>
        <w:rPr>
          <w:rFonts w:eastAsia="Calibri"/>
        </w:rPr>
      </w:pPr>
      <w:r>
        <w:rPr>
          <w:rFonts w:eastAsia="Calibri"/>
        </w:rPr>
        <w:t xml:space="preserve">Two reasons to design a small payload format is to allow for </w:t>
      </w:r>
      <w:r w:rsidR="00C35E86">
        <w:rPr>
          <w:rFonts w:eastAsia="Calibri"/>
        </w:rPr>
        <w:t xml:space="preserve">basic signalling (SR and HARQ) while providing </w:t>
      </w:r>
      <w:r>
        <w:rPr>
          <w:rFonts w:eastAsia="Calibri"/>
        </w:rPr>
        <w:t xml:space="preserve">multiplexing of several UEs on the same frequency resource, and to provide good coverage. </w:t>
      </w:r>
      <w:r w:rsidR="001907A4">
        <w:rPr>
          <w:rFonts w:eastAsia="Calibri"/>
        </w:rPr>
        <w:t>Multiplexing of several sPUCCH also enables channel selecti</w:t>
      </w:r>
      <w:r w:rsidR="000207D3">
        <w:rPr>
          <w:rFonts w:eastAsia="Calibri"/>
        </w:rPr>
        <w:t>o</w:t>
      </w:r>
      <w:r w:rsidR="001907A4">
        <w:rPr>
          <w:rFonts w:eastAsia="Calibri"/>
        </w:rPr>
        <w:t xml:space="preserve">n to be used in a resources efficient manner. </w:t>
      </w:r>
      <w:r>
        <w:rPr>
          <w:rFonts w:eastAsia="Calibri"/>
        </w:rPr>
        <w:t xml:space="preserve">From the simulation results in </w:t>
      </w:r>
      <w:r w:rsidR="00E1157C">
        <w:rPr>
          <w:rFonts w:eastAsia="Calibri"/>
        </w:rPr>
        <w:fldChar w:fldCharType="begin"/>
      </w:r>
      <w:r w:rsidR="00E1157C">
        <w:rPr>
          <w:rFonts w:eastAsia="Calibri"/>
        </w:rPr>
        <w:instrText xml:space="preserve"> REF _Ref447296687 \r \h </w:instrText>
      </w:r>
      <w:r w:rsidR="00E1157C">
        <w:rPr>
          <w:rFonts w:eastAsia="Calibri"/>
        </w:rPr>
      </w:r>
      <w:r w:rsidR="00E1157C">
        <w:rPr>
          <w:rFonts w:eastAsia="Calibri"/>
        </w:rPr>
        <w:fldChar w:fldCharType="separate"/>
      </w:r>
      <w:r w:rsidR="00E1157C">
        <w:rPr>
          <w:rFonts w:eastAsia="Calibri"/>
        </w:rPr>
        <w:t>[4]</w:t>
      </w:r>
      <w:r w:rsidR="00E1157C">
        <w:rPr>
          <w:rFonts w:eastAsia="Calibri"/>
        </w:rPr>
        <w:fldChar w:fldCharType="end"/>
      </w:r>
      <w:r w:rsidR="00E1157C">
        <w:rPr>
          <w:rFonts w:eastAsia="Calibri"/>
        </w:rPr>
        <w:t xml:space="preserve">, </w:t>
      </w:r>
      <w:r w:rsidR="00E1157C">
        <w:rPr>
          <w:rFonts w:eastAsia="Calibri"/>
        </w:rPr>
        <w:fldChar w:fldCharType="begin"/>
      </w:r>
      <w:r w:rsidR="00E1157C">
        <w:rPr>
          <w:rFonts w:eastAsia="Calibri"/>
        </w:rPr>
        <w:instrText xml:space="preserve"> REF _Ref447296692 \r \h </w:instrText>
      </w:r>
      <w:r w:rsidR="00E1157C">
        <w:rPr>
          <w:rFonts w:eastAsia="Calibri"/>
        </w:rPr>
      </w:r>
      <w:r w:rsidR="00E1157C">
        <w:rPr>
          <w:rFonts w:eastAsia="Calibri"/>
        </w:rPr>
        <w:fldChar w:fldCharType="separate"/>
      </w:r>
      <w:r w:rsidR="00E1157C">
        <w:rPr>
          <w:rFonts w:eastAsia="Calibri"/>
        </w:rPr>
        <w:t>[5]</w:t>
      </w:r>
      <w:r w:rsidR="00E1157C">
        <w:rPr>
          <w:rFonts w:eastAsia="Calibri"/>
        </w:rPr>
        <w:fldChar w:fldCharType="end"/>
      </w:r>
      <w:r w:rsidR="00E1157C">
        <w:rPr>
          <w:rFonts w:eastAsia="Calibri"/>
        </w:rPr>
        <w:t xml:space="preserve">, and </w:t>
      </w:r>
      <w:r w:rsidR="00E1157C">
        <w:rPr>
          <w:rFonts w:eastAsia="Calibri"/>
        </w:rPr>
        <w:fldChar w:fldCharType="begin"/>
      </w:r>
      <w:r w:rsidR="00E1157C">
        <w:rPr>
          <w:rFonts w:eastAsia="Calibri"/>
        </w:rPr>
        <w:instrText xml:space="preserve"> REF _Ref447296974 \r \h </w:instrText>
      </w:r>
      <w:r w:rsidR="00E1157C">
        <w:rPr>
          <w:rFonts w:eastAsia="Calibri"/>
        </w:rPr>
      </w:r>
      <w:r w:rsidR="00E1157C">
        <w:rPr>
          <w:rFonts w:eastAsia="Calibri"/>
        </w:rPr>
        <w:fldChar w:fldCharType="separate"/>
      </w:r>
      <w:r w:rsidR="00E1157C">
        <w:rPr>
          <w:rFonts w:eastAsia="Calibri"/>
        </w:rPr>
        <w:t>[6]</w:t>
      </w:r>
      <w:r w:rsidR="00E1157C">
        <w:rPr>
          <w:rFonts w:eastAsia="Calibri"/>
        </w:rPr>
        <w:fldChar w:fldCharType="end"/>
      </w:r>
      <w:r w:rsidR="00E1157C">
        <w:rPr>
          <w:rFonts w:eastAsia="Calibri"/>
        </w:rPr>
        <w:t xml:space="preserve">, </w:t>
      </w:r>
      <w:r>
        <w:rPr>
          <w:rFonts w:eastAsia="Calibri"/>
        </w:rPr>
        <w:t xml:space="preserve">we note that if necessary, coverage can be increased by using frequency hopping between symbols. The payload of the new format should be at least two bits to support </w:t>
      </w:r>
      <w:r w:rsidR="00211CD5">
        <w:rPr>
          <w:rFonts w:eastAsia="Calibri"/>
        </w:rPr>
        <w:t>two transport blocks from DL</w:t>
      </w:r>
      <w:r>
        <w:rPr>
          <w:rFonts w:eastAsia="Calibri"/>
        </w:rPr>
        <w:t>. Existing channel selection techniques can be used to further increase the payload slightly.</w:t>
      </w:r>
    </w:p>
    <w:p w14:paraId="40ABB303" w14:textId="336EC88F" w:rsidR="008E79DA" w:rsidRDefault="008E79DA" w:rsidP="008E79DA">
      <w:pPr>
        <w:pStyle w:val="Observation"/>
        <w:rPr>
          <w:rFonts w:eastAsia="Calibri"/>
        </w:rPr>
      </w:pPr>
      <w:r>
        <w:rPr>
          <w:rFonts w:eastAsia="Calibri"/>
        </w:rPr>
        <w:lastRenderedPageBreak/>
        <w:t>The new low payload format should support multiplexing of at least two UEs on the same frequency resource.</w:t>
      </w:r>
    </w:p>
    <w:p w14:paraId="6689116F" w14:textId="273CCFAC" w:rsidR="008E79DA" w:rsidRDefault="008E79DA" w:rsidP="008E79DA">
      <w:pPr>
        <w:pStyle w:val="Observation"/>
        <w:rPr>
          <w:rFonts w:eastAsia="Calibri"/>
        </w:rPr>
      </w:pPr>
      <w:r>
        <w:rPr>
          <w:rFonts w:eastAsia="Calibri"/>
        </w:rPr>
        <w:t>Frequency hopping can be used to increase coverage.</w:t>
      </w:r>
    </w:p>
    <w:p w14:paraId="02B24EE8" w14:textId="0D89C452" w:rsidR="008E79DA" w:rsidRDefault="008E79DA" w:rsidP="008E79DA">
      <w:pPr>
        <w:pStyle w:val="Observation"/>
        <w:rPr>
          <w:rFonts w:eastAsia="Calibri"/>
        </w:rPr>
      </w:pPr>
      <w:r>
        <w:rPr>
          <w:rFonts w:eastAsia="Calibri"/>
        </w:rPr>
        <w:t>The payload of the new small format should be at least two bits.</w:t>
      </w:r>
    </w:p>
    <w:p w14:paraId="60B20CF8" w14:textId="77777777" w:rsidR="000964B5" w:rsidRDefault="000964B5" w:rsidP="000964B5">
      <w:pPr>
        <w:pStyle w:val="Observation"/>
        <w:numPr>
          <w:ilvl w:val="0"/>
          <w:numId w:val="0"/>
        </w:numPr>
        <w:rPr>
          <w:rFonts w:eastAsia="Calibri"/>
        </w:rPr>
      </w:pPr>
    </w:p>
    <w:p w14:paraId="3BBB6950" w14:textId="26CC526E" w:rsidR="000964B5" w:rsidRPr="000964B5" w:rsidRDefault="000964B5" w:rsidP="000964B5">
      <w:pPr>
        <w:pStyle w:val="Proposal"/>
        <w:numPr>
          <w:ilvl w:val="0"/>
          <w:numId w:val="44"/>
        </w:numPr>
        <w:textAlignment w:val="auto"/>
      </w:pPr>
      <w:r>
        <w:t>Define a low payload sPUCCH format that can be multiplexed and can support TTI lengths down to 2 symbols.</w:t>
      </w:r>
    </w:p>
    <w:p w14:paraId="1FC3ED71" w14:textId="77777777" w:rsidR="000964B5" w:rsidRDefault="000964B5" w:rsidP="000964B5">
      <w:pPr>
        <w:pStyle w:val="Observation"/>
        <w:numPr>
          <w:ilvl w:val="0"/>
          <w:numId w:val="0"/>
        </w:numPr>
        <w:rPr>
          <w:rFonts w:eastAsia="Calibri"/>
        </w:rPr>
      </w:pPr>
    </w:p>
    <w:p w14:paraId="3EC7D133" w14:textId="5D456050" w:rsidR="008E79DA" w:rsidRDefault="008E79DA" w:rsidP="008E79DA">
      <w:pPr>
        <w:pStyle w:val="Heading2"/>
        <w:rPr>
          <w:rFonts w:eastAsia="Calibri"/>
        </w:rPr>
      </w:pPr>
      <w:r>
        <w:rPr>
          <w:rFonts w:eastAsia="Calibri"/>
        </w:rPr>
        <w:t>Large payload format</w:t>
      </w:r>
    </w:p>
    <w:p w14:paraId="5217E3ED" w14:textId="35056CC3" w:rsidR="0006498A" w:rsidRDefault="006A145F" w:rsidP="008E79DA">
      <w:pPr>
        <w:rPr>
          <w:rFonts w:eastAsia="Calibri"/>
        </w:rPr>
      </w:pPr>
      <w:r>
        <w:rPr>
          <w:rFonts w:eastAsia="Calibri"/>
        </w:rPr>
        <w:t>As noted above, a format supporting a higher payload is necessary</w:t>
      </w:r>
      <w:r w:rsidR="000207D3">
        <w:rPr>
          <w:rFonts w:eastAsia="Calibri"/>
        </w:rPr>
        <w:t xml:space="preserve"> </w:t>
      </w:r>
      <w:r w:rsidR="001907A4">
        <w:rPr>
          <w:rFonts w:eastAsia="Calibri"/>
        </w:rPr>
        <w:t>t</w:t>
      </w:r>
      <w:r w:rsidR="00211CD5">
        <w:rPr>
          <w:rFonts w:eastAsia="Calibri"/>
        </w:rPr>
        <w:t>o be able to support FS2 operation with sTTI</w:t>
      </w:r>
      <w:r w:rsidR="000207D3">
        <w:rPr>
          <w:rFonts w:eastAsia="Calibri"/>
        </w:rPr>
        <w:t>. In addition, for is beneficial to support such a format for</w:t>
      </w:r>
      <w:r w:rsidR="001907A4">
        <w:rPr>
          <w:rFonts w:eastAsia="Calibri"/>
        </w:rPr>
        <w:t xml:space="preserve"> </w:t>
      </w:r>
      <w:r w:rsidR="00211CD5">
        <w:rPr>
          <w:rFonts w:eastAsia="Calibri"/>
        </w:rPr>
        <w:t>FS1 if the sTTI length in UL differs very much between UL and DL</w:t>
      </w:r>
      <w:r w:rsidR="001907A4">
        <w:rPr>
          <w:rFonts w:eastAsia="Calibri"/>
        </w:rPr>
        <w:t>,</w:t>
      </w:r>
      <w:r w:rsidR="00211CD5">
        <w:rPr>
          <w:rFonts w:eastAsia="Calibri"/>
        </w:rPr>
        <w:t xml:space="preserve"> and to support carrier aggregation together with sTTI. Further to support periodic CSI reporting with sTTI such a</w:t>
      </w:r>
      <w:r w:rsidR="001907A4">
        <w:rPr>
          <w:rFonts w:eastAsia="Calibri"/>
        </w:rPr>
        <w:t xml:space="preserve"> </w:t>
      </w:r>
      <w:r w:rsidR="00211CD5">
        <w:rPr>
          <w:rFonts w:eastAsia="Calibri"/>
        </w:rPr>
        <w:t xml:space="preserve">format </w:t>
      </w:r>
      <w:r w:rsidR="001907A4">
        <w:rPr>
          <w:rFonts w:eastAsia="Calibri"/>
        </w:rPr>
        <w:t>is needed</w:t>
      </w:r>
      <w:r w:rsidR="00211CD5">
        <w:rPr>
          <w:rFonts w:eastAsia="Calibri"/>
        </w:rPr>
        <w:t xml:space="preserve">. </w:t>
      </w:r>
      <w:r w:rsidR="000207D3">
        <w:rPr>
          <w:rFonts w:eastAsia="Calibri"/>
        </w:rPr>
        <w:t xml:space="preserve">Further if the UE supports dynamic switching between multiple TTI lengths there may further be need for a large payload format. </w:t>
      </w:r>
      <w:r w:rsidR="00211CD5">
        <w:rPr>
          <w:rFonts w:eastAsia="Calibri"/>
        </w:rPr>
        <w:t>The specific number of bits that needs to be support</w:t>
      </w:r>
      <w:r w:rsidR="001907A4">
        <w:rPr>
          <w:rFonts w:eastAsia="Calibri"/>
        </w:rPr>
        <w:t>ed</w:t>
      </w:r>
      <w:r w:rsidR="00211CD5">
        <w:rPr>
          <w:rFonts w:eastAsia="Calibri"/>
        </w:rPr>
        <w:t xml:space="preserve"> </w:t>
      </w:r>
      <w:r w:rsidR="001907A4">
        <w:rPr>
          <w:rFonts w:eastAsia="Calibri"/>
        </w:rPr>
        <w:t xml:space="preserve">depends on </w:t>
      </w:r>
      <w:r w:rsidR="00211CD5">
        <w:rPr>
          <w:rFonts w:eastAsia="Calibri"/>
        </w:rPr>
        <w:t>the sTTI length in DL, the corresponding processing time</w:t>
      </w:r>
      <w:r w:rsidR="001907A4">
        <w:rPr>
          <w:rFonts w:eastAsia="Calibri"/>
        </w:rPr>
        <w:t>,</w:t>
      </w:r>
      <w:r w:rsidR="00211CD5">
        <w:rPr>
          <w:rFonts w:eastAsia="Calibri"/>
        </w:rPr>
        <w:t xml:space="preserve"> and what feature</w:t>
      </w:r>
      <w:r w:rsidR="001907A4">
        <w:rPr>
          <w:rFonts w:eastAsia="Calibri"/>
        </w:rPr>
        <w:t>s</w:t>
      </w:r>
      <w:r w:rsidR="00211CD5">
        <w:rPr>
          <w:rFonts w:eastAsia="Calibri"/>
        </w:rPr>
        <w:t xml:space="preserve"> can be combined with sTTI operation</w:t>
      </w:r>
      <w:r w:rsidR="001907A4">
        <w:rPr>
          <w:rFonts w:eastAsia="Calibri"/>
        </w:rPr>
        <w:t>, and</w:t>
      </w:r>
      <w:r w:rsidR="00211CD5">
        <w:rPr>
          <w:rFonts w:eastAsia="Calibri"/>
        </w:rPr>
        <w:t xml:space="preserve"> </w:t>
      </w:r>
      <w:r w:rsidR="001907A4">
        <w:rPr>
          <w:rFonts w:eastAsia="Calibri"/>
        </w:rPr>
        <w:t xml:space="preserve">can be outlined after this has become clear. </w:t>
      </w:r>
      <w:r w:rsidR="00211CD5">
        <w:rPr>
          <w:rFonts w:eastAsia="Calibri"/>
        </w:rPr>
        <w:t>To start the discussion however we here assume that some form of PUCCH format that support</w:t>
      </w:r>
      <w:r w:rsidR="001907A4">
        <w:rPr>
          <w:rFonts w:eastAsia="Calibri"/>
        </w:rPr>
        <w:t>s</w:t>
      </w:r>
      <w:r w:rsidR="00211CD5">
        <w:rPr>
          <w:rFonts w:eastAsia="Calibri"/>
        </w:rPr>
        <w:t xml:space="preserve"> larger payloads are needed. An estimate of the </w:t>
      </w:r>
      <w:r>
        <w:rPr>
          <w:rFonts w:eastAsia="Calibri"/>
        </w:rPr>
        <w:t xml:space="preserve">payload </w:t>
      </w:r>
      <w:r w:rsidR="00211CD5">
        <w:rPr>
          <w:rFonts w:eastAsia="Calibri"/>
        </w:rPr>
        <w:t xml:space="preserve">is that it should support </w:t>
      </w:r>
      <w:r>
        <w:rPr>
          <w:rFonts w:eastAsia="Calibri"/>
        </w:rPr>
        <w:t>from 4 ~ 20</w:t>
      </w:r>
      <w:r w:rsidR="00211CD5">
        <w:rPr>
          <w:rFonts w:eastAsia="Calibri"/>
        </w:rPr>
        <w:t xml:space="preserve"> or </w:t>
      </w:r>
      <w:r w:rsidR="001907A4">
        <w:rPr>
          <w:rFonts w:eastAsia="Calibri"/>
        </w:rPr>
        <w:t xml:space="preserve">a </w:t>
      </w:r>
      <w:r w:rsidR="00211CD5">
        <w:rPr>
          <w:rFonts w:eastAsia="Calibri"/>
        </w:rPr>
        <w:t>higher number bits e.g. 40 bits</w:t>
      </w:r>
      <w:r>
        <w:rPr>
          <w:rFonts w:eastAsia="Calibri"/>
        </w:rPr>
        <w:t>.</w:t>
      </w:r>
      <w:r w:rsidR="00211CD5">
        <w:rPr>
          <w:rFonts w:eastAsia="Calibri"/>
        </w:rPr>
        <w:t xml:space="preserve"> </w:t>
      </w:r>
      <w:r w:rsidR="001907A4">
        <w:rPr>
          <w:rFonts w:eastAsia="Calibri"/>
        </w:rPr>
        <w:t>H</w:t>
      </w:r>
      <w:r w:rsidR="00211CD5">
        <w:rPr>
          <w:rFonts w:eastAsia="Calibri"/>
        </w:rPr>
        <w:t>owever</w:t>
      </w:r>
      <w:r w:rsidR="001907A4">
        <w:rPr>
          <w:rFonts w:eastAsia="Calibri"/>
        </w:rPr>
        <w:t>, this has</w:t>
      </w:r>
      <w:r w:rsidR="00211CD5">
        <w:rPr>
          <w:rFonts w:eastAsia="Calibri"/>
        </w:rPr>
        <w:t xml:space="preserve"> to be outlined in more detail after the DL sTTI lengths are determined</w:t>
      </w:r>
      <w:r w:rsidR="000207D3">
        <w:rPr>
          <w:rFonts w:eastAsia="Calibri"/>
        </w:rPr>
        <w:t xml:space="preserve"> together with the corresponding sTTI lengths for PUCCH</w:t>
      </w:r>
      <w:r w:rsidR="00211CD5">
        <w:rPr>
          <w:rFonts w:eastAsia="Calibri"/>
        </w:rPr>
        <w:t>.</w:t>
      </w:r>
      <w:r>
        <w:rPr>
          <w:rFonts w:eastAsia="Calibri"/>
        </w:rPr>
        <w:t xml:space="preserve"> </w:t>
      </w:r>
    </w:p>
    <w:p w14:paraId="31552641" w14:textId="1ED8F209" w:rsidR="0006498A" w:rsidRDefault="006A145F" w:rsidP="0006498A">
      <w:pPr>
        <w:rPr>
          <w:rFonts w:eastAsia="Calibri"/>
        </w:rPr>
      </w:pPr>
      <w:r>
        <w:rPr>
          <w:rFonts w:eastAsia="Calibri"/>
        </w:rPr>
        <w:t>A simple design of such a format is to reuse a shortened PUCCH Format 4 design, with 1 OFDM symbol used as a reference symbols, and the rest of the OFDM symbols used for DFT-spread OFDM. Depending on the payload, the channel coding scheme of PUCCH format 3 or PUCCH format 4 could be used. Using this format, coverage can be achieved by increasing the number of PRBs used, which results in a higher coding gain.</w:t>
      </w:r>
      <w:r w:rsidR="00C3054A">
        <w:rPr>
          <w:rFonts w:eastAsia="Calibri"/>
        </w:rPr>
        <w:t xml:space="preserve"> </w:t>
      </w:r>
      <w:r w:rsidR="0006498A">
        <w:rPr>
          <w:rFonts w:eastAsia="Calibri"/>
        </w:rPr>
        <w:t>However, as can be seen from link level evaluations in</w:t>
      </w:r>
      <w:r w:rsidR="00C3054A">
        <w:rPr>
          <w:rFonts w:eastAsia="Calibri"/>
        </w:rPr>
        <w:t xml:space="preserve"> </w:t>
      </w:r>
      <w:r w:rsidR="00C3054A">
        <w:rPr>
          <w:rFonts w:eastAsia="Calibri"/>
        </w:rPr>
        <w:fldChar w:fldCharType="begin"/>
      </w:r>
      <w:r w:rsidR="00C3054A">
        <w:rPr>
          <w:rFonts w:eastAsia="Calibri"/>
        </w:rPr>
        <w:instrText xml:space="preserve"> REF _Ref447297177 \r \h </w:instrText>
      </w:r>
      <w:r w:rsidR="00C3054A">
        <w:rPr>
          <w:rFonts w:eastAsia="Calibri"/>
        </w:rPr>
      </w:r>
      <w:r w:rsidR="00C3054A">
        <w:rPr>
          <w:rFonts w:eastAsia="Calibri"/>
        </w:rPr>
        <w:fldChar w:fldCharType="separate"/>
      </w:r>
      <w:r w:rsidR="00C3054A">
        <w:rPr>
          <w:rFonts w:eastAsia="Calibri"/>
        </w:rPr>
        <w:t>[4]</w:t>
      </w:r>
      <w:r w:rsidR="00C3054A">
        <w:rPr>
          <w:rFonts w:eastAsia="Calibri"/>
        </w:rPr>
        <w:fldChar w:fldCharType="end"/>
      </w:r>
      <w:r w:rsidR="0006498A">
        <w:rPr>
          <w:rFonts w:eastAsia="Calibri"/>
        </w:rPr>
        <w:t xml:space="preserve">, increasing the transmission bandwidth of this format is only efficient up to a certain point due to the rate matching being based on repetition of coded bits. Thus increasing the bandwidth does not always increase the coverage for power limited UEs, since the amount of energy in the signal does not increase. However, by increasing the TTI length for sPUCCH, coverage can be increased. Using CA as an example, compare an sPUCCH of length two symbols with an sPUCCH of length four symbols. The longer sPUCCH format needs to carry twice as many HARQ bits as the shorter format, since up HARQ feedback from up to twice as many DL data transmissions needs to be conveyed. However, since the reference signal overhead is reduced by using a longer sPUCCH format there is an additional coding gain compared to using two instances of the shorter format. This observation is confirmed in </w:t>
      </w:r>
      <w:r w:rsidR="00C3054A">
        <w:rPr>
          <w:rFonts w:eastAsia="Calibri"/>
        </w:rPr>
        <w:fldChar w:fldCharType="begin"/>
      </w:r>
      <w:r w:rsidR="00C3054A">
        <w:rPr>
          <w:rFonts w:eastAsia="Calibri"/>
        </w:rPr>
        <w:instrText xml:space="preserve"> REF _Ref447297177 \r \h </w:instrText>
      </w:r>
      <w:r w:rsidR="00C3054A">
        <w:rPr>
          <w:rFonts w:eastAsia="Calibri"/>
        </w:rPr>
      </w:r>
      <w:r w:rsidR="00C3054A">
        <w:rPr>
          <w:rFonts w:eastAsia="Calibri"/>
        </w:rPr>
        <w:fldChar w:fldCharType="separate"/>
      </w:r>
      <w:r w:rsidR="00C3054A">
        <w:rPr>
          <w:rFonts w:eastAsia="Calibri"/>
        </w:rPr>
        <w:t>[4]</w:t>
      </w:r>
      <w:r w:rsidR="00C3054A">
        <w:rPr>
          <w:rFonts w:eastAsia="Calibri"/>
        </w:rPr>
        <w:fldChar w:fldCharType="end"/>
      </w:r>
      <w:r w:rsidR="00C3054A">
        <w:rPr>
          <w:rFonts w:eastAsia="Calibri"/>
        </w:rPr>
        <w:t>.</w:t>
      </w:r>
    </w:p>
    <w:p w14:paraId="6E4EBA13" w14:textId="798FEEB5" w:rsidR="008E79DA" w:rsidRDefault="008E79DA" w:rsidP="008E79DA">
      <w:pPr>
        <w:rPr>
          <w:rFonts w:eastAsia="Calibri"/>
        </w:rPr>
      </w:pPr>
    </w:p>
    <w:p w14:paraId="0BF47934" w14:textId="7F8A629A" w:rsidR="006A145F" w:rsidRDefault="00185A42" w:rsidP="006A145F">
      <w:pPr>
        <w:pStyle w:val="Observation"/>
        <w:rPr>
          <w:rFonts w:eastAsia="Calibri"/>
        </w:rPr>
      </w:pPr>
      <w:r>
        <w:rPr>
          <w:rFonts w:eastAsia="Calibri"/>
        </w:rPr>
        <w:t>A high payload format similar to PUCCH format 4 can be designed, reusing existing coding schemes.</w:t>
      </w:r>
    </w:p>
    <w:p w14:paraId="00094AE2" w14:textId="46326DD0" w:rsidR="00185A42" w:rsidRDefault="00185A42" w:rsidP="006A145F">
      <w:pPr>
        <w:pStyle w:val="Observation"/>
        <w:rPr>
          <w:rFonts w:eastAsia="Calibri"/>
        </w:rPr>
      </w:pPr>
      <w:r>
        <w:rPr>
          <w:rFonts w:eastAsia="Calibri"/>
        </w:rPr>
        <w:t>By increasing the number of PRBs, better coverage for the higher payload format can be achieved.</w:t>
      </w:r>
    </w:p>
    <w:p w14:paraId="78CDEC83" w14:textId="77777777" w:rsidR="000964B5" w:rsidRDefault="000964B5" w:rsidP="000964B5"/>
    <w:p w14:paraId="0EF75A20" w14:textId="26212EC6" w:rsidR="000964B5" w:rsidRDefault="000964B5" w:rsidP="000964B5">
      <w:pPr>
        <w:pStyle w:val="Proposal"/>
        <w:numPr>
          <w:ilvl w:val="0"/>
          <w:numId w:val="44"/>
        </w:numPr>
        <w:textAlignment w:val="auto"/>
      </w:pPr>
      <w:r>
        <w:t>Define a high payload sPUCCH format</w:t>
      </w:r>
      <w:r w:rsidR="000207D3">
        <w:t xml:space="preserve"> targeting the use case</w:t>
      </w:r>
      <w:r>
        <w:t xml:space="preserve"> </w:t>
      </w:r>
      <w:r w:rsidR="00320474">
        <w:t>of multiple TTI lengths,</w:t>
      </w:r>
      <w:r>
        <w:t xml:space="preserve"> </w:t>
      </w:r>
      <w:r w:rsidR="00DE7D47">
        <w:t>FS2</w:t>
      </w:r>
      <w:r>
        <w:t>, CSI and CA support.</w:t>
      </w:r>
    </w:p>
    <w:p w14:paraId="36C0553C" w14:textId="77777777" w:rsidR="000964B5" w:rsidRPr="008E79DA" w:rsidRDefault="000964B5" w:rsidP="000964B5">
      <w:pPr>
        <w:pStyle w:val="Observation"/>
        <w:numPr>
          <w:ilvl w:val="0"/>
          <w:numId w:val="0"/>
        </w:numPr>
        <w:ind w:left="1701"/>
        <w:rPr>
          <w:rFonts w:eastAsia="Calibri"/>
        </w:rPr>
      </w:pPr>
    </w:p>
    <w:p w14:paraId="3C6F71B5" w14:textId="77777777" w:rsidR="00EB6169" w:rsidRDefault="00EB6169" w:rsidP="00EB6169">
      <w:pPr>
        <w:pStyle w:val="Heading1"/>
        <w:numPr>
          <w:ilvl w:val="0"/>
          <w:numId w:val="43"/>
        </w:numPr>
        <w:textAlignment w:val="auto"/>
        <w:rPr>
          <w:lang w:val="en-US"/>
        </w:rPr>
      </w:pPr>
      <w:r>
        <w:rPr>
          <w:lang w:val="en-US"/>
        </w:rPr>
        <w:t>Summary</w:t>
      </w:r>
    </w:p>
    <w:p w14:paraId="1A6A059F" w14:textId="051F62A3" w:rsidR="00EB6169" w:rsidRDefault="00EB6169" w:rsidP="00EB6169">
      <w:pPr>
        <w:rPr>
          <w:noProof/>
        </w:rPr>
      </w:pPr>
      <w:r>
        <w:rPr>
          <w:noProof/>
        </w:rPr>
        <w:t>In this contribution we discussed</w:t>
      </w:r>
      <w:r w:rsidR="001907A4">
        <w:rPr>
          <w:noProof/>
        </w:rPr>
        <w:t xml:space="preserve"> different use cases for sPUCCH together with associated requirements. We made the following observations and proposals:</w:t>
      </w:r>
    </w:p>
    <w:p w14:paraId="68CDE0A9" w14:textId="77777777" w:rsidR="00603DB1" w:rsidRDefault="00603DB1" w:rsidP="00603DB1">
      <w:pPr>
        <w:pStyle w:val="Observation"/>
        <w:numPr>
          <w:ilvl w:val="0"/>
          <w:numId w:val="46"/>
        </w:numPr>
      </w:pPr>
      <w:r>
        <w:t>At least two new short PUCCH formats with different payloads are needed.</w:t>
      </w:r>
    </w:p>
    <w:p w14:paraId="29D579DA" w14:textId="77777777" w:rsidR="00603DB1" w:rsidRDefault="00603DB1" w:rsidP="00603DB1">
      <w:pPr>
        <w:pStyle w:val="Observation"/>
        <w:numPr>
          <w:ilvl w:val="0"/>
          <w:numId w:val="46"/>
        </w:numPr>
      </w:pPr>
      <w:r>
        <w:t>Some reduction in coverage of sPUCCH compared to PUCCH is expected.</w:t>
      </w:r>
    </w:p>
    <w:p w14:paraId="1EE424D8" w14:textId="04CE7600" w:rsidR="00603DB1" w:rsidRPr="00ED79BF" w:rsidRDefault="00603DB1" w:rsidP="00603DB1">
      <w:pPr>
        <w:pStyle w:val="Observation"/>
        <w:numPr>
          <w:ilvl w:val="0"/>
          <w:numId w:val="46"/>
        </w:numPr>
      </w:pPr>
      <w:r>
        <w:t xml:space="preserve">The sPUCCH can be placed in connection to PUCCH, or inside </w:t>
      </w:r>
      <w:r w:rsidR="00CD2FE6">
        <w:t>an</w:t>
      </w:r>
      <w:r>
        <w:t xml:space="preserve"> UL sTTI band.</w:t>
      </w:r>
    </w:p>
    <w:p w14:paraId="07DAE0DB" w14:textId="77777777" w:rsidR="00603DB1" w:rsidRPr="00603DB1" w:rsidRDefault="00603DB1" w:rsidP="00603DB1">
      <w:pPr>
        <w:pStyle w:val="Observation"/>
        <w:numPr>
          <w:ilvl w:val="0"/>
          <w:numId w:val="46"/>
        </w:numPr>
        <w:rPr>
          <w:rFonts w:eastAsia="Calibri"/>
        </w:rPr>
      </w:pPr>
      <w:r w:rsidRPr="00603DB1">
        <w:rPr>
          <w:rFonts w:eastAsia="Calibri"/>
        </w:rPr>
        <w:lastRenderedPageBreak/>
        <w:t>The new low payload format should support multiplexing of at least two UEs on the same frequency resource.</w:t>
      </w:r>
    </w:p>
    <w:p w14:paraId="72F0EE66" w14:textId="77777777" w:rsidR="00603DB1" w:rsidRPr="00603DB1" w:rsidRDefault="00603DB1" w:rsidP="00603DB1">
      <w:pPr>
        <w:pStyle w:val="Observation"/>
        <w:numPr>
          <w:ilvl w:val="0"/>
          <w:numId w:val="46"/>
        </w:numPr>
        <w:rPr>
          <w:rFonts w:eastAsia="Calibri"/>
        </w:rPr>
      </w:pPr>
      <w:r w:rsidRPr="00603DB1">
        <w:rPr>
          <w:rFonts w:eastAsia="Calibri"/>
        </w:rPr>
        <w:t>Frequency hopping can be used to increase coverage.</w:t>
      </w:r>
    </w:p>
    <w:p w14:paraId="1FF6ABC7" w14:textId="77777777" w:rsidR="00603DB1" w:rsidRDefault="00603DB1" w:rsidP="00603DB1">
      <w:pPr>
        <w:pStyle w:val="Observation"/>
        <w:numPr>
          <w:ilvl w:val="0"/>
          <w:numId w:val="46"/>
        </w:numPr>
        <w:rPr>
          <w:rFonts w:eastAsia="Calibri"/>
        </w:rPr>
      </w:pPr>
      <w:r w:rsidRPr="00603DB1">
        <w:rPr>
          <w:rFonts w:eastAsia="Calibri"/>
        </w:rPr>
        <w:t>The payload of the new small format should be at least two bits.</w:t>
      </w:r>
    </w:p>
    <w:p w14:paraId="16EFD395" w14:textId="77777777" w:rsidR="00603DB1" w:rsidRPr="00603DB1" w:rsidRDefault="00603DB1" w:rsidP="00603DB1">
      <w:pPr>
        <w:pStyle w:val="Observation"/>
        <w:numPr>
          <w:ilvl w:val="0"/>
          <w:numId w:val="46"/>
        </w:numPr>
        <w:rPr>
          <w:rFonts w:eastAsia="Calibri"/>
        </w:rPr>
      </w:pPr>
      <w:r w:rsidRPr="00603DB1">
        <w:rPr>
          <w:rFonts w:eastAsia="Calibri"/>
        </w:rPr>
        <w:t>A high payload format similar to PUCCH format 4 can be designed, reusing existing coding schemes.</w:t>
      </w:r>
    </w:p>
    <w:p w14:paraId="52F4DDDA" w14:textId="54D4CA79" w:rsidR="00603DB1" w:rsidRPr="00603DB1" w:rsidRDefault="00603DB1" w:rsidP="00603DB1">
      <w:pPr>
        <w:pStyle w:val="Observation"/>
        <w:numPr>
          <w:ilvl w:val="0"/>
          <w:numId w:val="46"/>
        </w:numPr>
        <w:rPr>
          <w:rFonts w:eastAsia="Calibri"/>
        </w:rPr>
      </w:pPr>
      <w:r w:rsidRPr="00603DB1">
        <w:rPr>
          <w:rFonts w:eastAsia="Calibri"/>
        </w:rPr>
        <w:t>By increasing the number of PRBs, better coverage for the higher payload format can be achieved.</w:t>
      </w:r>
    </w:p>
    <w:p w14:paraId="70666892" w14:textId="2017C09D" w:rsidR="00EB6169" w:rsidRDefault="00EB6169" w:rsidP="00603DB1">
      <w:pPr>
        <w:pStyle w:val="Observation"/>
        <w:numPr>
          <w:ilvl w:val="0"/>
          <w:numId w:val="0"/>
        </w:numPr>
        <w:ind w:left="360"/>
        <w:textAlignment w:val="auto"/>
      </w:pPr>
    </w:p>
    <w:p w14:paraId="2A921453" w14:textId="77777777" w:rsidR="00603DB1" w:rsidRPr="000964B5" w:rsidRDefault="00603DB1" w:rsidP="00603DB1">
      <w:pPr>
        <w:pStyle w:val="Proposal"/>
        <w:numPr>
          <w:ilvl w:val="0"/>
          <w:numId w:val="47"/>
        </w:numPr>
        <w:textAlignment w:val="auto"/>
      </w:pPr>
      <w:r>
        <w:t>Define a low payload sPUCCH format that can be multiplexed and can support TTI lengths down to 2 symbols.</w:t>
      </w:r>
    </w:p>
    <w:p w14:paraId="2FB2E0AD" w14:textId="77777777" w:rsidR="00603DB1" w:rsidRDefault="00603DB1" w:rsidP="00603DB1">
      <w:pPr>
        <w:pStyle w:val="Proposal"/>
        <w:numPr>
          <w:ilvl w:val="0"/>
          <w:numId w:val="47"/>
        </w:numPr>
        <w:textAlignment w:val="auto"/>
      </w:pPr>
      <w:r>
        <w:t>Define a high payload sPUCCH format targeting the use case of multiple TTI lengths, FS2, CSI and CA support.</w:t>
      </w:r>
    </w:p>
    <w:p w14:paraId="27B1D0A8" w14:textId="77777777" w:rsidR="003730EF" w:rsidRDefault="003730EF" w:rsidP="00193A16">
      <w:pPr>
        <w:rPr>
          <w:rFonts w:eastAsia="Calibri"/>
          <w:lang w:val="en-US" w:eastAsia="en-US"/>
        </w:rPr>
      </w:pPr>
    </w:p>
    <w:p w14:paraId="047FD24B" w14:textId="77777777" w:rsidR="00D00AE7" w:rsidRPr="00A742FA" w:rsidRDefault="00D00AE7" w:rsidP="00D00AE7">
      <w:pPr>
        <w:pStyle w:val="Heading1"/>
        <w:rPr>
          <w:lang w:val="en-US"/>
        </w:rPr>
      </w:pPr>
      <w:r w:rsidRPr="00A742FA">
        <w:rPr>
          <w:lang w:val="en-US"/>
        </w:rPr>
        <w:t>Reference</w:t>
      </w:r>
      <w:r>
        <w:rPr>
          <w:lang w:val="en-US"/>
        </w:rPr>
        <w:t>s</w:t>
      </w:r>
    </w:p>
    <w:p w14:paraId="005819D7" w14:textId="77777777" w:rsidR="00BF2E38" w:rsidRDefault="00BF2E38" w:rsidP="00BF2E38">
      <w:pPr>
        <w:pStyle w:val="Reference"/>
        <w:keepNext/>
        <w:keepLines/>
        <w:rPr>
          <w:lang w:val="en-US"/>
        </w:rPr>
      </w:pPr>
      <w:bookmarkStart w:id="5" w:name="_Ref441739574"/>
      <w:r w:rsidRPr="00AD5D7E">
        <w:rPr>
          <w:rFonts w:cs="Arial"/>
          <w:bCs/>
          <w:noProof/>
          <w:szCs w:val="18"/>
          <w:lang w:val="en-US"/>
        </w:rPr>
        <w:t>R1-157146</w:t>
      </w:r>
      <w:r>
        <w:rPr>
          <w:rFonts w:cs="Arial"/>
          <w:bCs/>
          <w:noProof/>
          <w:szCs w:val="18"/>
          <w:lang w:val="en-US"/>
        </w:rPr>
        <w:t xml:space="preserve">, </w:t>
      </w:r>
      <w:r w:rsidRPr="00AD5D7E">
        <w:rPr>
          <w:lang w:val="en-US"/>
        </w:rPr>
        <w:t>Overview of TTI shortening</w:t>
      </w:r>
      <w:r>
        <w:rPr>
          <w:lang w:val="en-US"/>
        </w:rPr>
        <w:t>, Ericsson, RAN1#83, November 2015.</w:t>
      </w:r>
      <w:bookmarkEnd w:id="5"/>
    </w:p>
    <w:p w14:paraId="31C2D4AD" w14:textId="30EDE914" w:rsidR="00C529D8" w:rsidRPr="00603DB1" w:rsidRDefault="00C529D8" w:rsidP="00BF2E38">
      <w:pPr>
        <w:pStyle w:val="Reference"/>
        <w:keepNext/>
        <w:keepLines/>
        <w:rPr>
          <w:lang w:val="en-US"/>
        </w:rPr>
      </w:pPr>
      <w:bookmarkStart w:id="6" w:name="_Ref447222988"/>
      <w:r>
        <w:rPr>
          <w:rFonts w:cs="Arial"/>
          <w:bCs/>
          <w:noProof/>
          <w:szCs w:val="18"/>
          <w:lang w:val="en-US"/>
        </w:rPr>
        <w:t>R1-</w:t>
      </w:r>
      <w:r w:rsidR="00C3054A">
        <w:rPr>
          <w:rFonts w:cs="Arial"/>
          <w:bCs/>
          <w:noProof/>
          <w:szCs w:val="18"/>
          <w:lang w:val="en-US"/>
        </w:rPr>
        <w:t>163326</w:t>
      </w:r>
      <w:r>
        <w:rPr>
          <w:rFonts w:cs="Arial"/>
          <w:bCs/>
          <w:noProof/>
          <w:szCs w:val="18"/>
          <w:lang w:val="en-US"/>
        </w:rPr>
        <w:t xml:space="preserve">, </w:t>
      </w:r>
      <w:r w:rsidR="00C3054A" w:rsidRPr="009A0CF4">
        <w:rPr>
          <w:lang w:val="en-US"/>
        </w:rPr>
        <w:t>On processing time reduction and related procedures</w:t>
      </w:r>
      <w:r>
        <w:rPr>
          <w:rFonts w:cs="Arial"/>
          <w:bCs/>
          <w:noProof/>
          <w:szCs w:val="18"/>
          <w:lang w:val="en-US"/>
        </w:rPr>
        <w:t>, RAN1#84bis</w:t>
      </w:r>
      <w:bookmarkEnd w:id="6"/>
      <w:r w:rsidR="00C3054A">
        <w:rPr>
          <w:rFonts w:cs="Arial"/>
          <w:bCs/>
          <w:noProof/>
          <w:szCs w:val="18"/>
          <w:lang w:val="en-US"/>
        </w:rPr>
        <w:t>, April 2016</w:t>
      </w:r>
    </w:p>
    <w:p w14:paraId="6C85A570" w14:textId="2FA9861E" w:rsidR="00E1157C" w:rsidRPr="00603DB1" w:rsidRDefault="00E1157C" w:rsidP="00603DB1">
      <w:pPr>
        <w:pStyle w:val="Reference"/>
        <w:rPr>
          <w:lang w:val="en-US"/>
        </w:rPr>
      </w:pPr>
      <w:bookmarkStart w:id="7" w:name="_Ref447296969"/>
      <w:r>
        <w:rPr>
          <w:rFonts w:cs="Arial"/>
          <w:bCs/>
          <w:noProof/>
          <w:szCs w:val="18"/>
          <w:lang w:val="en-US"/>
        </w:rPr>
        <w:t xml:space="preserve">R1-160935, </w:t>
      </w:r>
      <w:r w:rsidRPr="00BF1856">
        <w:rPr>
          <w:lang w:val="en-US"/>
        </w:rPr>
        <w:t>Link level evaluation of PUCCH for short TTI</w:t>
      </w:r>
      <w:r>
        <w:rPr>
          <w:lang w:val="en-US"/>
        </w:rPr>
        <w:t xml:space="preserve">, Ericsson, </w:t>
      </w:r>
      <w:r>
        <w:rPr>
          <w:rFonts w:cs="Arial"/>
          <w:bCs/>
          <w:noProof/>
          <w:szCs w:val="18"/>
          <w:lang w:val="en-US"/>
        </w:rPr>
        <w:t>RAN1#84, February 2016</w:t>
      </w:r>
      <w:bookmarkEnd w:id="7"/>
    </w:p>
    <w:p w14:paraId="616A2528" w14:textId="1BF61015" w:rsidR="00C3054A" w:rsidRPr="00603DB1" w:rsidRDefault="00C3054A" w:rsidP="00603DB1">
      <w:pPr>
        <w:pStyle w:val="Reference"/>
        <w:rPr>
          <w:lang w:val="en-US"/>
        </w:rPr>
      </w:pPr>
      <w:bookmarkStart w:id="8" w:name="_Ref447297177"/>
      <w:r>
        <w:rPr>
          <w:lang w:val="en-US"/>
        </w:rPr>
        <w:t xml:space="preserve">R1-163317, </w:t>
      </w:r>
      <w:r w:rsidRPr="00D27ADC">
        <w:rPr>
          <w:lang w:val="en-US"/>
        </w:rPr>
        <w:t>Link evaluation for PUCCH for short TTI</w:t>
      </w:r>
      <w:r>
        <w:rPr>
          <w:lang w:val="en-US"/>
        </w:rPr>
        <w:t>, Ericsson, RAN1#84bis, April 2016</w:t>
      </w:r>
      <w:bookmarkEnd w:id="8"/>
    </w:p>
    <w:p w14:paraId="554A2999" w14:textId="3076F233" w:rsidR="009C2BA1" w:rsidRPr="00603DB1" w:rsidRDefault="009C2BA1" w:rsidP="00E1157C">
      <w:pPr>
        <w:pStyle w:val="Reference"/>
        <w:rPr>
          <w:lang w:val="en-US"/>
        </w:rPr>
      </w:pPr>
      <w:bookmarkStart w:id="9" w:name="_Ref447296687"/>
      <w:r>
        <w:rPr>
          <w:rFonts w:cs="Arial"/>
          <w:bCs/>
          <w:noProof/>
          <w:szCs w:val="18"/>
          <w:lang w:val="en-US"/>
        </w:rPr>
        <w:t>R1-</w:t>
      </w:r>
      <w:r w:rsidR="00E1157C">
        <w:rPr>
          <w:rFonts w:cs="Arial"/>
          <w:bCs/>
          <w:noProof/>
          <w:szCs w:val="18"/>
          <w:lang w:val="en-US"/>
        </w:rPr>
        <w:t xml:space="preserve">160906, </w:t>
      </w:r>
      <w:r w:rsidR="00E1157C" w:rsidRPr="00E1157C">
        <w:rPr>
          <w:rFonts w:cs="Arial"/>
          <w:bCs/>
          <w:noProof/>
          <w:szCs w:val="18"/>
          <w:lang w:val="en-US"/>
        </w:rPr>
        <w:t>TTI shortening and reduced processing time for UL transmissions</w:t>
      </w:r>
      <w:r w:rsidR="00E1157C">
        <w:rPr>
          <w:rFonts w:cs="Arial"/>
          <w:bCs/>
          <w:noProof/>
          <w:szCs w:val="18"/>
          <w:lang w:val="en-US"/>
        </w:rPr>
        <w:t>, Qualcomm, RAN1#84, February 2016</w:t>
      </w:r>
      <w:bookmarkEnd w:id="9"/>
    </w:p>
    <w:p w14:paraId="30866FAC" w14:textId="0286978F" w:rsidR="00E1157C" w:rsidRPr="00603DB1" w:rsidRDefault="00E1157C" w:rsidP="00E1157C">
      <w:pPr>
        <w:pStyle w:val="Reference"/>
        <w:rPr>
          <w:lang w:val="en-US"/>
        </w:rPr>
      </w:pPr>
      <w:bookmarkStart w:id="10" w:name="_Ref447296692"/>
      <w:r>
        <w:rPr>
          <w:rFonts w:cs="Arial"/>
          <w:bCs/>
          <w:noProof/>
          <w:szCs w:val="18"/>
          <w:lang w:val="en-US"/>
        </w:rPr>
        <w:t xml:space="preserve">R1-160654, </w:t>
      </w:r>
      <w:r w:rsidRPr="00E1157C">
        <w:rPr>
          <w:rFonts w:cs="Arial"/>
          <w:bCs/>
          <w:noProof/>
          <w:szCs w:val="18"/>
          <w:lang w:val="en-US"/>
        </w:rPr>
        <w:t>Discussion on PUCCH design for Latency reduction</w:t>
      </w:r>
      <w:r>
        <w:rPr>
          <w:rFonts w:cs="Arial"/>
          <w:bCs/>
          <w:noProof/>
          <w:szCs w:val="18"/>
          <w:lang w:val="en-US"/>
        </w:rPr>
        <w:t>, LG Electronics, RAN1#84, February 2016</w:t>
      </w:r>
      <w:bookmarkEnd w:id="10"/>
    </w:p>
    <w:p w14:paraId="557EF0C0" w14:textId="3F00012D" w:rsidR="00E1157C" w:rsidRDefault="00E1157C" w:rsidP="00E1157C">
      <w:pPr>
        <w:pStyle w:val="Reference"/>
        <w:rPr>
          <w:lang w:val="en-US"/>
        </w:rPr>
      </w:pPr>
      <w:bookmarkStart w:id="11" w:name="_Ref447296974"/>
      <w:r>
        <w:rPr>
          <w:lang w:val="en-US"/>
        </w:rPr>
        <w:t xml:space="preserve">R1-160986, </w:t>
      </w:r>
      <w:r w:rsidRPr="00E1157C">
        <w:rPr>
          <w:lang w:val="en-US"/>
        </w:rPr>
        <w:t>Design and evaluation for uplink ACK/NACK transmission in short TTI</w:t>
      </w:r>
      <w:r>
        <w:rPr>
          <w:lang w:val="en-US"/>
        </w:rPr>
        <w:t xml:space="preserve">, ZTE, </w:t>
      </w:r>
      <w:r>
        <w:rPr>
          <w:rFonts w:cs="Arial"/>
          <w:bCs/>
          <w:noProof/>
          <w:szCs w:val="18"/>
          <w:lang w:val="en-US"/>
        </w:rPr>
        <w:t>RAN1#84, February 2016</w:t>
      </w:r>
      <w:bookmarkEnd w:id="11"/>
    </w:p>
    <w:p w14:paraId="72996E4F" w14:textId="77777777" w:rsidR="00AF2D03" w:rsidRDefault="00AF2D03" w:rsidP="00D00AE7">
      <w:pPr>
        <w:rPr>
          <w:lang w:val="en-US"/>
        </w:rPr>
      </w:pPr>
    </w:p>
    <w:p w14:paraId="562434BC" w14:textId="77777777" w:rsidR="000F43F8" w:rsidRDefault="000F43F8">
      <w:pPr>
        <w:rPr>
          <w:rFonts w:eastAsia="Calibri"/>
          <w:lang w:val="en-US"/>
        </w:rPr>
      </w:pPr>
    </w:p>
    <w:sectPr w:rsidR="000F43F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AB957D" w15:done="0"/>
  <w15:commentEx w15:paraId="07B37A63" w15:done="0"/>
  <w15:commentEx w15:paraId="40B6A9BE" w15:done="0"/>
  <w15:commentEx w15:paraId="7E974F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62D38" w14:textId="77777777" w:rsidR="00690F7F" w:rsidRDefault="00690F7F">
      <w:r>
        <w:separator/>
      </w:r>
    </w:p>
  </w:endnote>
  <w:endnote w:type="continuationSeparator" w:id="0">
    <w:p w14:paraId="22AEFD3D" w14:textId="77777777" w:rsidR="00690F7F" w:rsidRDefault="0069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5E53B2" w:rsidRDefault="005E53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262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262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8334D" w14:textId="77777777" w:rsidR="00690F7F" w:rsidRDefault="00690F7F">
      <w:r>
        <w:separator/>
      </w:r>
    </w:p>
  </w:footnote>
  <w:footnote w:type="continuationSeparator" w:id="0">
    <w:p w14:paraId="6D84D7DC" w14:textId="77777777" w:rsidR="00690F7F" w:rsidRDefault="00690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5E53B2" w:rsidRDefault="005E53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2DE7CCC"/>
    <w:multiLevelType w:val="hybridMultilevel"/>
    <w:tmpl w:val="A2A8A078"/>
    <w:lvl w:ilvl="0" w:tplc="D6DAF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717D0F"/>
    <w:multiLevelType w:val="hybridMultilevel"/>
    <w:tmpl w:val="B77E048E"/>
    <w:lvl w:ilvl="0" w:tplc="4BFC689C">
      <w:numFmt w:val="bullet"/>
      <w:lvlText w:val="-"/>
      <w:lvlJc w:val="left"/>
      <w:pPr>
        <w:ind w:left="930" w:hanging="360"/>
      </w:pPr>
      <w:rPr>
        <w:rFonts w:ascii="Arial" w:eastAsia="Calibri"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AE42E7E"/>
    <w:multiLevelType w:val="hybridMultilevel"/>
    <w:tmpl w:val="9CC6FFBC"/>
    <w:lvl w:ilvl="0" w:tplc="69AA3290">
      <w:start w:val="1"/>
      <w:numFmt w:val="bullet"/>
      <w:lvlText w:val="›"/>
      <w:lvlJc w:val="left"/>
      <w:pPr>
        <w:tabs>
          <w:tab w:val="num" w:pos="720"/>
        </w:tabs>
        <w:ind w:left="720" w:hanging="360"/>
      </w:pPr>
      <w:rPr>
        <w:rFonts w:ascii="Ericsson Capital TT" w:hAnsi="Ericsson Capital TT" w:hint="default"/>
      </w:rPr>
    </w:lvl>
    <w:lvl w:ilvl="1" w:tplc="2AA089A8" w:tentative="1">
      <w:start w:val="1"/>
      <w:numFmt w:val="bullet"/>
      <w:lvlText w:val="›"/>
      <w:lvlJc w:val="left"/>
      <w:pPr>
        <w:tabs>
          <w:tab w:val="num" w:pos="1440"/>
        </w:tabs>
        <w:ind w:left="1440" w:hanging="360"/>
      </w:pPr>
      <w:rPr>
        <w:rFonts w:ascii="Ericsson Capital TT" w:hAnsi="Ericsson Capital TT" w:hint="default"/>
      </w:rPr>
    </w:lvl>
    <w:lvl w:ilvl="2" w:tplc="9D729E74">
      <w:start w:val="1"/>
      <w:numFmt w:val="bullet"/>
      <w:lvlText w:val="›"/>
      <w:lvlJc w:val="left"/>
      <w:pPr>
        <w:tabs>
          <w:tab w:val="num" w:pos="2160"/>
        </w:tabs>
        <w:ind w:left="2160" w:hanging="360"/>
      </w:pPr>
      <w:rPr>
        <w:rFonts w:ascii="Ericsson Capital TT" w:hAnsi="Ericsson Capital TT" w:hint="default"/>
      </w:rPr>
    </w:lvl>
    <w:lvl w:ilvl="3" w:tplc="605ABFC2" w:tentative="1">
      <w:start w:val="1"/>
      <w:numFmt w:val="bullet"/>
      <w:lvlText w:val="›"/>
      <w:lvlJc w:val="left"/>
      <w:pPr>
        <w:tabs>
          <w:tab w:val="num" w:pos="2880"/>
        </w:tabs>
        <w:ind w:left="2880" w:hanging="360"/>
      </w:pPr>
      <w:rPr>
        <w:rFonts w:ascii="Ericsson Capital TT" w:hAnsi="Ericsson Capital TT" w:hint="default"/>
      </w:rPr>
    </w:lvl>
    <w:lvl w:ilvl="4" w:tplc="05E4436E" w:tentative="1">
      <w:start w:val="1"/>
      <w:numFmt w:val="bullet"/>
      <w:lvlText w:val="›"/>
      <w:lvlJc w:val="left"/>
      <w:pPr>
        <w:tabs>
          <w:tab w:val="num" w:pos="3600"/>
        </w:tabs>
        <w:ind w:left="3600" w:hanging="360"/>
      </w:pPr>
      <w:rPr>
        <w:rFonts w:ascii="Ericsson Capital TT" w:hAnsi="Ericsson Capital TT" w:hint="default"/>
      </w:rPr>
    </w:lvl>
    <w:lvl w:ilvl="5" w:tplc="5C8CEA14" w:tentative="1">
      <w:start w:val="1"/>
      <w:numFmt w:val="bullet"/>
      <w:lvlText w:val="›"/>
      <w:lvlJc w:val="left"/>
      <w:pPr>
        <w:tabs>
          <w:tab w:val="num" w:pos="4320"/>
        </w:tabs>
        <w:ind w:left="4320" w:hanging="360"/>
      </w:pPr>
      <w:rPr>
        <w:rFonts w:ascii="Ericsson Capital TT" w:hAnsi="Ericsson Capital TT" w:hint="default"/>
      </w:rPr>
    </w:lvl>
    <w:lvl w:ilvl="6" w:tplc="8C483E4A" w:tentative="1">
      <w:start w:val="1"/>
      <w:numFmt w:val="bullet"/>
      <w:lvlText w:val="›"/>
      <w:lvlJc w:val="left"/>
      <w:pPr>
        <w:tabs>
          <w:tab w:val="num" w:pos="5040"/>
        </w:tabs>
        <w:ind w:left="5040" w:hanging="360"/>
      </w:pPr>
      <w:rPr>
        <w:rFonts w:ascii="Ericsson Capital TT" w:hAnsi="Ericsson Capital TT" w:hint="default"/>
      </w:rPr>
    </w:lvl>
    <w:lvl w:ilvl="7" w:tplc="FE4E93EE" w:tentative="1">
      <w:start w:val="1"/>
      <w:numFmt w:val="bullet"/>
      <w:lvlText w:val="›"/>
      <w:lvlJc w:val="left"/>
      <w:pPr>
        <w:tabs>
          <w:tab w:val="num" w:pos="5760"/>
        </w:tabs>
        <w:ind w:left="5760" w:hanging="360"/>
      </w:pPr>
      <w:rPr>
        <w:rFonts w:ascii="Ericsson Capital TT" w:hAnsi="Ericsson Capital TT" w:hint="default"/>
      </w:rPr>
    </w:lvl>
    <w:lvl w:ilvl="8" w:tplc="824C360C" w:tentative="1">
      <w:start w:val="1"/>
      <w:numFmt w:val="bullet"/>
      <w:lvlText w:val="›"/>
      <w:lvlJc w:val="left"/>
      <w:pPr>
        <w:tabs>
          <w:tab w:val="num" w:pos="6480"/>
        </w:tabs>
        <w:ind w:left="6480" w:hanging="360"/>
      </w:pPr>
      <w:rPr>
        <w:rFonts w:ascii="Ericsson Capital TT" w:hAnsi="Ericsson Capital TT"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1">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F03AF0"/>
    <w:multiLevelType w:val="hybridMultilevel"/>
    <w:tmpl w:val="C2FCE662"/>
    <w:lvl w:ilvl="0" w:tplc="3A16E74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73157E"/>
    <w:multiLevelType w:val="hybridMultilevel"/>
    <w:tmpl w:val="773EF8C2"/>
    <w:lvl w:ilvl="0" w:tplc="F04C3194">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19"/>
  </w:num>
  <w:num w:numId="15">
    <w:abstractNumId w:val="7"/>
  </w:num>
  <w:num w:numId="16">
    <w:abstractNumId w:val="21"/>
  </w:num>
  <w:num w:numId="17">
    <w:abstractNumId w:val="17"/>
  </w:num>
  <w:num w:numId="18">
    <w:abstractNumId w:val="23"/>
  </w:num>
  <w:num w:numId="19">
    <w:abstractNumId w:val="24"/>
  </w:num>
  <w:num w:numId="20">
    <w:abstractNumId w:val="8"/>
  </w:num>
  <w:num w:numId="21">
    <w:abstractNumId w:val="30"/>
  </w:num>
  <w:num w:numId="22">
    <w:abstractNumId w:val="28"/>
  </w:num>
  <w:num w:numId="23">
    <w:abstractNumId w:val="11"/>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29"/>
  </w:num>
  <w:num w:numId="29">
    <w:abstractNumId w:val="33"/>
  </w:num>
  <w:num w:numId="30">
    <w:abstractNumId w:val="32"/>
  </w:num>
  <w:num w:numId="31">
    <w:abstractNumId w:val="27"/>
  </w:num>
  <w:num w:numId="32">
    <w:abstractNumId w:val="31"/>
  </w:num>
  <w:num w:numId="33">
    <w:abstractNumId w:val="4"/>
  </w:num>
  <w:num w:numId="34">
    <w:abstractNumId w:val="35"/>
  </w:num>
  <w:num w:numId="35">
    <w:abstractNumId w:val="5"/>
  </w:num>
  <w:num w:numId="36">
    <w:abstractNumId w:val="6"/>
  </w:num>
  <w:num w:numId="37">
    <w:abstractNumId w:val="22"/>
    <w:lvlOverride w:ilvl="0">
      <w:startOverride w:val="1"/>
    </w:lvlOverride>
  </w:num>
  <w:num w:numId="38">
    <w:abstractNumId w:val="10"/>
  </w:num>
  <w:num w:numId="39">
    <w:abstractNumId w:val="9"/>
  </w:num>
  <w:num w:numId="40">
    <w:abstractNumId w:val="22"/>
    <w:lvlOverride w:ilvl="0">
      <w:startOverride w:val="1"/>
    </w:lvlOverride>
  </w:num>
  <w:num w:numId="41">
    <w:abstractNumId w:val="36"/>
  </w:num>
  <w:num w:numId="42">
    <w:abstractNumId w:val="34"/>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6446"/>
    <w:rsid w:val="00006896"/>
    <w:rsid w:val="00006EDC"/>
    <w:rsid w:val="00007CDC"/>
    <w:rsid w:val="0001115E"/>
    <w:rsid w:val="00011B28"/>
    <w:rsid w:val="00012CA8"/>
    <w:rsid w:val="00013FC9"/>
    <w:rsid w:val="00015D15"/>
    <w:rsid w:val="000207D3"/>
    <w:rsid w:val="00023678"/>
    <w:rsid w:val="00024170"/>
    <w:rsid w:val="00025347"/>
    <w:rsid w:val="0002564D"/>
    <w:rsid w:val="00025ECA"/>
    <w:rsid w:val="000325B8"/>
    <w:rsid w:val="00034C15"/>
    <w:rsid w:val="000364B8"/>
    <w:rsid w:val="00036BA1"/>
    <w:rsid w:val="00040292"/>
    <w:rsid w:val="00041962"/>
    <w:rsid w:val="000422E2"/>
    <w:rsid w:val="00042F22"/>
    <w:rsid w:val="0004395C"/>
    <w:rsid w:val="00043F68"/>
    <w:rsid w:val="000444EF"/>
    <w:rsid w:val="00046BE4"/>
    <w:rsid w:val="000511F7"/>
    <w:rsid w:val="00052A07"/>
    <w:rsid w:val="000534E3"/>
    <w:rsid w:val="00053D03"/>
    <w:rsid w:val="0005606A"/>
    <w:rsid w:val="00057117"/>
    <w:rsid w:val="000609B7"/>
    <w:rsid w:val="000616E7"/>
    <w:rsid w:val="0006487E"/>
    <w:rsid w:val="0006498A"/>
    <w:rsid w:val="00065E1A"/>
    <w:rsid w:val="0007092F"/>
    <w:rsid w:val="0007094A"/>
    <w:rsid w:val="00070FBD"/>
    <w:rsid w:val="000715B7"/>
    <w:rsid w:val="00077E5F"/>
    <w:rsid w:val="0008036A"/>
    <w:rsid w:val="00081AE6"/>
    <w:rsid w:val="000855EB"/>
    <w:rsid w:val="00085B52"/>
    <w:rsid w:val="000866F2"/>
    <w:rsid w:val="0009009F"/>
    <w:rsid w:val="00090CCA"/>
    <w:rsid w:val="00091557"/>
    <w:rsid w:val="000924C1"/>
    <w:rsid w:val="000924F0"/>
    <w:rsid w:val="00093474"/>
    <w:rsid w:val="000937BD"/>
    <w:rsid w:val="0009510F"/>
    <w:rsid w:val="000964B5"/>
    <w:rsid w:val="000A1B7B"/>
    <w:rsid w:val="000A1EA1"/>
    <w:rsid w:val="000A36C3"/>
    <w:rsid w:val="000A56F2"/>
    <w:rsid w:val="000B02E5"/>
    <w:rsid w:val="000B2719"/>
    <w:rsid w:val="000B3A8F"/>
    <w:rsid w:val="000B4AB9"/>
    <w:rsid w:val="000B58C3"/>
    <w:rsid w:val="000B61E9"/>
    <w:rsid w:val="000C038F"/>
    <w:rsid w:val="000C165A"/>
    <w:rsid w:val="000C27C5"/>
    <w:rsid w:val="000C2E19"/>
    <w:rsid w:val="000C3B9C"/>
    <w:rsid w:val="000C3F4D"/>
    <w:rsid w:val="000C7397"/>
    <w:rsid w:val="000D0D07"/>
    <w:rsid w:val="000D2D69"/>
    <w:rsid w:val="000D4797"/>
    <w:rsid w:val="000D6C88"/>
    <w:rsid w:val="000E0527"/>
    <w:rsid w:val="000E1E92"/>
    <w:rsid w:val="000F06D6"/>
    <w:rsid w:val="000F0EB1"/>
    <w:rsid w:val="000F1106"/>
    <w:rsid w:val="000F3BE9"/>
    <w:rsid w:val="000F3F6C"/>
    <w:rsid w:val="000F43F8"/>
    <w:rsid w:val="000F6DF3"/>
    <w:rsid w:val="001005FF"/>
    <w:rsid w:val="00100F45"/>
    <w:rsid w:val="001062FB"/>
    <w:rsid w:val="001063E6"/>
    <w:rsid w:val="00107A20"/>
    <w:rsid w:val="00110233"/>
    <w:rsid w:val="00113CF4"/>
    <w:rsid w:val="001153EA"/>
    <w:rsid w:val="00115643"/>
    <w:rsid w:val="00115D03"/>
    <w:rsid w:val="00115E25"/>
    <w:rsid w:val="001163DE"/>
    <w:rsid w:val="00116765"/>
    <w:rsid w:val="001174B9"/>
    <w:rsid w:val="001219F5"/>
    <w:rsid w:val="00121A20"/>
    <w:rsid w:val="0012377F"/>
    <w:rsid w:val="00124314"/>
    <w:rsid w:val="00125CE0"/>
    <w:rsid w:val="00126B4A"/>
    <w:rsid w:val="00132FD0"/>
    <w:rsid w:val="0013301A"/>
    <w:rsid w:val="001344C0"/>
    <w:rsid w:val="001346FA"/>
    <w:rsid w:val="00135252"/>
    <w:rsid w:val="00137728"/>
    <w:rsid w:val="00137AB5"/>
    <w:rsid w:val="00137F0B"/>
    <w:rsid w:val="00142A99"/>
    <w:rsid w:val="00143008"/>
    <w:rsid w:val="0014787F"/>
    <w:rsid w:val="001519C5"/>
    <w:rsid w:val="00151E23"/>
    <w:rsid w:val="001526E0"/>
    <w:rsid w:val="0015387F"/>
    <w:rsid w:val="001551B5"/>
    <w:rsid w:val="00155B29"/>
    <w:rsid w:val="001659C1"/>
    <w:rsid w:val="0016637B"/>
    <w:rsid w:val="00170C54"/>
    <w:rsid w:val="00173A8E"/>
    <w:rsid w:val="0018143F"/>
    <w:rsid w:val="00185A42"/>
    <w:rsid w:val="0018777E"/>
    <w:rsid w:val="001906F8"/>
    <w:rsid w:val="001907A4"/>
    <w:rsid w:val="00190AC1"/>
    <w:rsid w:val="00192423"/>
    <w:rsid w:val="0019259A"/>
    <w:rsid w:val="001928FD"/>
    <w:rsid w:val="0019341A"/>
    <w:rsid w:val="00193A16"/>
    <w:rsid w:val="001955A4"/>
    <w:rsid w:val="00196C01"/>
    <w:rsid w:val="00197DF9"/>
    <w:rsid w:val="001A1987"/>
    <w:rsid w:val="001A2564"/>
    <w:rsid w:val="001A2B06"/>
    <w:rsid w:val="001A6173"/>
    <w:rsid w:val="001A6CBA"/>
    <w:rsid w:val="001B0579"/>
    <w:rsid w:val="001B0D97"/>
    <w:rsid w:val="001B189A"/>
    <w:rsid w:val="001B5A5D"/>
    <w:rsid w:val="001C1632"/>
    <w:rsid w:val="001C1CE5"/>
    <w:rsid w:val="001C3D2A"/>
    <w:rsid w:val="001C563F"/>
    <w:rsid w:val="001D51BA"/>
    <w:rsid w:val="001D61A9"/>
    <w:rsid w:val="001D6342"/>
    <w:rsid w:val="001D6D53"/>
    <w:rsid w:val="001E0114"/>
    <w:rsid w:val="001E09BB"/>
    <w:rsid w:val="001E114A"/>
    <w:rsid w:val="001E1DF8"/>
    <w:rsid w:val="001E58E2"/>
    <w:rsid w:val="001E7AED"/>
    <w:rsid w:val="001F1261"/>
    <w:rsid w:val="001F2689"/>
    <w:rsid w:val="001F3916"/>
    <w:rsid w:val="001F54C5"/>
    <w:rsid w:val="001F662C"/>
    <w:rsid w:val="001F7074"/>
    <w:rsid w:val="00200490"/>
    <w:rsid w:val="00200FF6"/>
    <w:rsid w:val="00201F3A"/>
    <w:rsid w:val="00203F96"/>
    <w:rsid w:val="00205B63"/>
    <w:rsid w:val="002069B2"/>
    <w:rsid w:val="00207231"/>
    <w:rsid w:val="00207FA3"/>
    <w:rsid w:val="00211CD5"/>
    <w:rsid w:val="0021200B"/>
    <w:rsid w:val="0021281F"/>
    <w:rsid w:val="00214DA8"/>
    <w:rsid w:val="00215423"/>
    <w:rsid w:val="002158FA"/>
    <w:rsid w:val="00220600"/>
    <w:rsid w:val="00221380"/>
    <w:rsid w:val="002224DB"/>
    <w:rsid w:val="002231CD"/>
    <w:rsid w:val="00223FCB"/>
    <w:rsid w:val="002252C3"/>
    <w:rsid w:val="00225C54"/>
    <w:rsid w:val="00230765"/>
    <w:rsid w:val="002319E4"/>
    <w:rsid w:val="00232211"/>
    <w:rsid w:val="00233F86"/>
    <w:rsid w:val="00235632"/>
    <w:rsid w:val="00235872"/>
    <w:rsid w:val="00236AE2"/>
    <w:rsid w:val="00237465"/>
    <w:rsid w:val="00240E69"/>
    <w:rsid w:val="00241559"/>
    <w:rsid w:val="002435B3"/>
    <w:rsid w:val="002458EB"/>
    <w:rsid w:val="002500C8"/>
    <w:rsid w:val="00250B2A"/>
    <w:rsid w:val="002554E9"/>
    <w:rsid w:val="00255D91"/>
    <w:rsid w:val="00257543"/>
    <w:rsid w:val="00257C94"/>
    <w:rsid w:val="002617E7"/>
    <w:rsid w:val="00262E21"/>
    <w:rsid w:val="00263A3F"/>
    <w:rsid w:val="00264228"/>
    <w:rsid w:val="00264334"/>
    <w:rsid w:val="0026473E"/>
    <w:rsid w:val="00266214"/>
    <w:rsid w:val="00267C83"/>
    <w:rsid w:val="0027144F"/>
    <w:rsid w:val="00271899"/>
    <w:rsid w:val="00271F3A"/>
    <w:rsid w:val="002724CD"/>
    <w:rsid w:val="00273278"/>
    <w:rsid w:val="002737F4"/>
    <w:rsid w:val="00277B80"/>
    <w:rsid w:val="002805F5"/>
    <w:rsid w:val="00280751"/>
    <w:rsid w:val="0028280A"/>
    <w:rsid w:val="002828DA"/>
    <w:rsid w:val="00285311"/>
    <w:rsid w:val="00286176"/>
    <w:rsid w:val="00286ACD"/>
    <w:rsid w:val="00287838"/>
    <w:rsid w:val="002907B5"/>
    <w:rsid w:val="002918A7"/>
    <w:rsid w:val="00292EB7"/>
    <w:rsid w:val="00294857"/>
    <w:rsid w:val="00295E23"/>
    <w:rsid w:val="00296227"/>
    <w:rsid w:val="00296F44"/>
    <w:rsid w:val="0029777D"/>
    <w:rsid w:val="002A055E"/>
    <w:rsid w:val="002A1D4E"/>
    <w:rsid w:val="002A1FBA"/>
    <w:rsid w:val="002A2869"/>
    <w:rsid w:val="002A4CFA"/>
    <w:rsid w:val="002A7746"/>
    <w:rsid w:val="002A778C"/>
    <w:rsid w:val="002A7E72"/>
    <w:rsid w:val="002B24D6"/>
    <w:rsid w:val="002C1219"/>
    <w:rsid w:val="002C41E6"/>
    <w:rsid w:val="002D04B8"/>
    <w:rsid w:val="002D071A"/>
    <w:rsid w:val="002D13DA"/>
    <w:rsid w:val="002D34B2"/>
    <w:rsid w:val="002D3E97"/>
    <w:rsid w:val="002D4825"/>
    <w:rsid w:val="002D5A16"/>
    <w:rsid w:val="002D5ABE"/>
    <w:rsid w:val="002D6234"/>
    <w:rsid w:val="002D6CA1"/>
    <w:rsid w:val="002D6DD0"/>
    <w:rsid w:val="002D7637"/>
    <w:rsid w:val="002E17F2"/>
    <w:rsid w:val="002E2BBC"/>
    <w:rsid w:val="002E5141"/>
    <w:rsid w:val="002E7CAE"/>
    <w:rsid w:val="002F2009"/>
    <w:rsid w:val="002F2771"/>
    <w:rsid w:val="002F37A9"/>
    <w:rsid w:val="00301CE6"/>
    <w:rsid w:val="0030256B"/>
    <w:rsid w:val="00302631"/>
    <w:rsid w:val="0030443D"/>
    <w:rsid w:val="00304B6A"/>
    <w:rsid w:val="0030501F"/>
    <w:rsid w:val="00306134"/>
    <w:rsid w:val="00307BA1"/>
    <w:rsid w:val="00311702"/>
    <w:rsid w:val="00311E82"/>
    <w:rsid w:val="00313FD6"/>
    <w:rsid w:val="003140FC"/>
    <w:rsid w:val="003143BD"/>
    <w:rsid w:val="003203ED"/>
    <w:rsid w:val="00320474"/>
    <w:rsid w:val="0032131B"/>
    <w:rsid w:val="00321C4F"/>
    <w:rsid w:val="00322C9F"/>
    <w:rsid w:val="0032460C"/>
    <w:rsid w:val="00324D23"/>
    <w:rsid w:val="00325A36"/>
    <w:rsid w:val="00331751"/>
    <w:rsid w:val="00331C1E"/>
    <w:rsid w:val="00334172"/>
    <w:rsid w:val="00334579"/>
    <w:rsid w:val="00335858"/>
    <w:rsid w:val="00336BDA"/>
    <w:rsid w:val="00342681"/>
    <w:rsid w:val="00342BD7"/>
    <w:rsid w:val="0034324A"/>
    <w:rsid w:val="00346DB5"/>
    <w:rsid w:val="00347407"/>
    <w:rsid w:val="003477B1"/>
    <w:rsid w:val="00350057"/>
    <w:rsid w:val="00354011"/>
    <w:rsid w:val="00357380"/>
    <w:rsid w:val="003602D9"/>
    <w:rsid w:val="003604CE"/>
    <w:rsid w:val="00364935"/>
    <w:rsid w:val="00367803"/>
    <w:rsid w:val="00370E47"/>
    <w:rsid w:val="00372A03"/>
    <w:rsid w:val="003730EF"/>
    <w:rsid w:val="003742AC"/>
    <w:rsid w:val="0037443C"/>
    <w:rsid w:val="003744A0"/>
    <w:rsid w:val="00377CE1"/>
    <w:rsid w:val="00383C85"/>
    <w:rsid w:val="00385714"/>
    <w:rsid w:val="00385BF0"/>
    <w:rsid w:val="00390400"/>
    <w:rsid w:val="0039057D"/>
    <w:rsid w:val="003921EB"/>
    <w:rsid w:val="003939FF"/>
    <w:rsid w:val="0039564B"/>
    <w:rsid w:val="003A0575"/>
    <w:rsid w:val="003A2223"/>
    <w:rsid w:val="003A2A0F"/>
    <w:rsid w:val="003A45A1"/>
    <w:rsid w:val="003A5B0A"/>
    <w:rsid w:val="003A6BAC"/>
    <w:rsid w:val="003A6C03"/>
    <w:rsid w:val="003A7EF3"/>
    <w:rsid w:val="003B159C"/>
    <w:rsid w:val="003B369F"/>
    <w:rsid w:val="003B36A3"/>
    <w:rsid w:val="003B7FE5"/>
    <w:rsid w:val="003C11C8"/>
    <w:rsid w:val="003C2702"/>
    <w:rsid w:val="003C5A0F"/>
    <w:rsid w:val="003C672E"/>
    <w:rsid w:val="003C713E"/>
    <w:rsid w:val="003C7806"/>
    <w:rsid w:val="003D0851"/>
    <w:rsid w:val="003D109F"/>
    <w:rsid w:val="003D2478"/>
    <w:rsid w:val="003D3C45"/>
    <w:rsid w:val="003D5B1F"/>
    <w:rsid w:val="003E15FA"/>
    <w:rsid w:val="003E2CCC"/>
    <w:rsid w:val="003E55E4"/>
    <w:rsid w:val="003E5BD2"/>
    <w:rsid w:val="003E6322"/>
    <w:rsid w:val="003E74E3"/>
    <w:rsid w:val="003F05C7"/>
    <w:rsid w:val="003F2BBC"/>
    <w:rsid w:val="003F2CD4"/>
    <w:rsid w:val="003F3012"/>
    <w:rsid w:val="003F6BBE"/>
    <w:rsid w:val="004000E8"/>
    <w:rsid w:val="00402E2B"/>
    <w:rsid w:val="0040512B"/>
    <w:rsid w:val="00405CA5"/>
    <w:rsid w:val="00407AB5"/>
    <w:rsid w:val="00407CD3"/>
    <w:rsid w:val="00410134"/>
    <w:rsid w:val="00410B72"/>
    <w:rsid w:val="00410F18"/>
    <w:rsid w:val="004117A3"/>
    <w:rsid w:val="0041263E"/>
    <w:rsid w:val="0041398A"/>
    <w:rsid w:val="00413A74"/>
    <w:rsid w:val="00413AAC"/>
    <w:rsid w:val="00414717"/>
    <w:rsid w:val="00421105"/>
    <w:rsid w:val="004242F4"/>
    <w:rsid w:val="00427248"/>
    <w:rsid w:val="00432EA3"/>
    <w:rsid w:val="0043324D"/>
    <w:rsid w:val="004358F0"/>
    <w:rsid w:val="00437447"/>
    <w:rsid w:val="00441A92"/>
    <w:rsid w:val="004428EF"/>
    <w:rsid w:val="00444F56"/>
    <w:rsid w:val="0044528E"/>
    <w:rsid w:val="00446488"/>
    <w:rsid w:val="00450D54"/>
    <w:rsid w:val="0045109D"/>
    <w:rsid w:val="004517AA"/>
    <w:rsid w:val="00452CAC"/>
    <w:rsid w:val="00452E9A"/>
    <w:rsid w:val="00452ED0"/>
    <w:rsid w:val="00453385"/>
    <w:rsid w:val="00454082"/>
    <w:rsid w:val="00455381"/>
    <w:rsid w:val="00456150"/>
    <w:rsid w:val="00457565"/>
    <w:rsid w:val="00457B71"/>
    <w:rsid w:val="0046693A"/>
    <w:rsid w:val="004669E2"/>
    <w:rsid w:val="004703FE"/>
    <w:rsid w:val="00470C31"/>
    <w:rsid w:val="004734D0"/>
    <w:rsid w:val="0047475A"/>
    <w:rsid w:val="0047556B"/>
    <w:rsid w:val="00476793"/>
    <w:rsid w:val="00477768"/>
    <w:rsid w:val="00477958"/>
    <w:rsid w:val="00480B0F"/>
    <w:rsid w:val="00482BC7"/>
    <w:rsid w:val="00483F3E"/>
    <w:rsid w:val="00486ACF"/>
    <w:rsid w:val="00490255"/>
    <w:rsid w:val="00492BC5"/>
    <w:rsid w:val="004964F1"/>
    <w:rsid w:val="004A0F7C"/>
    <w:rsid w:val="004A16BC"/>
    <w:rsid w:val="004A2B94"/>
    <w:rsid w:val="004A5281"/>
    <w:rsid w:val="004A68C2"/>
    <w:rsid w:val="004A7419"/>
    <w:rsid w:val="004A7D56"/>
    <w:rsid w:val="004B72BA"/>
    <w:rsid w:val="004B7C0C"/>
    <w:rsid w:val="004C379F"/>
    <w:rsid w:val="004C3898"/>
    <w:rsid w:val="004C7E2C"/>
    <w:rsid w:val="004D212A"/>
    <w:rsid w:val="004D36B1"/>
    <w:rsid w:val="004D51BD"/>
    <w:rsid w:val="004D7EBD"/>
    <w:rsid w:val="004E2680"/>
    <w:rsid w:val="004E28F9"/>
    <w:rsid w:val="004E3F61"/>
    <w:rsid w:val="004E462E"/>
    <w:rsid w:val="004E56DC"/>
    <w:rsid w:val="004E6092"/>
    <w:rsid w:val="004E6727"/>
    <w:rsid w:val="004E72C3"/>
    <w:rsid w:val="004E76F4"/>
    <w:rsid w:val="004F0B4E"/>
    <w:rsid w:val="004F0B6C"/>
    <w:rsid w:val="004F2078"/>
    <w:rsid w:val="004F4DA3"/>
    <w:rsid w:val="00500884"/>
    <w:rsid w:val="00501D8D"/>
    <w:rsid w:val="00506557"/>
    <w:rsid w:val="0050677A"/>
    <w:rsid w:val="005108D8"/>
    <w:rsid w:val="005116F9"/>
    <w:rsid w:val="00511A2E"/>
    <w:rsid w:val="005153A7"/>
    <w:rsid w:val="00517AD0"/>
    <w:rsid w:val="0052037E"/>
    <w:rsid w:val="00520D36"/>
    <w:rsid w:val="005219CF"/>
    <w:rsid w:val="005238BB"/>
    <w:rsid w:val="00527027"/>
    <w:rsid w:val="00527DF4"/>
    <w:rsid w:val="00530FD1"/>
    <w:rsid w:val="00531A4E"/>
    <w:rsid w:val="00534B59"/>
    <w:rsid w:val="00535A57"/>
    <w:rsid w:val="00536036"/>
    <w:rsid w:val="00536759"/>
    <w:rsid w:val="00537C62"/>
    <w:rsid w:val="005408AE"/>
    <w:rsid w:val="00544436"/>
    <w:rsid w:val="00545536"/>
    <w:rsid w:val="00546970"/>
    <w:rsid w:val="00552203"/>
    <w:rsid w:val="0055231F"/>
    <w:rsid w:val="00553829"/>
    <w:rsid w:val="00554E19"/>
    <w:rsid w:val="005561A7"/>
    <w:rsid w:val="0056121F"/>
    <w:rsid w:val="00565488"/>
    <w:rsid w:val="005709E3"/>
    <w:rsid w:val="005713F7"/>
    <w:rsid w:val="00572505"/>
    <w:rsid w:val="0058206C"/>
    <w:rsid w:val="00582809"/>
    <w:rsid w:val="0058798C"/>
    <w:rsid w:val="00587FA9"/>
    <w:rsid w:val="005900FA"/>
    <w:rsid w:val="0059175A"/>
    <w:rsid w:val="00591876"/>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A3"/>
    <w:rsid w:val="005B6F83"/>
    <w:rsid w:val="005C1729"/>
    <w:rsid w:val="005C74FB"/>
    <w:rsid w:val="005C7503"/>
    <w:rsid w:val="005C7F53"/>
    <w:rsid w:val="005D1602"/>
    <w:rsid w:val="005D2B0B"/>
    <w:rsid w:val="005D4C89"/>
    <w:rsid w:val="005D6F32"/>
    <w:rsid w:val="005D7606"/>
    <w:rsid w:val="005E385F"/>
    <w:rsid w:val="005E53B2"/>
    <w:rsid w:val="005E5834"/>
    <w:rsid w:val="005E5B81"/>
    <w:rsid w:val="005F2CB1"/>
    <w:rsid w:val="005F3025"/>
    <w:rsid w:val="005F618C"/>
    <w:rsid w:val="005F70BD"/>
    <w:rsid w:val="005F7E70"/>
    <w:rsid w:val="00600F6A"/>
    <w:rsid w:val="0060283C"/>
    <w:rsid w:val="00603BC5"/>
    <w:rsid w:val="00603DB1"/>
    <w:rsid w:val="00604F14"/>
    <w:rsid w:val="00611B83"/>
    <w:rsid w:val="00613257"/>
    <w:rsid w:val="00615B9D"/>
    <w:rsid w:val="006204DC"/>
    <w:rsid w:val="00620A71"/>
    <w:rsid w:val="00620D80"/>
    <w:rsid w:val="006234A6"/>
    <w:rsid w:val="00623923"/>
    <w:rsid w:val="00630001"/>
    <w:rsid w:val="006311B3"/>
    <w:rsid w:val="00631F81"/>
    <w:rsid w:val="006325E4"/>
    <w:rsid w:val="0063284C"/>
    <w:rsid w:val="00633FFA"/>
    <w:rsid w:val="00636398"/>
    <w:rsid w:val="006368D3"/>
    <w:rsid w:val="006377EC"/>
    <w:rsid w:val="00640D33"/>
    <w:rsid w:val="0064151F"/>
    <w:rsid w:val="00641533"/>
    <w:rsid w:val="00641D36"/>
    <w:rsid w:val="0064208D"/>
    <w:rsid w:val="00643475"/>
    <w:rsid w:val="0064396A"/>
    <w:rsid w:val="0064502E"/>
    <w:rsid w:val="00645491"/>
    <w:rsid w:val="00645C43"/>
    <w:rsid w:val="0064624E"/>
    <w:rsid w:val="00647629"/>
    <w:rsid w:val="00650AB9"/>
    <w:rsid w:val="00655733"/>
    <w:rsid w:val="00655ACD"/>
    <w:rsid w:val="00656A92"/>
    <w:rsid w:val="00656DDE"/>
    <w:rsid w:val="0066011D"/>
    <w:rsid w:val="006607C0"/>
    <w:rsid w:val="006613A6"/>
    <w:rsid w:val="006627A2"/>
    <w:rsid w:val="00663317"/>
    <w:rsid w:val="006634E6"/>
    <w:rsid w:val="006655EE"/>
    <w:rsid w:val="00667EE7"/>
    <w:rsid w:val="00670922"/>
    <w:rsid w:val="00670BE1"/>
    <w:rsid w:val="00671234"/>
    <w:rsid w:val="0067218F"/>
    <w:rsid w:val="006741F2"/>
    <w:rsid w:val="00674C38"/>
    <w:rsid w:val="00674CC3"/>
    <w:rsid w:val="006758FB"/>
    <w:rsid w:val="00675C72"/>
    <w:rsid w:val="006771F9"/>
    <w:rsid w:val="006776D7"/>
    <w:rsid w:val="00681003"/>
    <w:rsid w:val="006817C9"/>
    <w:rsid w:val="00683ECE"/>
    <w:rsid w:val="00690172"/>
    <w:rsid w:val="00690F7F"/>
    <w:rsid w:val="00692EDE"/>
    <w:rsid w:val="00695FC2"/>
    <w:rsid w:val="00696949"/>
    <w:rsid w:val="00697052"/>
    <w:rsid w:val="006A145F"/>
    <w:rsid w:val="006A18D5"/>
    <w:rsid w:val="006A46FB"/>
    <w:rsid w:val="006A5E1E"/>
    <w:rsid w:val="006A5E28"/>
    <w:rsid w:val="006A697B"/>
    <w:rsid w:val="006A7AFF"/>
    <w:rsid w:val="006B0BB5"/>
    <w:rsid w:val="006B1816"/>
    <w:rsid w:val="006B2099"/>
    <w:rsid w:val="006B50CF"/>
    <w:rsid w:val="006B7BE2"/>
    <w:rsid w:val="006C03B8"/>
    <w:rsid w:val="006C5EC9"/>
    <w:rsid w:val="006C6059"/>
    <w:rsid w:val="006C7522"/>
    <w:rsid w:val="006D5B70"/>
    <w:rsid w:val="006D5D33"/>
    <w:rsid w:val="006D6F08"/>
    <w:rsid w:val="006E062C"/>
    <w:rsid w:val="006E28B7"/>
    <w:rsid w:val="006E3310"/>
    <w:rsid w:val="006E4AAA"/>
    <w:rsid w:val="006E4E39"/>
    <w:rsid w:val="006E565E"/>
    <w:rsid w:val="006E673D"/>
    <w:rsid w:val="006E7D3B"/>
    <w:rsid w:val="006F09C9"/>
    <w:rsid w:val="006F0F8A"/>
    <w:rsid w:val="006F0FBF"/>
    <w:rsid w:val="006F1B70"/>
    <w:rsid w:val="006F32A4"/>
    <w:rsid w:val="006F341D"/>
    <w:rsid w:val="006F3CDE"/>
    <w:rsid w:val="006F58D4"/>
    <w:rsid w:val="007006BE"/>
    <w:rsid w:val="00702E19"/>
    <w:rsid w:val="0070346E"/>
    <w:rsid w:val="00704EDB"/>
    <w:rsid w:val="00706101"/>
    <w:rsid w:val="0070691F"/>
    <w:rsid w:val="00707072"/>
    <w:rsid w:val="00707287"/>
    <w:rsid w:val="00707D61"/>
    <w:rsid w:val="00710627"/>
    <w:rsid w:val="00712287"/>
    <w:rsid w:val="00712772"/>
    <w:rsid w:val="00713A69"/>
    <w:rsid w:val="007148D3"/>
    <w:rsid w:val="007151CD"/>
    <w:rsid w:val="00715B9A"/>
    <w:rsid w:val="00720817"/>
    <w:rsid w:val="007218E9"/>
    <w:rsid w:val="00726EA6"/>
    <w:rsid w:val="00727208"/>
    <w:rsid w:val="00727680"/>
    <w:rsid w:val="0073381F"/>
    <w:rsid w:val="007348B1"/>
    <w:rsid w:val="00734A8B"/>
    <w:rsid w:val="00735268"/>
    <w:rsid w:val="007355C4"/>
    <w:rsid w:val="007362A6"/>
    <w:rsid w:val="00736D7D"/>
    <w:rsid w:val="00740E58"/>
    <w:rsid w:val="00741F19"/>
    <w:rsid w:val="00742624"/>
    <w:rsid w:val="007438CE"/>
    <w:rsid w:val="007445A0"/>
    <w:rsid w:val="007447EF"/>
    <w:rsid w:val="0074524B"/>
    <w:rsid w:val="00746183"/>
    <w:rsid w:val="00747D8B"/>
    <w:rsid w:val="007508A2"/>
    <w:rsid w:val="00751228"/>
    <w:rsid w:val="007571E1"/>
    <w:rsid w:val="007604B2"/>
    <w:rsid w:val="00762500"/>
    <w:rsid w:val="00765281"/>
    <w:rsid w:val="00766BAD"/>
    <w:rsid w:val="0076708C"/>
    <w:rsid w:val="007755F2"/>
    <w:rsid w:val="00776971"/>
    <w:rsid w:val="00777AC8"/>
    <w:rsid w:val="0078177E"/>
    <w:rsid w:val="0078304C"/>
    <w:rsid w:val="00783673"/>
    <w:rsid w:val="00785490"/>
    <w:rsid w:val="00785BC6"/>
    <w:rsid w:val="007925EA"/>
    <w:rsid w:val="00792A09"/>
    <w:rsid w:val="007935D9"/>
    <w:rsid w:val="00793CD8"/>
    <w:rsid w:val="007950A8"/>
    <w:rsid w:val="00795C92"/>
    <w:rsid w:val="00796231"/>
    <w:rsid w:val="007966F9"/>
    <w:rsid w:val="00796F94"/>
    <w:rsid w:val="007A1CB3"/>
    <w:rsid w:val="007A306F"/>
    <w:rsid w:val="007A43A6"/>
    <w:rsid w:val="007A58A6"/>
    <w:rsid w:val="007A6AD0"/>
    <w:rsid w:val="007A719B"/>
    <w:rsid w:val="007B3D2D"/>
    <w:rsid w:val="007B50AE"/>
    <w:rsid w:val="007B51DF"/>
    <w:rsid w:val="007B5213"/>
    <w:rsid w:val="007B68C1"/>
    <w:rsid w:val="007C05DD"/>
    <w:rsid w:val="007C3D18"/>
    <w:rsid w:val="007C60BF"/>
    <w:rsid w:val="007C6A07"/>
    <w:rsid w:val="007C75A1"/>
    <w:rsid w:val="007C77A5"/>
    <w:rsid w:val="007D04E5"/>
    <w:rsid w:val="007D1E1D"/>
    <w:rsid w:val="007D5901"/>
    <w:rsid w:val="007D685B"/>
    <w:rsid w:val="007D7526"/>
    <w:rsid w:val="007E4610"/>
    <w:rsid w:val="007E4715"/>
    <w:rsid w:val="007E505B"/>
    <w:rsid w:val="007E683C"/>
    <w:rsid w:val="007E7091"/>
    <w:rsid w:val="007E784D"/>
    <w:rsid w:val="00803FAE"/>
    <w:rsid w:val="0080605F"/>
    <w:rsid w:val="008076AB"/>
    <w:rsid w:val="00807786"/>
    <w:rsid w:val="00811FCB"/>
    <w:rsid w:val="0081579D"/>
    <w:rsid w:val="008158D6"/>
    <w:rsid w:val="00817196"/>
    <w:rsid w:val="00820630"/>
    <w:rsid w:val="008235DB"/>
    <w:rsid w:val="00824AB4"/>
    <w:rsid w:val="00824DA0"/>
    <w:rsid w:val="00825C42"/>
    <w:rsid w:val="00825D25"/>
    <w:rsid w:val="00827746"/>
    <w:rsid w:val="00827D6F"/>
    <w:rsid w:val="00833A21"/>
    <w:rsid w:val="0083700D"/>
    <w:rsid w:val="008376AC"/>
    <w:rsid w:val="00843190"/>
    <w:rsid w:val="008444E8"/>
    <w:rsid w:val="00844E80"/>
    <w:rsid w:val="00846FE7"/>
    <w:rsid w:val="00856911"/>
    <w:rsid w:val="008677FD"/>
    <w:rsid w:val="008706D4"/>
    <w:rsid w:val="00870F8A"/>
    <w:rsid w:val="008719A4"/>
    <w:rsid w:val="00871D23"/>
    <w:rsid w:val="00874312"/>
    <w:rsid w:val="0087437C"/>
    <w:rsid w:val="00875CD7"/>
    <w:rsid w:val="00876517"/>
    <w:rsid w:val="00876B4D"/>
    <w:rsid w:val="00877F18"/>
    <w:rsid w:val="00882674"/>
    <w:rsid w:val="00884021"/>
    <w:rsid w:val="00884BB3"/>
    <w:rsid w:val="00887F9A"/>
    <w:rsid w:val="00894A88"/>
    <w:rsid w:val="00895386"/>
    <w:rsid w:val="008963CE"/>
    <w:rsid w:val="00896419"/>
    <w:rsid w:val="008A00B3"/>
    <w:rsid w:val="008A21FF"/>
    <w:rsid w:val="008A2CE2"/>
    <w:rsid w:val="008A30AC"/>
    <w:rsid w:val="008A44B8"/>
    <w:rsid w:val="008A4D2B"/>
    <w:rsid w:val="008A51A8"/>
    <w:rsid w:val="008A54C7"/>
    <w:rsid w:val="008A6324"/>
    <w:rsid w:val="008A77D8"/>
    <w:rsid w:val="008B0483"/>
    <w:rsid w:val="008B120C"/>
    <w:rsid w:val="008B22F6"/>
    <w:rsid w:val="008B43B5"/>
    <w:rsid w:val="008B51A0"/>
    <w:rsid w:val="008B592A"/>
    <w:rsid w:val="008B6058"/>
    <w:rsid w:val="008B7B5C"/>
    <w:rsid w:val="008C0C99"/>
    <w:rsid w:val="008C2017"/>
    <w:rsid w:val="008C44DA"/>
    <w:rsid w:val="008C4958"/>
    <w:rsid w:val="008C4BAA"/>
    <w:rsid w:val="008C6AE8"/>
    <w:rsid w:val="008C7573"/>
    <w:rsid w:val="008D05BC"/>
    <w:rsid w:val="008D34F1"/>
    <w:rsid w:val="008D39D8"/>
    <w:rsid w:val="008D47E3"/>
    <w:rsid w:val="008D6D1A"/>
    <w:rsid w:val="008D74B4"/>
    <w:rsid w:val="008E065E"/>
    <w:rsid w:val="008E0927"/>
    <w:rsid w:val="008E153D"/>
    <w:rsid w:val="008E1909"/>
    <w:rsid w:val="008E1D5E"/>
    <w:rsid w:val="008E6EFC"/>
    <w:rsid w:val="008E79DA"/>
    <w:rsid w:val="008F1EAB"/>
    <w:rsid w:val="008F33DC"/>
    <w:rsid w:val="008F35FC"/>
    <w:rsid w:val="008F36A6"/>
    <w:rsid w:val="008F477F"/>
    <w:rsid w:val="008F523A"/>
    <w:rsid w:val="00902350"/>
    <w:rsid w:val="0090336B"/>
    <w:rsid w:val="009053AA"/>
    <w:rsid w:val="00906939"/>
    <w:rsid w:val="00910B7D"/>
    <w:rsid w:val="00911DFB"/>
    <w:rsid w:val="00911F36"/>
    <w:rsid w:val="00912D2D"/>
    <w:rsid w:val="009139D9"/>
    <w:rsid w:val="00914AD8"/>
    <w:rsid w:val="00914C56"/>
    <w:rsid w:val="00916046"/>
    <w:rsid w:val="00916079"/>
    <w:rsid w:val="0091643F"/>
    <w:rsid w:val="0091759B"/>
    <w:rsid w:val="00917CE9"/>
    <w:rsid w:val="00920BF2"/>
    <w:rsid w:val="00921FA6"/>
    <w:rsid w:val="00922010"/>
    <w:rsid w:val="00927915"/>
    <w:rsid w:val="00931BD9"/>
    <w:rsid w:val="0093523B"/>
    <w:rsid w:val="009368F3"/>
    <w:rsid w:val="00937B5A"/>
    <w:rsid w:val="00941636"/>
    <w:rsid w:val="00943742"/>
    <w:rsid w:val="00945C05"/>
    <w:rsid w:val="00946945"/>
    <w:rsid w:val="00947713"/>
    <w:rsid w:val="00950DE7"/>
    <w:rsid w:val="00953920"/>
    <w:rsid w:val="00953D47"/>
    <w:rsid w:val="00954AD0"/>
    <w:rsid w:val="0095681E"/>
    <w:rsid w:val="009572D4"/>
    <w:rsid w:val="00961921"/>
    <w:rsid w:val="0096430A"/>
    <w:rsid w:val="0096554B"/>
    <w:rsid w:val="0096584A"/>
    <w:rsid w:val="009659BA"/>
    <w:rsid w:val="00966D79"/>
    <w:rsid w:val="009675AA"/>
    <w:rsid w:val="00971E93"/>
    <w:rsid w:val="00971F08"/>
    <w:rsid w:val="00972F2F"/>
    <w:rsid w:val="0097603D"/>
    <w:rsid w:val="00976949"/>
    <w:rsid w:val="00976CCA"/>
    <w:rsid w:val="00980477"/>
    <w:rsid w:val="00980F2B"/>
    <w:rsid w:val="00985253"/>
    <w:rsid w:val="009853B3"/>
    <w:rsid w:val="009860D2"/>
    <w:rsid w:val="00990630"/>
    <w:rsid w:val="00991761"/>
    <w:rsid w:val="009940CF"/>
    <w:rsid w:val="00994DCA"/>
    <w:rsid w:val="009960EC"/>
    <w:rsid w:val="009970DD"/>
    <w:rsid w:val="009A0DA8"/>
    <w:rsid w:val="009A0FBA"/>
    <w:rsid w:val="009A1601"/>
    <w:rsid w:val="009A2BD6"/>
    <w:rsid w:val="009A462D"/>
    <w:rsid w:val="009A5CBA"/>
    <w:rsid w:val="009A7298"/>
    <w:rsid w:val="009A7879"/>
    <w:rsid w:val="009B1F30"/>
    <w:rsid w:val="009B2D0C"/>
    <w:rsid w:val="009B3AC2"/>
    <w:rsid w:val="009B465F"/>
    <w:rsid w:val="009B4DF4"/>
    <w:rsid w:val="009B564E"/>
    <w:rsid w:val="009B57BB"/>
    <w:rsid w:val="009B7E87"/>
    <w:rsid w:val="009C2BA1"/>
    <w:rsid w:val="009C403E"/>
    <w:rsid w:val="009C5D9A"/>
    <w:rsid w:val="009D048B"/>
    <w:rsid w:val="009D28AD"/>
    <w:rsid w:val="009D484C"/>
    <w:rsid w:val="009D4FF0"/>
    <w:rsid w:val="009D703C"/>
    <w:rsid w:val="009D718F"/>
    <w:rsid w:val="009E068F"/>
    <w:rsid w:val="009E14E0"/>
    <w:rsid w:val="009E2A13"/>
    <w:rsid w:val="009E35DB"/>
    <w:rsid w:val="009E47A3"/>
    <w:rsid w:val="009E7B23"/>
    <w:rsid w:val="009F08F3"/>
    <w:rsid w:val="009F344F"/>
    <w:rsid w:val="009F5696"/>
    <w:rsid w:val="009F7BBB"/>
    <w:rsid w:val="009F7EC6"/>
    <w:rsid w:val="00A048A8"/>
    <w:rsid w:val="00A049D4"/>
    <w:rsid w:val="00A04C24"/>
    <w:rsid w:val="00A04F49"/>
    <w:rsid w:val="00A07A3D"/>
    <w:rsid w:val="00A07DDA"/>
    <w:rsid w:val="00A10D08"/>
    <w:rsid w:val="00A13E54"/>
    <w:rsid w:val="00A14603"/>
    <w:rsid w:val="00A17F63"/>
    <w:rsid w:val="00A20E0C"/>
    <w:rsid w:val="00A2193B"/>
    <w:rsid w:val="00A2351A"/>
    <w:rsid w:val="00A25F47"/>
    <w:rsid w:val="00A264A9"/>
    <w:rsid w:val="00A27785"/>
    <w:rsid w:val="00A30187"/>
    <w:rsid w:val="00A31C10"/>
    <w:rsid w:val="00A3448A"/>
    <w:rsid w:val="00A36297"/>
    <w:rsid w:val="00A37063"/>
    <w:rsid w:val="00A37937"/>
    <w:rsid w:val="00A3793A"/>
    <w:rsid w:val="00A41E2B"/>
    <w:rsid w:val="00A45A9D"/>
    <w:rsid w:val="00A45B74"/>
    <w:rsid w:val="00A47891"/>
    <w:rsid w:val="00A5102A"/>
    <w:rsid w:val="00A51B80"/>
    <w:rsid w:val="00A52E1D"/>
    <w:rsid w:val="00A53CB2"/>
    <w:rsid w:val="00A555D3"/>
    <w:rsid w:val="00A61499"/>
    <w:rsid w:val="00A62318"/>
    <w:rsid w:val="00A624D8"/>
    <w:rsid w:val="00A62A77"/>
    <w:rsid w:val="00A63483"/>
    <w:rsid w:val="00A64E18"/>
    <w:rsid w:val="00A64F7C"/>
    <w:rsid w:val="00A657D7"/>
    <w:rsid w:val="00A660AC"/>
    <w:rsid w:val="00A67E6C"/>
    <w:rsid w:val="00A7147C"/>
    <w:rsid w:val="00A71B99"/>
    <w:rsid w:val="00A72883"/>
    <w:rsid w:val="00A739D0"/>
    <w:rsid w:val="00A761D4"/>
    <w:rsid w:val="00A7740B"/>
    <w:rsid w:val="00A77EC4"/>
    <w:rsid w:val="00A80760"/>
    <w:rsid w:val="00A92879"/>
    <w:rsid w:val="00A937F3"/>
    <w:rsid w:val="00A9442A"/>
    <w:rsid w:val="00A955B9"/>
    <w:rsid w:val="00AA016F"/>
    <w:rsid w:val="00AA1E89"/>
    <w:rsid w:val="00AA1ED6"/>
    <w:rsid w:val="00AA4091"/>
    <w:rsid w:val="00AA4F83"/>
    <w:rsid w:val="00AA51D6"/>
    <w:rsid w:val="00AA7466"/>
    <w:rsid w:val="00AA7770"/>
    <w:rsid w:val="00AB0BC8"/>
    <w:rsid w:val="00AB11CA"/>
    <w:rsid w:val="00AB14D9"/>
    <w:rsid w:val="00AB4AB8"/>
    <w:rsid w:val="00AB655E"/>
    <w:rsid w:val="00AB7AAD"/>
    <w:rsid w:val="00AC007F"/>
    <w:rsid w:val="00AC2ECD"/>
    <w:rsid w:val="00AC3119"/>
    <w:rsid w:val="00AC414C"/>
    <w:rsid w:val="00AC49FB"/>
    <w:rsid w:val="00AC5A10"/>
    <w:rsid w:val="00AC7D88"/>
    <w:rsid w:val="00AD0AA3"/>
    <w:rsid w:val="00AD10A8"/>
    <w:rsid w:val="00AD1D0F"/>
    <w:rsid w:val="00AD3F94"/>
    <w:rsid w:val="00AD4A5A"/>
    <w:rsid w:val="00AD5947"/>
    <w:rsid w:val="00AE27AC"/>
    <w:rsid w:val="00AE2F7E"/>
    <w:rsid w:val="00AE40E0"/>
    <w:rsid w:val="00AE43A0"/>
    <w:rsid w:val="00AE4DBA"/>
    <w:rsid w:val="00AE4F07"/>
    <w:rsid w:val="00AE7C50"/>
    <w:rsid w:val="00AF1C5D"/>
    <w:rsid w:val="00AF2B46"/>
    <w:rsid w:val="00AF2D03"/>
    <w:rsid w:val="00AF42D7"/>
    <w:rsid w:val="00AF6AB8"/>
    <w:rsid w:val="00AF70B2"/>
    <w:rsid w:val="00B00067"/>
    <w:rsid w:val="00B006FE"/>
    <w:rsid w:val="00B007CB"/>
    <w:rsid w:val="00B01B44"/>
    <w:rsid w:val="00B02AA9"/>
    <w:rsid w:val="00B02FA3"/>
    <w:rsid w:val="00B03A18"/>
    <w:rsid w:val="00B05084"/>
    <w:rsid w:val="00B069E1"/>
    <w:rsid w:val="00B11E1B"/>
    <w:rsid w:val="00B157F9"/>
    <w:rsid w:val="00B20256"/>
    <w:rsid w:val="00B20D09"/>
    <w:rsid w:val="00B22452"/>
    <w:rsid w:val="00B225A5"/>
    <w:rsid w:val="00B23120"/>
    <w:rsid w:val="00B2686F"/>
    <w:rsid w:val="00B2763F"/>
    <w:rsid w:val="00B27AAC"/>
    <w:rsid w:val="00B30431"/>
    <w:rsid w:val="00B3057C"/>
    <w:rsid w:val="00B30929"/>
    <w:rsid w:val="00B35CA3"/>
    <w:rsid w:val="00B372AA"/>
    <w:rsid w:val="00B37748"/>
    <w:rsid w:val="00B40445"/>
    <w:rsid w:val="00B41888"/>
    <w:rsid w:val="00B45A52"/>
    <w:rsid w:val="00B46175"/>
    <w:rsid w:val="00B503A6"/>
    <w:rsid w:val="00B5100C"/>
    <w:rsid w:val="00B664C7"/>
    <w:rsid w:val="00B739F6"/>
    <w:rsid w:val="00B7618F"/>
    <w:rsid w:val="00B8088E"/>
    <w:rsid w:val="00B816EA"/>
    <w:rsid w:val="00B81A6C"/>
    <w:rsid w:val="00B81B0D"/>
    <w:rsid w:val="00B82438"/>
    <w:rsid w:val="00B83BC0"/>
    <w:rsid w:val="00B85DE5"/>
    <w:rsid w:val="00B860A0"/>
    <w:rsid w:val="00B90301"/>
    <w:rsid w:val="00B9077F"/>
    <w:rsid w:val="00B90F73"/>
    <w:rsid w:val="00B92EA3"/>
    <w:rsid w:val="00B93B59"/>
    <w:rsid w:val="00B9406A"/>
    <w:rsid w:val="00BA2280"/>
    <w:rsid w:val="00BA2864"/>
    <w:rsid w:val="00BA2A08"/>
    <w:rsid w:val="00BA56D2"/>
    <w:rsid w:val="00BA76E0"/>
    <w:rsid w:val="00BB19ED"/>
    <w:rsid w:val="00BB246D"/>
    <w:rsid w:val="00BB2A25"/>
    <w:rsid w:val="00BB51E9"/>
    <w:rsid w:val="00BB7AFF"/>
    <w:rsid w:val="00BC0FDC"/>
    <w:rsid w:val="00BC15A2"/>
    <w:rsid w:val="00BC3053"/>
    <w:rsid w:val="00BC4D2E"/>
    <w:rsid w:val="00BD09F7"/>
    <w:rsid w:val="00BD184A"/>
    <w:rsid w:val="00BD48AC"/>
    <w:rsid w:val="00BD5F1A"/>
    <w:rsid w:val="00BD73A3"/>
    <w:rsid w:val="00BE0BB9"/>
    <w:rsid w:val="00BE1234"/>
    <w:rsid w:val="00BE2FA6"/>
    <w:rsid w:val="00BE333F"/>
    <w:rsid w:val="00BE7406"/>
    <w:rsid w:val="00BE7603"/>
    <w:rsid w:val="00BF2E38"/>
    <w:rsid w:val="00BF3279"/>
    <w:rsid w:val="00BF74C7"/>
    <w:rsid w:val="00C015F1"/>
    <w:rsid w:val="00C01F33"/>
    <w:rsid w:val="00C02CC6"/>
    <w:rsid w:val="00C040F7"/>
    <w:rsid w:val="00C044AB"/>
    <w:rsid w:val="00C04DD2"/>
    <w:rsid w:val="00C04F22"/>
    <w:rsid w:val="00C05706"/>
    <w:rsid w:val="00C07377"/>
    <w:rsid w:val="00C079E8"/>
    <w:rsid w:val="00C10478"/>
    <w:rsid w:val="00C10F3D"/>
    <w:rsid w:val="00C12107"/>
    <w:rsid w:val="00C14AEC"/>
    <w:rsid w:val="00C14D4B"/>
    <w:rsid w:val="00C154BB"/>
    <w:rsid w:val="00C17B3E"/>
    <w:rsid w:val="00C20923"/>
    <w:rsid w:val="00C22738"/>
    <w:rsid w:val="00C25B67"/>
    <w:rsid w:val="00C279B5"/>
    <w:rsid w:val="00C27C45"/>
    <w:rsid w:val="00C3054A"/>
    <w:rsid w:val="00C35E86"/>
    <w:rsid w:val="00C36612"/>
    <w:rsid w:val="00C36C34"/>
    <w:rsid w:val="00C3719D"/>
    <w:rsid w:val="00C45571"/>
    <w:rsid w:val="00C465CE"/>
    <w:rsid w:val="00C4713E"/>
    <w:rsid w:val="00C529D8"/>
    <w:rsid w:val="00C54995"/>
    <w:rsid w:val="00C54D41"/>
    <w:rsid w:val="00C55E52"/>
    <w:rsid w:val="00C5754D"/>
    <w:rsid w:val="00C60783"/>
    <w:rsid w:val="00C60D03"/>
    <w:rsid w:val="00C61FD4"/>
    <w:rsid w:val="00C6255D"/>
    <w:rsid w:val="00C63BA2"/>
    <w:rsid w:val="00C64672"/>
    <w:rsid w:val="00C66D2D"/>
    <w:rsid w:val="00C70697"/>
    <w:rsid w:val="00C72EF4"/>
    <w:rsid w:val="00C73B6E"/>
    <w:rsid w:val="00C75D2F"/>
    <w:rsid w:val="00C767BE"/>
    <w:rsid w:val="00C76E3C"/>
    <w:rsid w:val="00C8004C"/>
    <w:rsid w:val="00C81568"/>
    <w:rsid w:val="00C8725C"/>
    <w:rsid w:val="00C8739A"/>
    <w:rsid w:val="00C9027A"/>
    <w:rsid w:val="00C9068E"/>
    <w:rsid w:val="00C93C4B"/>
    <w:rsid w:val="00C944AB"/>
    <w:rsid w:val="00C95B40"/>
    <w:rsid w:val="00CA0740"/>
    <w:rsid w:val="00CA1ED8"/>
    <w:rsid w:val="00CA59EF"/>
    <w:rsid w:val="00CA5C94"/>
    <w:rsid w:val="00CB1F63"/>
    <w:rsid w:val="00CB5C17"/>
    <w:rsid w:val="00CB7170"/>
    <w:rsid w:val="00CB745E"/>
    <w:rsid w:val="00CC040E"/>
    <w:rsid w:val="00CC0977"/>
    <w:rsid w:val="00CC111F"/>
    <w:rsid w:val="00CC2011"/>
    <w:rsid w:val="00CC3EA0"/>
    <w:rsid w:val="00CC7B45"/>
    <w:rsid w:val="00CD1188"/>
    <w:rsid w:val="00CD2ED1"/>
    <w:rsid w:val="00CD2FE6"/>
    <w:rsid w:val="00CD31BF"/>
    <w:rsid w:val="00CD337B"/>
    <w:rsid w:val="00CD6EB6"/>
    <w:rsid w:val="00CD7B07"/>
    <w:rsid w:val="00CE0424"/>
    <w:rsid w:val="00CE6894"/>
    <w:rsid w:val="00CE7561"/>
    <w:rsid w:val="00CF11A7"/>
    <w:rsid w:val="00CF1354"/>
    <w:rsid w:val="00CF3B1F"/>
    <w:rsid w:val="00CF3BF6"/>
    <w:rsid w:val="00CF625B"/>
    <w:rsid w:val="00CF687E"/>
    <w:rsid w:val="00D00AE7"/>
    <w:rsid w:val="00D01957"/>
    <w:rsid w:val="00D0349B"/>
    <w:rsid w:val="00D068D4"/>
    <w:rsid w:val="00D10249"/>
    <w:rsid w:val="00D115C3"/>
    <w:rsid w:val="00D11897"/>
    <w:rsid w:val="00D13135"/>
    <w:rsid w:val="00D13E4E"/>
    <w:rsid w:val="00D140E7"/>
    <w:rsid w:val="00D239A7"/>
    <w:rsid w:val="00D23F47"/>
    <w:rsid w:val="00D25712"/>
    <w:rsid w:val="00D25792"/>
    <w:rsid w:val="00D31491"/>
    <w:rsid w:val="00D32A9B"/>
    <w:rsid w:val="00D36E71"/>
    <w:rsid w:val="00D3710F"/>
    <w:rsid w:val="00D37987"/>
    <w:rsid w:val="00D37D87"/>
    <w:rsid w:val="00D40B33"/>
    <w:rsid w:val="00D4318F"/>
    <w:rsid w:val="00D438BF"/>
    <w:rsid w:val="00D440F8"/>
    <w:rsid w:val="00D44A1E"/>
    <w:rsid w:val="00D546FF"/>
    <w:rsid w:val="00D55AD5"/>
    <w:rsid w:val="00D576CA"/>
    <w:rsid w:val="00D61AF5"/>
    <w:rsid w:val="00D652B5"/>
    <w:rsid w:val="00D66155"/>
    <w:rsid w:val="00D70075"/>
    <w:rsid w:val="00D708B0"/>
    <w:rsid w:val="00D762BB"/>
    <w:rsid w:val="00D77B1D"/>
    <w:rsid w:val="00D8021F"/>
    <w:rsid w:val="00D80383"/>
    <w:rsid w:val="00D80AC8"/>
    <w:rsid w:val="00D823C6"/>
    <w:rsid w:val="00D831F1"/>
    <w:rsid w:val="00D86CA3"/>
    <w:rsid w:val="00D871CE"/>
    <w:rsid w:val="00D87CB9"/>
    <w:rsid w:val="00D9196D"/>
    <w:rsid w:val="00D91BC7"/>
    <w:rsid w:val="00D92982"/>
    <w:rsid w:val="00D95DF5"/>
    <w:rsid w:val="00DA02AF"/>
    <w:rsid w:val="00DA305E"/>
    <w:rsid w:val="00DA5417"/>
    <w:rsid w:val="00DA56E8"/>
    <w:rsid w:val="00DB0A9F"/>
    <w:rsid w:val="00DB2B16"/>
    <w:rsid w:val="00DB377D"/>
    <w:rsid w:val="00DB4FC3"/>
    <w:rsid w:val="00DC1C50"/>
    <w:rsid w:val="00DC2D36"/>
    <w:rsid w:val="00DC431C"/>
    <w:rsid w:val="00DC53EF"/>
    <w:rsid w:val="00DC5477"/>
    <w:rsid w:val="00DC7AAB"/>
    <w:rsid w:val="00DC7D74"/>
    <w:rsid w:val="00DD03DC"/>
    <w:rsid w:val="00DD6051"/>
    <w:rsid w:val="00DD6BE3"/>
    <w:rsid w:val="00DD6CA7"/>
    <w:rsid w:val="00DD766F"/>
    <w:rsid w:val="00DE2AB7"/>
    <w:rsid w:val="00DE5608"/>
    <w:rsid w:val="00DE58D0"/>
    <w:rsid w:val="00DE654F"/>
    <w:rsid w:val="00DE7D47"/>
    <w:rsid w:val="00DF0B6E"/>
    <w:rsid w:val="00DF0F93"/>
    <w:rsid w:val="00DF15E0"/>
    <w:rsid w:val="00DF3642"/>
    <w:rsid w:val="00DF37A0"/>
    <w:rsid w:val="00DF5401"/>
    <w:rsid w:val="00DF58FF"/>
    <w:rsid w:val="00DF7229"/>
    <w:rsid w:val="00DF7668"/>
    <w:rsid w:val="00E00600"/>
    <w:rsid w:val="00E00660"/>
    <w:rsid w:val="00E00BE1"/>
    <w:rsid w:val="00E07842"/>
    <w:rsid w:val="00E110E7"/>
    <w:rsid w:val="00E1157C"/>
    <w:rsid w:val="00E11B20"/>
    <w:rsid w:val="00E12BA4"/>
    <w:rsid w:val="00E14C07"/>
    <w:rsid w:val="00E177A7"/>
    <w:rsid w:val="00E17FA2"/>
    <w:rsid w:val="00E22330"/>
    <w:rsid w:val="00E24725"/>
    <w:rsid w:val="00E30B5A"/>
    <w:rsid w:val="00E30EB6"/>
    <w:rsid w:val="00E3123D"/>
    <w:rsid w:val="00E31461"/>
    <w:rsid w:val="00E31D43"/>
    <w:rsid w:val="00E32608"/>
    <w:rsid w:val="00E34188"/>
    <w:rsid w:val="00E34B6E"/>
    <w:rsid w:val="00E35559"/>
    <w:rsid w:val="00E3723A"/>
    <w:rsid w:val="00E37860"/>
    <w:rsid w:val="00E431F1"/>
    <w:rsid w:val="00E446F1"/>
    <w:rsid w:val="00E46886"/>
    <w:rsid w:val="00E47AEF"/>
    <w:rsid w:val="00E52A05"/>
    <w:rsid w:val="00E53B75"/>
    <w:rsid w:val="00E54D45"/>
    <w:rsid w:val="00E54E3B"/>
    <w:rsid w:val="00E57565"/>
    <w:rsid w:val="00E6200A"/>
    <w:rsid w:val="00E63838"/>
    <w:rsid w:val="00E64434"/>
    <w:rsid w:val="00E66C38"/>
    <w:rsid w:val="00E67C51"/>
    <w:rsid w:val="00E7280F"/>
    <w:rsid w:val="00E72EFC"/>
    <w:rsid w:val="00E7489C"/>
    <w:rsid w:val="00E758EC"/>
    <w:rsid w:val="00E76E1C"/>
    <w:rsid w:val="00E76E20"/>
    <w:rsid w:val="00E8234C"/>
    <w:rsid w:val="00E83AA9"/>
    <w:rsid w:val="00E84ADB"/>
    <w:rsid w:val="00E85928"/>
    <w:rsid w:val="00E87822"/>
    <w:rsid w:val="00E90395"/>
    <w:rsid w:val="00E90E49"/>
    <w:rsid w:val="00E91004"/>
    <w:rsid w:val="00E91005"/>
    <w:rsid w:val="00E917F9"/>
    <w:rsid w:val="00E9291C"/>
    <w:rsid w:val="00E93FFE"/>
    <w:rsid w:val="00E94A0E"/>
    <w:rsid w:val="00E94F8A"/>
    <w:rsid w:val="00E951EC"/>
    <w:rsid w:val="00E95F33"/>
    <w:rsid w:val="00E9752B"/>
    <w:rsid w:val="00EA0AE8"/>
    <w:rsid w:val="00EA225B"/>
    <w:rsid w:val="00EA3CF0"/>
    <w:rsid w:val="00EA7A41"/>
    <w:rsid w:val="00EB031C"/>
    <w:rsid w:val="00EB077B"/>
    <w:rsid w:val="00EB2624"/>
    <w:rsid w:val="00EB287A"/>
    <w:rsid w:val="00EB2889"/>
    <w:rsid w:val="00EB4EA2"/>
    <w:rsid w:val="00EB6169"/>
    <w:rsid w:val="00EC1E6C"/>
    <w:rsid w:val="00EC27C6"/>
    <w:rsid w:val="00EC4207"/>
    <w:rsid w:val="00EC5653"/>
    <w:rsid w:val="00EC5BF9"/>
    <w:rsid w:val="00EC71CE"/>
    <w:rsid w:val="00ED1006"/>
    <w:rsid w:val="00ED1217"/>
    <w:rsid w:val="00ED2AAD"/>
    <w:rsid w:val="00ED4733"/>
    <w:rsid w:val="00ED79BF"/>
    <w:rsid w:val="00EF18FE"/>
    <w:rsid w:val="00EF268B"/>
    <w:rsid w:val="00EF3C81"/>
    <w:rsid w:val="00EF4221"/>
    <w:rsid w:val="00EF4C30"/>
    <w:rsid w:val="00EF5787"/>
    <w:rsid w:val="00EF60D0"/>
    <w:rsid w:val="00F0528D"/>
    <w:rsid w:val="00F06C67"/>
    <w:rsid w:val="00F06DFD"/>
    <w:rsid w:val="00F071D1"/>
    <w:rsid w:val="00F07533"/>
    <w:rsid w:val="00F10595"/>
    <w:rsid w:val="00F10629"/>
    <w:rsid w:val="00F1236C"/>
    <w:rsid w:val="00F15FA5"/>
    <w:rsid w:val="00F16310"/>
    <w:rsid w:val="00F16FE2"/>
    <w:rsid w:val="00F209B7"/>
    <w:rsid w:val="00F2376F"/>
    <w:rsid w:val="00F243D8"/>
    <w:rsid w:val="00F25DC6"/>
    <w:rsid w:val="00F30828"/>
    <w:rsid w:val="00F313D6"/>
    <w:rsid w:val="00F327CD"/>
    <w:rsid w:val="00F331CC"/>
    <w:rsid w:val="00F36E17"/>
    <w:rsid w:val="00F40F0C"/>
    <w:rsid w:val="00F42239"/>
    <w:rsid w:val="00F45221"/>
    <w:rsid w:val="00F4766C"/>
    <w:rsid w:val="00F50548"/>
    <w:rsid w:val="00F507D1"/>
    <w:rsid w:val="00F519CE"/>
    <w:rsid w:val="00F51ADA"/>
    <w:rsid w:val="00F522EF"/>
    <w:rsid w:val="00F56091"/>
    <w:rsid w:val="00F607C5"/>
    <w:rsid w:val="00F60DEA"/>
    <w:rsid w:val="00F6302A"/>
    <w:rsid w:val="00F639E4"/>
    <w:rsid w:val="00F64C2B"/>
    <w:rsid w:val="00F651BE"/>
    <w:rsid w:val="00F67F53"/>
    <w:rsid w:val="00F703BE"/>
    <w:rsid w:val="00F71316"/>
    <w:rsid w:val="00F71F69"/>
    <w:rsid w:val="00F72B72"/>
    <w:rsid w:val="00F7418E"/>
    <w:rsid w:val="00F74BB9"/>
    <w:rsid w:val="00F75582"/>
    <w:rsid w:val="00F76EFA"/>
    <w:rsid w:val="00F8033E"/>
    <w:rsid w:val="00F804BE"/>
    <w:rsid w:val="00F817CE"/>
    <w:rsid w:val="00F81AF6"/>
    <w:rsid w:val="00F82812"/>
    <w:rsid w:val="00F8456C"/>
    <w:rsid w:val="00F848DD"/>
    <w:rsid w:val="00F859D8"/>
    <w:rsid w:val="00F85A8D"/>
    <w:rsid w:val="00F85CDA"/>
    <w:rsid w:val="00F868F5"/>
    <w:rsid w:val="00F87AB5"/>
    <w:rsid w:val="00F9056A"/>
    <w:rsid w:val="00F90A97"/>
    <w:rsid w:val="00F90AC0"/>
    <w:rsid w:val="00F90F8D"/>
    <w:rsid w:val="00F92782"/>
    <w:rsid w:val="00F93A82"/>
    <w:rsid w:val="00F93AA9"/>
    <w:rsid w:val="00F96985"/>
    <w:rsid w:val="00F969C0"/>
    <w:rsid w:val="00F974D0"/>
    <w:rsid w:val="00F97838"/>
    <w:rsid w:val="00FA0C89"/>
    <w:rsid w:val="00FA2BB3"/>
    <w:rsid w:val="00FB0C15"/>
    <w:rsid w:val="00FB1944"/>
    <w:rsid w:val="00FB2039"/>
    <w:rsid w:val="00FB216B"/>
    <w:rsid w:val="00FB368B"/>
    <w:rsid w:val="00FB3B05"/>
    <w:rsid w:val="00FB3F9E"/>
    <w:rsid w:val="00FB4C80"/>
    <w:rsid w:val="00FB64DC"/>
    <w:rsid w:val="00FB6A6A"/>
    <w:rsid w:val="00FB7F1D"/>
    <w:rsid w:val="00FC4236"/>
    <w:rsid w:val="00FC4E33"/>
    <w:rsid w:val="00FC5706"/>
    <w:rsid w:val="00FC7429"/>
    <w:rsid w:val="00FD07F6"/>
    <w:rsid w:val="00FD0EE5"/>
    <w:rsid w:val="00FD1EC8"/>
    <w:rsid w:val="00FD2354"/>
    <w:rsid w:val="00FD47ED"/>
    <w:rsid w:val="00FD4AEC"/>
    <w:rsid w:val="00FD577E"/>
    <w:rsid w:val="00FD74DB"/>
    <w:rsid w:val="00FD7660"/>
    <w:rsid w:val="00FE0655"/>
    <w:rsid w:val="00FE1D6D"/>
    <w:rsid w:val="00FE2365"/>
    <w:rsid w:val="00FE2ABC"/>
    <w:rsid w:val="00FE2CC1"/>
    <w:rsid w:val="00FE3D5F"/>
    <w:rsid w:val="00FE4C7B"/>
    <w:rsid w:val="00FE7336"/>
    <w:rsid w:val="00FE787C"/>
    <w:rsid w:val="00FF1E79"/>
    <w:rsid w:val="00FF44FC"/>
    <w:rsid w:val="00FF45A5"/>
    <w:rsid w:val="00FF562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275936947">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652368390">
      <w:bodyDiv w:val="1"/>
      <w:marLeft w:val="0"/>
      <w:marRight w:val="0"/>
      <w:marTop w:val="0"/>
      <w:marBottom w:val="0"/>
      <w:divBdr>
        <w:top w:val="none" w:sz="0" w:space="0" w:color="auto"/>
        <w:left w:val="none" w:sz="0" w:space="0" w:color="auto"/>
        <w:bottom w:val="none" w:sz="0" w:space="0" w:color="auto"/>
        <w:right w:val="none" w:sz="0" w:space="0" w:color="auto"/>
      </w:divBdr>
      <w:divsChild>
        <w:div w:id="1654338098">
          <w:marLeft w:val="1411"/>
          <w:marRight w:val="0"/>
          <w:marTop w:val="82"/>
          <w:marBottom w:val="0"/>
          <w:divBdr>
            <w:top w:val="none" w:sz="0" w:space="0" w:color="auto"/>
            <w:left w:val="none" w:sz="0" w:space="0" w:color="auto"/>
            <w:bottom w:val="none" w:sz="0" w:space="0" w:color="auto"/>
            <w:right w:val="none" w:sz="0" w:space="0" w:color="auto"/>
          </w:divBdr>
        </w:div>
        <w:div w:id="904530191">
          <w:marLeft w:val="1411"/>
          <w:marRight w:val="0"/>
          <w:marTop w:val="67"/>
          <w:marBottom w:val="0"/>
          <w:divBdr>
            <w:top w:val="none" w:sz="0" w:space="0" w:color="auto"/>
            <w:left w:val="none" w:sz="0" w:space="0" w:color="auto"/>
            <w:bottom w:val="none" w:sz="0" w:space="0" w:color="auto"/>
            <w:right w:val="none" w:sz="0" w:space="0" w:color="auto"/>
          </w:divBdr>
        </w:div>
        <w:div w:id="1588613942">
          <w:marLeft w:val="1411"/>
          <w:marRight w:val="0"/>
          <w:marTop w:val="67"/>
          <w:marBottom w:val="0"/>
          <w:divBdr>
            <w:top w:val="none" w:sz="0" w:space="0" w:color="auto"/>
            <w:left w:val="none" w:sz="0" w:space="0" w:color="auto"/>
            <w:bottom w:val="none" w:sz="0" w:space="0" w:color="auto"/>
            <w:right w:val="none" w:sz="0" w:space="0" w:color="auto"/>
          </w:divBdr>
        </w:div>
      </w:divsChild>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19506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F2A41-7758-4EC4-8F75-E353B25A2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Daniel Larsson</cp:lastModifiedBy>
  <cp:revision>2</cp:revision>
  <cp:lastPrinted>2008-01-31T07:09:00Z</cp:lastPrinted>
  <dcterms:created xsi:type="dcterms:W3CDTF">2016-04-01T16:44:00Z</dcterms:created>
  <dcterms:modified xsi:type="dcterms:W3CDTF">2016-04-01T16:44:00Z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