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59192835"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#84</w:t>
      </w:r>
      <w:r w:rsidR="001F1F7E">
        <w:rPr>
          <w:rFonts w:eastAsia="ＭＳ ゴシック" w:cs="Arial"/>
          <w:noProof w:val="0"/>
          <w:sz w:val="28"/>
          <w:szCs w:val="28"/>
          <w:lang w:val="en-US"/>
        </w:rPr>
        <w:t>bis</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DA2D34" w:rsidRPr="009E057D">
        <w:rPr>
          <w:rFonts w:eastAsia="ＭＳ ゴシック" w:cs="Arial"/>
          <w:iCs/>
          <w:noProof w:val="0"/>
          <w:sz w:val="28"/>
          <w:szCs w:val="28"/>
          <w:lang w:val="en-US"/>
        </w:rPr>
        <w:t>R1-</w:t>
      </w:r>
      <w:r w:rsidR="00DA2D34" w:rsidRPr="009E057D">
        <w:rPr>
          <w:rFonts w:eastAsia="SimSun" w:cs="Arial"/>
          <w:iCs/>
          <w:noProof w:val="0"/>
          <w:sz w:val="28"/>
          <w:szCs w:val="28"/>
          <w:lang w:val="en-US" w:eastAsia="zh-CN"/>
        </w:rPr>
        <w:t>1</w:t>
      </w:r>
      <w:r w:rsidR="00A66768">
        <w:rPr>
          <w:rFonts w:eastAsia="SimSun" w:cs="Arial"/>
          <w:iCs/>
          <w:noProof w:val="0"/>
          <w:sz w:val="28"/>
          <w:szCs w:val="28"/>
          <w:lang w:val="en-US" w:eastAsia="zh-CN"/>
        </w:rPr>
        <w:t>6</w:t>
      </w:r>
      <w:r w:rsidR="00041B01" w:rsidRPr="00041B01">
        <w:rPr>
          <w:rFonts w:eastAsia="SimSun" w:cs="Arial"/>
          <w:iCs/>
          <w:noProof w:val="0"/>
          <w:sz w:val="28"/>
          <w:szCs w:val="28"/>
          <w:lang w:val="en-US" w:eastAsia="zh-CN"/>
        </w:rPr>
        <w:t>2835</w:t>
      </w:r>
    </w:p>
    <w:p w14:paraId="74C101FF" w14:textId="68BDA909" w:rsidR="00004B52" w:rsidRPr="006632A6" w:rsidRDefault="001F1F7E" w:rsidP="0060799C">
      <w:pPr>
        <w:pStyle w:val="a4"/>
        <w:tabs>
          <w:tab w:val="right" w:pos="9072"/>
          <w:tab w:val="right" w:pos="10206"/>
        </w:tabs>
        <w:spacing w:after="0" w:afterAutospacing="0"/>
        <w:rPr>
          <w:rFonts w:eastAsia="SimSun" w:cs="Arial"/>
          <w:noProof w:val="0"/>
          <w:sz w:val="28"/>
          <w:szCs w:val="28"/>
          <w:lang w:val="en-US" w:eastAsia="zh-CN"/>
        </w:rPr>
      </w:pPr>
      <w:r w:rsidRPr="001F1F7E">
        <w:rPr>
          <w:rFonts w:eastAsia="SimSun" w:cs="Arial"/>
          <w:noProof w:val="0"/>
          <w:sz w:val="28"/>
          <w:szCs w:val="28"/>
          <w:lang w:val="en-US" w:eastAsia="zh-CN"/>
        </w:rPr>
        <w:t>Busan, Korea 11</w:t>
      </w:r>
      <w:r w:rsidRPr="001F1F7E">
        <w:rPr>
          <w:rFonts w:eastAsia="SimSun" w:cs="Arial"/>
          <w:noProof w:val="0"/>
          <w:sz w:val="28"/>
          <w:szCs w:val="28"/>
          <w:vertAlign w:val="superscript"/>
          <w:lang w:val="en-US" w:eastAsia="zh-CN"/>
        </w:rPr>
        <w:t>th</w:t>
      </w:r>
      <w:r w:rsidRPr="001F1F7E">
        <w:rPr>
          <w:rFonts w:eastAsia="SimSun" w:cs="Arial"/>
          <w:noProof w:val="0"/>
          <w:sz w:val="28"/>
          <w:szCs w:val="28"/>
          <w:lang w:val="en-US" w:eastAsia="zh-CN"/>
        </w:rPr>
        <w:t xml:space="preserve"> - 15</w:t>
      </w:r>
      <w:r w:rsidRPr="001F1F7E">
        <w:rPr>
          <w:rFonts w:eastAsia="SimSun" w:cs="Arial"/>
          <w:noProof w:val="0"/>
          <w:sz w:val="28"/>
          <w:szCs w:val="28"/>
          <w:vertAlign w:val="superscript"/>
          <w:lang w:val="en-US" w:eastAsia="zh-CN"/>
        </w:rPr>
        <w:t>th</w:t>
      </w:r>
      <w:r w:rsidRPr="001F1F7E">
        <w:rPr>
          <w:rFonts w:eastAsia="SimSun" w:cs="Arial"/>
          <w:noProof w:val="0"/>
          <w:sz w:val="28"/>
          <w:szCs w:val="28"/>
          <w:lang w:val="en-US" w:eastAsia="zh-CN"/>
        </w:rPr>
        <w:t xml:space="preserve"> April 2016</w:t>
      </w:r>
    </w:p>
    <w:p w14:paraId="2B769471" w14:textId="77777777" w:rsidR="00004B52" w:rsidRPr="00A327B4" w:rsidRDefault="00004B52" w:rsidP="0060799C">
      <w:pPr>
        <w:pStyle w:val="a4"/>
        <w:tabs>
          <w:tab w:val="right" w:pos="10206"/>
        </w:tabs>
        <w:spacing w:after="0" w:afterAutospacing="0"/>
        <w:rPr>
          <w:rFonts w:eastAsia="ＭＳ ゴシック"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14:paraId="73B38AAD" w14:textId="4CCCF6AA"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041B01">
        <w:rPr>
          <w:rFonts w:ascii="Arial" w:hAnsi="Arial" w:cs="Arial"/>
          <w:b/>
          <w:sz w:val="28"/>
          <w:szCs w:val="28"/>
          <w:lang w:val="en-US"/>
        </w:rPr>
        <w:t>On n</w:t>
      </w:r>
      <w:r w:rsidR="002734EF">
        <w:rPr>
          <w:rFonts w:ascii="Arial" w:hAnsi="Arial" w:cs="Arial"/>
          <w:b/>
          <w:sz w:val="28"/>
          <w:szCs w:val="28"/>
          <w:lang w:val="en-US"/>
        </w:rPr>
        <w:t>on-anchor PRBs for NB-IoT m</w:t>
      </w:r>
      <w:r w:rsidR="001F1F7E">
        <w:rPr>
          <w:rFonts w:ascii="Arial" w:hAnsi="Arial" w:cs="Arial"/>
          <w:b/>
          <w:sz w:val="28"/>
          <w:szCs w:val="28"/>
          <w:lang w:val="en-US"/>
        </w:rPr>
        <w:t>ulti-carrier operation</w:t>
      </w:r>
      <w:r w:rsidR="000E0349">
        <w:rPr>
          <w:rFonts w:ascii="Arial" w:hAnsi="Arial" w:cs="Arial"/>
          <w:b/>
          <w:sz w:val="28"/>
          <w:szCs w:val="28"/>
          <w:lang w:val="en-US"/>
        </w:rPr>
        <w:t xml:space="preserve"> </w:t>
      </w:r>
      <w:bookmarkEnd w:id="2"/>
      <w:bookmarkEnd w:id="3"/>
      <w:bookmarkEnd w:id="4"/>
    </w:p>
    <w:p w14:paraId="49DC0276" w14:textId="1A1F59A1" w:rsidR="00004B52" w:rsidRPr="00AC3741" w:rsidRDefault="00004B52" w:rsidP="0060799C">
      <w:pPr>
        <w:spacing w:after="0" w:afterAutospacing="0"/>
        <w:ind w:left="1985" w:hangingChars="706" w:hanging="1985"/>
        <w:rPr>
          <w:rFonts w:ascii="Arial" w:eastAsia="SimSun"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Pr>
          <w:rFonts w:ascii="Arial" w:hAnsi="Arial" w:cs="Arial"/>
          <w:b/>
          <w:sz w:val="28"/>
          <w:szCs w:val="28"/>
          <w:lang w:val="pt-BR"/>
        </w:rPr>
        <w:t>7.</w:t>
      </w:r>
      <w:r w:rsidR="000079B0">
        <w:rPr>
          <w:rFonts w:ascii="Arial" w:hAnsi="Arial" w:cs="Arial"/>
          <w:b/>
          <w:sz w:val="28"/>
          <w:szCs w:val="28"/>
          <w:lang w:val="pt-BR"/>
        </w:rPr>
        <w:t>2.1.1.2</w:t>
      </w:r>
      <w:bookmarkStart w:id="5" w:name="_GoBack"/>
      <w:bookmarkEnd w:id="5"/>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7B2476AD" w14:textId="4BA3BBB6" w:rsidR="00FE4583" w:rsidRDefault="001C731F" w:rsidP="00F542AD">
      <w:pPr>
        <w:spacing w:before="240" w:after="240" w:afterAutospacing="0"/>
        <w:rPr>
          <w:rFonts w:eastAsia="ＭＳ 明朝"/>
          <w:lang w:val="en-US"/>
        </w:rPr>
      </w:pPr>
      <w:r w:rsidRPr="001C731F">
        <w:rPr>
          <w:rFonts w:eastAsia="ＭＳ 明朝"/>
          <w:lang w:val="en-US"/>
        </w:rPr>
        <w:t xml:space="preserve">In </w:t>
      </w:r>
      <w:r w:rsidR="00B023BB">
        <w:rPr>
          <w:rFonts w:eastAsia="ＭＳ 明朝"/>
          <w:lang w:val="en-US"/>
        </w:rPr>
        <w:t xml:space="preserve">the </w:t>
      </w:r>
      <w:r w:rsidRPr="001C731F">
        <w:rPr>
          <w:rFonts w:eastAsia="ＭＳ 明朝"/>
          <w:lang w:val="en-US"/>
        </w:rPr>
        <w:t>RAN1</w:t>
      </w:r>
      <w:r w:rsidR="0061011F">
        <w:rPr>
          <w:rFonts w:eastAsia="ＭＳ 明朝"/>
          <w:lang w:val="en-US"/>
        </w:rPr>
        <w:t xml:space="preserve"> NB-IoT</w:t>
      </w:r>
      <w:r w:rsidRPr="001C731F">
        <w:rPr>
          <w:rFonts w:eastAsia="ＭＳ 明朝"/>
          <w:lang w:val="en-US"/>
        </w:rPr>
        <w:t xml:space="preserve"> </w:t>
      </w:r>
      <w:r w:rsidR="0061011F">
        <w:rPr>
          <w:rFonts w:eastAsia="ＭＳ 明朝"/>
          <w:lang w:val="en-US"/>
        </w:rPr>
        <w:t>ad-hoc</w:t>
      </w:r>
      <w:r w:rsidR="00B023BB">
        <w:rPr>
          <w:rFonts w:eastAsia="ＭＳ 明朝"/>
          <w:lang w:val="en-US"/>
        </w:rPr>
        <w:t xml:space="preserve"> meeting</w:t>
      </w:r>
      <w:r w:rsidR="001F1F7E">
        <w:rPr>
          <w:rFonts w:eastAsia="ＭＳ 明朝"/>
          <w:lang w:val="en-US"/>
        </w:rPr>
        <w:t xml:space="preserve"> in</w:t>
      </w:r>
      <w:r w:rsidRPr="001C731F">
        <w:rPr>
          <w:rFonts w:eastAsia="ＭＳ 明朝"/>
          <w:lang w:val="en-US"/>
        </w:rPr>
        <w:t xml:space="preserve"> </w:t>
      </w:r>
      <w:r w:rsidR="001F1F7E" w:rsidRPr="001F1F7E">
        <w:rPr>
          <w:rFonts w:eastAsia="ＭＳ 明朝"/>
          <w:lang w:val="en-US"/>
        </w:rPr>
        <w:t>Sophia Antipolis</w:t>
      </w:r>
      <w:r w:rsidR="001F1F7E">
        <w:rPr>
          <w:rFonts w:eastAsia="ＭＳ 明朝"/>
          <w:lang w:val="en-US"/>
        </w:rPr>
        <w:t xml:space="preserve">, </w:t>
      </w:r>
      <w:r w:rsidR="00B023BB">
        <w:rPr>
          <w:rFonts w:eastAsia="ＭＳ 明朝"/>
          <w:lang w:val="en-US"/>
        </w:rPr>
        <w:t xml:space="preserve">the following </w:t>
      </w:r>
      <w:r w:rsidRPr="001C731F">
        <w:rPr>
          <w:rFonts w:eastAsia="ＭＳ 明朝"/>
          <w:lang w:val="en-US"/>
        </w:rPr>
        <w:t>agree</w:t>
      </w:r>
      <w:r w:rsidR="00B023BB">
        <w:rPr>
          <w:rFonts w:eastAsia="ＭＳ 明朝"/>
          <w:lang w:val="en-US"/>
        </w:rPr>
        <w:t xml:space="preserve">ments were made on </w:t>
      </w:r>
      <w:r w:rsidR="00C706A8">
        <w:rPr>
          <w:rFonts w:eastAsia="ＭＳ 明朝"/>
          <w:lang w:val="en-US"/>
        </w:rPr>
        <w:t>NB-</w:t>
      </w:r>
      <w:r w:rsidR="001F1F7E">
        <w:rPr>
          <w:rFonts w:eastAsia="ＭＳ 明朝"/>
          <w:lang w:val="en-US"/>
        </w:rPr>
        <w:t>IoT multi-carrier operation</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14:paraId="2F10319D" w14:textId="77777777" w:rsidTr="00D54E15">
        <w:tc>
          <w:tcPr>
            <w:tcW w:w="9954" w:type="dxa"/>
          </w:tcPr>
          <w:p w14:paraId="40E9CD86" w14:textId="77777777" w:rsidR="00395C5E" w:rsidRPr="00D56D63" w:rsidRDefault="00395C5E" w:rsidP="00395C5E">
            <w:pPr>
              <w:rPr>
                <w:rFonts w:eastAsia="ＭＳ 明朝"/>
                <w:highlight w:val="green"/>
              </w:rPr>
            </w:pPr>
            <w:r w:rsidRPr="00D56D63">
              <w:rPr>
                <w:rFonts w:eastAsia="ＭＳ 明朝"/>
                <w:highlight w:val="green"/>
              </w:rPr>
              <w:t>Agreements:</w:t>
            </w:r>
          </w:p>
          <w:p w14:paraId="2B349C30" w14:textId="77777777" w:rsidR="001F1F7E" w:rsidRPr="001F1F7E" w:rsidRDefault="001F1F7E" w:rsidP="001F1F7E">
            <w:pPr>
              <w:numPr>
                <w:ilvl w:val="0"/>
                <w:numId w:val="35"/>
              </w:numPr>
              <w:snapToGrid/>
              <w:spacing w:after="0" w:afterAutospacing="0"/>
              <w:jc w:val="left"/>
              <w:rPr>
                <w:rFonts w:eastAsia="ＭＳ 明朝"/>
                <w:szCs w:val="24"/>
                <w:lang w:val="en-US"/>
              </w:rPr>
            </w:pPr>
            <w:r w:rsidRPr="001F1F7E">
              <w:rPr>
                <w:rFonts w:eastAsia="ＭＳ 明朝"/>
                <w:szCs w:val="24"/>
                <w:lang w:val="en-US"/>
              </w:rPr>
              <w:t>Any combination, i.e., inband+inband, inband+guardband, and guardband+guardband should be allowed for NB-IoT multi-carrier operation with the constraint that both guard-bands and the in-band are associated with the same LTE donor cell, i.e., the total span cannot exceed 110 PRBs from the same FFT</w:t>
            </w:r>
          </w:p>
          <w:p w14:paraId="1C58B70E" w14:textId="77777777" w:rsidR="001F1F7E" w:rsidRDefault="001F1F7E" w:rsidP="001F1F7E">
            <w:pPr>
              <w:numPr>
                <w:ilvl w:val="0"/>
                <w:numId w:val="35"/>
              </w:numPr>
              <w:snapToGrid/>
              <w:spacing w:after="0" w:afterAutospacing="0"/>
              <w:jc w:val="left"/>
              <w:rPr>
                <w:rFonts w:eastAsia="ＭＳ 明朝"/>
                <w:szCs w:val="24"/>
                <w:lang w:val="en-US"/>
              </w:rPr>
            </w:pPr>
            <w:r w:rsidRPr="001F1F7E">
              <w:rPr>
                <w:rFonts w:eastAsia="ＭＳ 明朝"/>
                <w:szCs w:val="24"/>
                <w:lang w:val="en-US"/>
              </w:rPr>
              <w:t>No support of NB-IoT multi-carrier operation for standalone mode with either guard-band or in-band mode of operation</w:t>
            </w:r>
          </w:p>
          <w:p w14:paraId="33BC1E49" w14:textId="77777777" w:rsidR="001F1F7E" w:rsidRPr="001F1F7E" w:rsidRDefault="001F1F7E" w:rsidP="001F1F7E">
            <w:pPr>
              <w:numPr>
                <w:ilvl w:val="0"/>
                <w:numId w:val="35"/>
              </w:numPr>
              <w:snapToGrid/>
              <w:spacing w:after="0" w:afterAutospacing="0"/>
              <w:jc w:val="left"/>
              <w:rPr>
                <w:rFonts w:eastAsia="ＭＳ 明朝"/>
                <w:szCs w:val="24"/>
                <w:lang w:val="en-US"/>
              </w:rPr>
            </w:pPr>
            <w:r w:rsidRPr="001F1F7E">
              <w:rPr>
                <w:rFonts w:eastAsia="ＭＳ 明朝"/>
                <w:szCs w:val="24"/>
                <w:lang w:val="en-US"/>
              </w:rPr>
              <w:t>Standalone+standalone should be allowed for NB-IoT multi-carrier operation with the constraint that the total frequency span cannot exceed 20MHz and both NB-IoT carriers are synchronized, i.e., the time alignment error shall not exceed the minimum requirement for intra-band contiguous carrier aggregation in TS 36.104</w:t>
            </w:r>
          </w:p>
          <w:p w14:paraId="127350DB" w14:textId="59787A6D" w:rsidR="001F1F7E" w:rsidRDefault="001F1F7E" w:rsidP="001F1F7E">
            <w:pPr>
              <w:numPr>
                <w:ilvl w:val="0"/>
                <w:numId w:val="35"/>
              </w:numPr>
              <w:snapToGrid/>
              <w:spacing w:after="0" w:afterAutospacing="0"/>
              <w:jc w:val="left"/>
              <w:rPr>
                <w:rFonts w:eastAsia="ＭＳ 明朝"/>
                <w:szCs w:val="24"/>
                <w:lang w:val="en-US"/>
              </w:rPr>
            </w:pPr>
            <w:r w:rsidRPr="001F1F7E">
              <w:rPr>
                <w:rFonts w:eastAsia="ＭＳ 明朝"/>
                <w:szCs w:val="24"/>
                <w:lang w:val="en-US"/>
              </w:rPr>
              <w:t>Send an LS to RAN4 to ask if they have any concerns with thi</w:t>
            </w:r>
            <w:r>
              <w:rPr>
                <w:rFonts w:eastAsia="ＭＳ 明朝"/>
                <w:szCs w:val="24"/>
                <w:lang w:val="en-US"/>
              </w:rPr>
              <w:t>s</w:t>
            </w:r>
          </w:p>
          <w:p w14:paraId="4BEF1BF4" w14:textId="24CCA45E" w:rsidR="00816836" w:rsidRPr="001F1F7E" w:rsidRDefault="001F1F7E" w:rsidP="001F1F7E">
            <w:pPr>
              <w:numPr>
                <w:ilvl w:val="0"/>
                <w:numId w:val="35"/>
              </w:numPr>
              <w:snapToGrid/>
              <w:spacing w:after="0" w:afterAutospacing="0"/>
              <w:jc w:val="left"/>
              <w:rPr>
                <w:rFonts w:eastAsia="ＭＳ 明朝"/>
                <w:szCs w:val="24"/>
                <w:lang w:val="en-US"/>
              </w:rPr>
            </w:pPr>
            <w:r w:rsidRPr="001F1F7E">
              <w:rPr>
                <w:rFonts w:eastAsia="ＭＳ 明朝"/>
                <w:szCs w:val="24"/>
                <w:lang w:val="en-US"/>
              </w:rPr>
              <w:t>On PRBs different than the NB-IoT carrier on which the UE has received NB-PSS/SSS, NB-PBCH and SIB transmissions, the NB-IoT UE does not rate match around NB-PBCH and NB-PSS/SSS, i.e., the mapping of NB-PDCCH/PDSCH symbols to REs occurs without consideration of NB-PSS/SSS/PBCH</w:t>
            </w:r>
          </w:p>
        </w:tc>
      </w:tr>
    </w:tbl>
    <w:p w14:paraId="1B4C22F0" w14:textId="3926D633" w:rsid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share our considerations </w:t>
      </w:r>
      <w:r w:rsidR="00566813">
        <w:rPr>
          <w:rFonts w:eastAsia="ＭＳ 明朝"/>
          <w:lang w:val="en-US"/>
        </w:rPr>
        <w:t xml:space="preserve">and clarifications </w:t>
      </w:r>
      <w:r w:rsidRPr="00816836">
        <w:rPr>
          <w:rFonts w:eastAsia="ＭＳ 明朝"/>
          <w:lang w:val="en-US"/>
        </w:rPr>
        <w:t xml:space="preserve">on </w:t>
      </w:r>
      <w:r w:rsidR="00E96C8B">
        <w:rPr>
          <w:rFonts w:eastAsia="ＭＳ 明朝"/>
          <w:lang w:val="en-US"/>
        </w:rPr>
        <w:t xml:space="preserve">non-anchor PRBs for NB-IoT </w:t>
      </w:r>
      <w:r w:rsidR="00DB7C9F">
        <w:rPr>
          <w:rFonts w:eastAsia="ＭＳ 明朝"/>
          <w:lang w:val="en-US"/>
        </w:rPr>
        <w:t>multi-carrier operation</w:t>
      </w:r>
      <w:r w:rsidRPr="00816836">
        <w:rPr>
          <w:rFonts w:eastAsia="ＭＳ 明朝"/>
          <w:lang w:val="en-US"/>
        </w:rPr>
        <w:t>.</w:t>
      </w:r>
    </w:p>
    <w:p w14:paraId="3C2E8165" w14:textId="77777777" w:rsidR="00DB4CC0" w:rsidRPr="00816836" w:rsidRDefault="00DB4CC0" w:rsidP="00F542AD">
      <w:pPr>
        <w:spacing w:before="240" w:after="240" w:afterAutospacing="0"/>
        <w:rPr>
          <w:rFonts w:eastAsia="ＭＳ 明朝"/>
          <w:lang w:val="en-US"/>
        </w:rPr>
      </w:pPr>
    </w:p>
    <w:p w14:paraId="5960CBEA" w14:textId="13DDBAAA" w:rsidR="00566813" w:rsidRDefault="00C20CB7" w:rsidP="00D54E15">
      <w:pPr>
        <w:pStyle w:val="10"/>
        <w:spacing w:after="180"/>
      </w:pPr>
      <w:r w:rsidRPr="00C20CB7">
        <w:t>Non-anchor PRB determination</w:t>
      </w:r>
    </w:p>
    <w:p w14:paraId="52E50EED" w14:textId="06A65D2C" w:rsidR="00773B0E" w:rsidRDefault="00DB7C9F" w:rsidP="00A327B4">
      <w:pPr>
        <w:pStyle w:val="20"/>
      </w:pPr>
      <w:r>
        <w:t>Non-anchor PRB</w:t>
      </w:r>
      <w:r w:rsidR="00566813">
        <w:t>s</w:t>
      </w:r>
      <w:r>
        <w:t xml:space="preserve"> </w:t>
      </w:r>
      <w:r w:rsidR="00566813">
        <w:t>for in-band operation</w:t>
      </w:r>
    </w:p>
    <w:p w14:paraId="24779903" w14:textId="375102C7" w:rsidR="00C76D45" w:rsidRDefault="00C76D45" w:rsidP="00692CCE">
      <w:pPr>
        <w:rPr>
          <w:rFonts w:eastAsiaTheme="minorEastAsia"/>
          <w:lang w:eastAsia="zh-CN"/>
        </w:rPr>
      </w:pPr>
      <w:r>
        <w:rPr>
          <w:rFonts w:eastAsiaTheme="minorEastAsia"/>
          <w:lang w:eastAsia="zh-CN"/>
        </w:rPr>
        <w:t>In the RAN1 NB-IoT ad hoc meeting in Budapest, it was agreed that o</w:t>
      </w:r>
      <w:r w:rsidRPr="00C76D45">
        <w:rPr>
          <w:rFonts w:eastAsiaTheme="minorEastAsia"/>
          <w:lang w:eastAsia="zh-CN"/>
        </w:rPr>
        <w:t>ne transmission of NB-PSS, NB-SSS, NB-PBCH, and NB-PDSCH never overlaps between multiple LTE PRB bandwidths for in</w:t>
      </w:r>
      <w:r>
        <w:rPr>
          <w:rFonts w:eastAsiaTheme="minorEastAsia"/>
          <w:lang w:eastAsia="zh-CN"/>
        </w:rPr>
        <w:t>-</w:t>
      </w:r>
      <w:r w:rsidRPr="00C76D45">
        <w:rPr>
          <w:rFonts w:eastAsiaTheme="minorEastAsia"/>
          <w:lang w:eastAsia="zh-CN"/>
        </w:rPr>
        <w:t xml:space="preserve">band </w:t>
      </w:r>
      <w:r w:rsidRPr="00C76D45">
        <w:rPr>
          <w:rFonts w:eastAsiaTheme="minorEastAsia"/>
          <w:lang w:eastAsia="zh-CN"/>
        </w:rPr>
        <w:lastRenderedPageBreak/>
        <w:t>operation</w:t>
      </w:r>
      <w:r w:rsidR="00222BB4">
        <w:rPr>
          <w:rFonts w:eastAsiaTheme="minorEastAsia"/>
          <w:lang w:eastAsia="zh-CN"/>
        </w:rPr>
        <w:t xml:space="preserve"> [2]</w:t>
      </w:r>
      <w:r>
        <w:rPr>
          <w:rFonts w:eastAsiaTheme="minorEastAsia"/>
          <w:lang w:eastAsia="zh-CN"/>
        </w:rPr>
        <w:t>. In other words, the NB-IoT PRB is aligned with legacy LTE PRB</w:t>
      </w:r>
      <w:r w:rsidRPr="00C76D45">
        <w:rPr>
          <w:rFonts w:eastAsiaTheme="minorEastAsia"/>
          <w:lang w:eastAsia="zh-CN"/>
        </w:rPr>
        <w:t xml:space="preserve"> </w:t>
      </w:r>
      <w:r>
        <w:rPr>
          <w:rFonts w:eastAsiaTheme="minorEastAsia"/>
          <w:lang w:eastAsia="zh-CN"/>
        </w:rPr>
        <w:t xml:space="preserve">mapping for in-band operation. Therefore, in principle, all legacy LTE PRBs can be </w:t>
      </w:r>
      <w:r w:rsidR="002B3254">
        <w:rPr>
          <w:rFonts w:eastAsiaTheme="minorEastAsia"/>
          <w:lang w:eastAsia="zh-CN"/>
        </w:rPr>
        <w:t>utilized</w:t>
      </w:r>
      <w:r>
        <w:rPr>
          <w:rFonts w:eastAsiaTheme="minorEastAsia"/>
          <w:lang w:eastAsia="zh-CN"/>
        </w:rPr>
        <w:t xml:space="preserve"> as </w:t>
      </w:r>
      <w:r w:rsidR="000142AD">
        <w:rPr>
          <w:rFonts w:eastAsiaTheme="minorEastAsia"/>
          <w:lang w:eastAsia="zh-CN"/>
        </w:rPr>
        <w:t xml:space="preserve">candidate </w:t>
      </w:r>
      <w:r>
        <w:rPr>
          <w:rFonts w:eastAsiaTheme="minorEastAsia"/>
          <w:lang w:eastAsia="zh-CN"/>
        </w:rPr>
        <w:t xml:space="preserve">non-anchor PRBs for in-band operation. </w:t>
      </w:r>
    </w:p>
    <w:p w14:paraId="3BA6C20F" w14:textId="77777777" w:rsidR="00C76D45" w:rsidRPr="00172FEB" w:rsidRDefault="00C76D45" w:rsidP="00C76D45">
      <w:pPr>
        <w:rPr>
          <w:rFonts w:eastAsiaTheme="minorEastAsia"/>
          <w:b/>
          <w:lang w:eastAsia="zh-CN"/>
        </w:rPr>
      </w:pPr>
      <w:r>
        <w:rPr>
          <w:rFonts w:eastAsiaTheme="minorEastAsia"/>
          <w:b/>
          <w:u w:val="single"/>
          <w:lang w:eastAsia="zh-CN"/>
        </w:rPr>
        <w:t>Proposal 1</w:t>
      </w:r>
      <w:r w:rsidRPr="00517940">
        <w:rPr>
          <w:rFonts w:eastAsiaTheme="minorEastAsia"/>
          <w:b/>
          <w:u w:val="single"/>
          <w:lang w:eastAsia="zh-CN"/>
        </w:rPr>
        <w:t>:</w:t>
      </w:r>
    </w:p>
    <w:p w14:paraId="076F85E1" w14:textId="1DA6E20E" w:rsidR="00C76D45" w:rsidRDefault="00C76D45" w:rsidP="00A219C0">
      <w:pPr>
        <w:pStyle w:val="aff9"/>
        <w:numPr>
          <w:ilvl w:val="0"/>
          <w:numId w:val="29"/>
        </w:numPr>
        <w:ind w:firstLineChars="0"/>
        <w:rPr>
          <w:rFonts w:eastAsiaTheme="minorEastAsia"/>
          <w:lang w:eastAsia="zh-CN"/>
        </w:rPr>
      </w:pPr>
      <w:r>
        <w:rPr>
          <w:rFonts w:eastAsiaTheme="minorEastAsia"/>
          <w:lang w:eastAsia="zh-CN"/>
        </w:rPr>
        <w:t xml:space="preserve">For in-band operation, all LTE PRBs can be </w:t>
      </w:r>
      <w:r w:rsidR="00C16CAE">
        <w:rPr>
          <w:rFonts w:eastAsiaTheme="minorEastAsia"/>
          <w:lang w:eastAsia="zh-CN"/>
        </w:rPr>
        <w:t xml:space="preserve">utilized </w:t>
      </w:r>
      <w:r>
        <w:rPr>
          <w:rFonts w:eastAsiaTheme="minorEastAsia"/>
          <w:lang w:eastAsia="zh-CN"/>
        </w:rPr>
        <w:t xml:space="preserve">as </w:t>
      </w:r>
      <w:r w:rsidR="000142AD">
        <w:rPr>
          <w:rFonts w:eastAsiaTheme="minorEastAsia"/>
          <w:lang w:eastAsia="zh-CN"/>
        </w:rPr>
        <w:t xml:space="preserve">candidate </w:t>
      </w:r>
      <w:r>
        <w:rPr>
          <w:rFonts w:eastAsiaTheme="minorEastAsia"/>
          <w:lang w:eastAsia="zh-CN"/>
        </w:rPr>
        <w:t>non-anchor PRBs.</w:t>
      </w:r>
    </w:p>
    <w:p w14:paraId="7814D282" w14:textId="3E60E054" w:rsidR="00566813" w:rsidRDefault="00566813" w:rsidP="00566813">
      <w:pPr>
        <w:pStyle w:val="20"/>
      </w:pPr>
      <w:r>
        <w:t>Anchor/Non-anchor PRBs for guard-band operation</w:t>
      </w:r>
    </w:p>
    <w:p w14:paraId="31122BE0" w14:textId="07EC193D" w:rsidR="00566813" w:rsidRDefault="000142AD" w:rsidP="00692CCE">
      <w:pPr>
        <w:rPr>
          <w:rFonts w:eastAsiaTheme="minorEastAsia"/>
          <w:lang w:eastAsia="zh-CN"/>
        </w:rPr>
      </w:pPr>
      <w:r>
        <w:rPr>
          <w:rFonts w:eastAsiaTheme="minorEastAsia"/>
          <w:lang w:eastAsia="zh-CN"/>
        </w:rPr>
        <w:t>In the RAN1#84 meeting,</w:t>
      </w:r>
      <w:r w:rsidR="00CA7832">
        <w:rPr>
          <w:rFonts w:eastAsiaTheme="minorEastAsia"/>
          <w:lang w:eastAsia="zh-CN"/>
        </w:rPr>
        <w:t xml:space="preserve"> </w:t>
      </w:r>
      <w:r w:rsidR="003606D7">
        <w:rPr>
          <w:rFonts w:eastAsiaTheme="minorEastAsia"/>
          <w:lang w:eastAsia="zh-CN"/>
        </w:rPr>
        <w:t xml:space="preserve">it was agreed that </w:t>
      </w:r>
      <w:r w:rsidR="00CA7832">
        <w:rPr>
          <w:rFonts w:eastAsiaTheme="minorEastAsia"/>
          <w:lang w:eastAsia="zh-CN"/>
        </w:rPr>
        <w:t xml:space="preserve">the </w:t>
      </w:r>
      <w:r w:rsidR="00CA7832" w:rsidRPr="00CA7832">
        <w:rPr>
          <w:rFonts w:eastAsiaTheme="minorEastAsia"/>
          <w:lang w:eastAsia="zh-CN"/>
        </w:rPr>
        <w:t>center frequency</w:t>
      </w:r>
      <w:r w:rsidR="00CA7832">
        <w:rPr>
          <w:rFonts w:eastAsiaTheme="minorEastAsia"/>
          <w:lang w:eastAsia="zh-CN"/>
        </w:rPr>
        <w:t xml:space="preserve"> of a candidate anchor PRB is at most </w:t>
      </w:r>
      <w:r w:rsidR="00CA7832" w:rsidRPr="00CA7832">
        <w:rPr>
          <w:rFonts w:eastAsiaTheme="minorEastAsia"/>
          <w:lang w:eastAsia="zh-CN"/>
        </w:rPr>
        <w:t>7.5 kHz offset from the 100 kHz channel raster</w:t>
      </w:r>
      <w:r>
        <w:rPr>
          <w:rFonts w:eastAsiaTheme="minorEastAsia"/>
          <w:lang w:eastAsia="zh-CN"/>
        </w:rPr>
        <w:t xml:space="preserve"> for guard-band operation</w:t>
      </w:r>
      <w:r w:rsidR="00222BB4">
        <w:rPr>
          <w:rFonts w:eastAsiaTheme="minorEastAsia"/>
          <w:lang w:eastAsia="zh-CN"/>
        </w:rPr>
        <w:t xml:space="preserve"> [3]</w:t>
      </w:r>
      <w:r w:rsidR="00CA7832">
        <w:rPr>
          <w:rFonts w:eastAsiaTheme="minorEastAsia"/>
          <w:lang w:eastAsia="zh-CN"/>
        </w:rPr>
        <w:t>.</w:t>
      </w:r>
      <w:r>
        <w:rPr>
          <w:rFonts w:eastAsiaTheme="minorEastAsia"/>
          <w:lang w:eastAsia="zh-CN"/>
        </w:rPr>
        <w:t xml:space="preserve"> </w:t>
      </w:r>
      <w:r w:rsidR="00566813">
        <w:rPr>
          <w:rFonts w:eastAsiaTheme="minorEastAsia"/>
          <w:lang w:eastAsia="zh-CN"/>
        </w:rPr>
        <w:t>This means that we can consider the following two options</w:t>
      </w:r>
      <w:r w:rsidR="00DE092E">
        <w:rPr>
          <w:rFonts w:eastAsiaTheme="minorEastAsia"/>
          <w:lang w:eastAsia="zh-CN"/>
        </w:rPr>
        <w:t xml:space="preserve"> to determine the NB-IoT PRB candidates</w:t>
      </w:r>
      <w:r w:rsidR="00566813">
        <w:rPr>
          <w:rFonts w:eastAsiaTheme="minorEastAsia"/>
          <w:lang w:eastAsia="zh-CN"/>
        </w:rPr>
        <w:t>:</w:t>
      </w:r>
    </w:p>
    <w:p w14:paraId="0E86612F" w14:textId="013031B7" w:rsidR="00566813" w:rsidRDefault="00566813" w:rsidP="00692CCE">
      <w:pPr>
        <w:rPr>
          <w:rFonts w:eastAsia="ＭＳ 明朝"/>
        </w:rPr>
      </w:pPr>
      <w:r>
        <w:rPr>
          <w:rFonts w:eastAsia="ＭＳ 明朝" w:hint="eastAsia"/>
        </w:rPr>
        <w:t xml:space="preserve">Option 1: </w:t>
      </w:r>
      <w:r>
        <w:rPr>
          <w:rFonts w:eastAsia="ＭＳ 明朝"/>
        </w:rPr>
        <w:t>a UE assumes NB-IoT PRB position in LTE guard-band is aligned with continuously extended PRB position from LTE PRB</w:t>
      </w:r>
    </w:p>
    <w:p w14:paraId="09AB1BDA" w14:textId="52D542BE" w:rsidR="00566813" w:rsidRDefault="00566813" w:rsidP="00692CCE">
      <w:pPr>
        <w:rPr>
          <w:rFonts w:eastAsia="ＭＳ 明朝"/>
        </w:rPr>
      </w:pPr>
      <w:r>
        <w:rPr>
          <w:rFonts w:eastAsia="ＭＳ 明朝"/>
        </w:rPr>
        <w:t>Option 2: a UE assumes arbitrary NB-IoT PRB center frequency satisfying at most 7.5 kHz frequency offset from the 100 kHz channel raster.</w:t>
      </w:r>
      <w:r w:rsidR="00820C12">
        <w:rPr>
          <w:rFonts w:eastAsia="ＭＳ 明朝"/>
        </w:rPr>
        <w:t xml:space="preserve"> </w:t>
      </w:r>
    </w:p>
    <w:p w14:paraId="2A3BC2DA" w14:textId="0715764A" w:rsidR="0067379E" w:rsidRDefault="0067379E" w:rsidP="00692CCE">
      <w:pPr>
        <w:rPr>
          <w:rFonts w:eastAsia="ＭＳ 明朝"/>
        </w:rPr>
      </w:pPr>
      <w:r w:rsidRPr="009722B6">
        <w:rPr>
          <w:rFonts w:eastAsia="ＭＳ 明朝"/>
          <w:noProof/>
          <w:lang w:val="en-US"/>
        </w:rPr>
        <w:drawing>
          <wp:inline distT="0" distB="0" distL="0" distR="0" wp14:anchorId="5E097F9A" wp14:editId="0BEE7C42">
            <wp:extent cx="6286500" cy="3024478"/>
            <wp:effectExtent l="19050" t="19050" r="19050" b="2413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325" cy="3031129"/>
                    </a:xfrm>
                    <a:prstGeom prst="rect">
                      <a:avLst/>
                    </a:prstGeom>
                    <a:noFill/>
                    <a:ln w="12700">
                      <a:solidFill>
                        <a:schemeClr val="tx1"/>
                      </a:solidFill>
                    </a:ln>
                  </pic:spPr>
                </pic:pic>
              </a:graphicData>
            </a:graphic>
          </wp:inline>
        </w:drawing>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820C12" w14:paraId="3FCD9E66" w14:textId="77777777" w:rsidTr="00A327B4">
        <w:tc>
          <w:tcPr>
            <w:tcW w:w="9954" w:type="dxa"/>
          </w:tcPr>
          <w:p w14:paraId="5508706B" w14:textId="0077D141" w:rsidR="00820C12" w:rsidRDefault="00820C12" w:rsidP="00A327B4">
            <w:pPr>
              <w:jc w:val="center"/>
              <w:rPr>
                <w:rFonts w:eastAsia="ＭＳ 明朝"/>
              </w:rPr>
            </w:pPr>
          </w:p>
        </w:tc>
      </w:tr>
      <w:tr w:rsidR="00820C12" w14:paraId="6A3FA2B7" w14:textId="77777777" w:rsidTr="00A327B4">
        <w:tc>
          <w:tcPr>
            <w:tcW w:w="9954" w:type="dxa"/>
          </w:tcPr>
          <w:p w14:paraId="4E428D9D" w14:textId="11627873" w:rsidR="00820C12" w:rsidRDefault="00820C12" w:rsidP="00A327B4">
            <w:pPr>
              <w:jc w:val="center"/>
              <w:rPr>
                <w:rFonts w:eastAsia="ＭＳ 明朝"/>
              </w:rPr>
            </w:pPr>
            <w:r>
              <w:rPr>
                <w:rFonts w:eastAsia="ＭＳ 明朝" w:hint="eastAsia"/>
              </w:rPr>
              <w:t xml:space="preserve">Figure 1. </w:t>
            </w:r>
            <w:r w:rsidR="00DE092E">
              <w:rPr>
                <w:rFonts w:eastAsia="ＭＳ 明朝"/>
              </w:rPr>
              <w:t xml:space="preserve">NB-IoT </w:t>
            </w:r>
            <w:r>
              <w:rPr>
                <w:rFonts w:eastAsia="ＭＳ 明朝" w:hint="eastAsia"/>
              </w:rPr>
              <w:t xml:space="preserve">PRB position in </w:t>
            </w:r>
            <w:r w:rsidR="006C0715">
              <w:rPr>
                <w:rFonts w:eastAsia="ＭＳ 明朝"/>
              </w:rPr>
              <w:t xml:space="preserve">LTE </w:t>
            </w:r>
            <w:r>
              <w:rPr>
                <w:rFonts w:eastAsia="ＭＳ 明朝" w:hint="eastAsia"/>
              </w:rPr>
              <w:t>guard-band</w:t>
            </w:r>
          </w:p>
        </w:tc>
      </w:tr>
    </w:tbl>
    <w:p w14:paraId="26C98716" w14:textId="77777777" w:rsidR="00B21A1A" w:rsidRDefault="00B21A1A" w:rsidP="00692CCE">
      <w:pPr>
        <w:rPr>
          <w:rFonts w:eastAsia="ＭＳ 明朝"/>
        </w:rPr>
      </w:pPr>
    </w:p>
    <w:p w14:paraId="1C50133D" w14:textId="498A9100" w:rsidR="00B21A1A" w:rsidRDefault="00BD2481" w:rsidP="00692CCE">
      <w:pPr>
        <w:rPr>
          <w:rFonts w:eastAsia="ＭＳ 明朝"/>
        </w:rPr>
      </w:pPr>
      <w:r>
        <w:rPr>
          <w:rFonts w:eastAsia="ＭＳ 明朝" w:hint="eastAsia"/>
        </w:rPr>
        <w:t>Figure 1 shows each option</w:t>
      </w:r>
      <w:r w:rsidR="006C0715">
        <w:rPr>
          <w:rFonts w:eastAsia="ＭＳ 明朝"/>
        </w:rPr>
        <w:t xml:space="preserve"> in 15 MHz LTE system bandwidth case</w:t>
      </w:r>
      <w:r>
        <w:rPr>
          <w:rFonts w:eastAsia="ＭＳ 明朝" w:hint="eastAsia"/>
        </w:rPr>
        <w:t>.</w:t>
      </w:r>
      <w:r w:rsidRPr="00A77B95">
        <w:rPr>
          <w:rFonts w:eastAsia="ＭＳ 明朝" w:hint="eastAsia"/>
        </w:rPr>
        <w:t xml:space="preserve"> </w:t>
      </w:r>
      <w:r w:rsidR="00983483" w:rsidRPr="00A77B95">
        <w:rPr>
          <w:rFonts w:eastAsia="ＭＳ 明朝"/>
        </w:rPr>
        <w:t xml:space="preserve">In this figure, actually the candidates of NB-IoT </w:t>
      </w:r>
      <w:r w:rsidR="00983483" w:rsidRPr="00B21A1A">
        <w:rPr>
          <w:rFonts w:eastAsia="ＭＳ 明朝"/>
        </w:rPr>
        <w:t>PRBs are overlapped in option 2</w:t>
      </w:r>
      <w:r w:rsidR="00983483">
        <w:rPr>
          <w:rFonts w:eastAsia="ＭＳ 明朝"/>
        </w:rPr>
        <w:t>, so all the candidates are not represented for easy view</w:t>
      </w:r>
      <w:r w:rsidR="0013239A">
        <w:rPr>
          <w:rFonts w:eastAsia="ＭＳ 明朝"/>
        </w:rPr>
        <w:t xml:space="preserve"> </w:t>
      </w:r>
      <w:r w:rsidR="00983483">
        <w:rPr>
          <w:rFonts w:eastAsia="ＭＳ 明朝"/>
        </w:rPr>
        <w:t>ability</w:t>
      </w:r>
      <w:r w:rsidR="0013239A" w:rsidRPr="0013239A">
        <w:rPr>
          <w:rFonts w:eastAsia="ＭＳ 明朝"/>
        </w:rPr>
        <w:t xml:space="preserve"> </w:t>
      </w:r>
      <w:r w:rsidR="0013239A">
        <w:rPr>
          <w:rFonts w:eastAsia="ＭＳ 明朝"/>
        </w:rPr>
        <w:t>in option 2</w:t>
      </w:r>
      <w:r w:rsidR="00983483">
        <w:rPr>
          <w:rFonts w:eastAsia="ＭＳ 明朝"/>
        </w:rPr>
        <w:t xml:space="preserve">. </w:t>
      </w:r>
      <w:r w:rsidR="00F71D81">
        <w:rPr>
          <w:rFonts w:eastAsia="ＭＳ 明朝" w:hint="eastAsia"/>
        </w:rPr>
        <w:t xml:space="preserve">Option 1 is NB-IoT PRB positions are aligned with LTE PRB grid. </w:t>
      </w:r>
      <w:r w:rsidR="00F71D81">
        <w:rPr>
          <w:rFonts w:eastAsia="ＭＳ 明朝"/>
        </w:rPr>
        <w:t xml:space="preserve">Therefore, from network perspective, eNB can easily operate </w:t>
      </w:r>
      <w:r w:rsidR="006C0715">
        <w:rPr>
          <w:rFonts w:eastAsia="ＭＳ 明朝"/>
        </w:rPr>
        <w:t xml:space="preserve">total bandwidth </w:t>
      </w:r>
      <w:r w:rsidR="00F71D81">
        <w:rPr>
          <w:rFonts w:eastAsia="ＭＳ 明朝"/>
        </w:rPr>
        <w:t xml:space="preserve">as </w:t>
      </w:r>
      <w:r w:rsidR="006C0715">
        <w:rPr>
          <w:rFonts w:eastAsia="ＭＳ 明朝"/>
        </w:rPr>
        <w:t xml:space="preserve">simply </w:t>
      </w:r>
      <w:r w:rsidR="00F71D81">
        <w:rPr>
          <w:rFonts w:eastAsia="ＭＳ 明朝"/>
        </w:rPr>
        <w:t xml:space="preserve">extended PRBs to 110 PRBs in 20 MHz LTE case </w:t>
      </w:r>
      <w:r w:rsidR="006C0715">
        <w:rPr>
          <w:rFonts w:eastAsia="ＭＳ 明朝"/>
        </w:rPr>
        <w:t>for example. Moreover,</w:t>
      </w:r>
      <w:r w:rsidR="00F71D81">
        <w:rPr>
          <w:rFonts w:eastAsia="ＭＳ 明朝"/>
        </w:rPr>
        <w:t xml:space="preserve"> there is no gap between LTE PRB and NB-IoT PRB. </w:t>
      </w:r>
    </w:p>
    <w:p w14:paraId="0A44E91A" w14:textId="498AD34A" w:rsidR="00F71D81" w:rsidRDefault="000A2529" w:rsidP="00692CCE">
      <w:pPr>
        <w:rPr>
          <w:rFonts w:eastAsia="ＭＳ 明朝"/>
        </w:rPr>
      </w:pPr>
      <w:r>
        <w:rPr>
          <w:rFonts w:eastAsia="ＭＳ 明朝"/>
        </w:rPr>
        <w:t xml:space="preserve">Table. 1 shows the actual candidates of center frequency of NB-IoT carrier as the difference between LTE center frequency and NB-IoT center frequency in option 1 and option 2 [4]. </w:t>
      </w:r>
      <w:r w:rsidR="001B69DD">
        <w:rPr>
          <w:rFonts w:eastAsia="ＭＳ 明朝"/>
        </w:rPr>
        <w:t>For</w:t>
      </w:r>
      <w:r w:rsidR="00D075BB">
        <w:rPr>
          <w:rFonts w:eastAsia="ＭＳ 明朝"/>
        </w:rPr>
        <w:t xml:space="preserve"> </w:t>
      </w:r>
      <w:r w:rsidR="00B21A1A">
        <w:rPr>
          <w:rFonts w:eastAsia="ＭＳ 明朝"/>
        </w:rPr>
        <w:t xml:space="preserve">anchor PRBs, </w:t>
      </w:r>
      <w:r w:rsidR="00F71D81">
        <w:rPr>
          <w:rFonts w:eastAsia="ＭＳ 明朝"/>
        </w:rPr>
        <w:t xml:space="preserve">because </w:t>
      </w:r>
      <w:r w:rsidR="00B21A1A">
        <w:rPr>
          <w:rFonts w:eastAsia="ＭＳ 明朝"/>
        </w:rPr>
        <w:t xml:space="preserve">of the limitation of </w:t>
      </w:r>
      <w:r w:rsidR="00F71D81">
        <w:rPr>
          <w:rFonts w:eastAsia="ＭＳ 明朝"/>
        </w:rPr>
        <w:t>at most 7.5 kHz offset from channel raster,</w:t>
      </w:r>
      <w:r w:rsidR="00D075BB">
        <w:rPr>
          <w:rFonts w:eastAsia="ＭＳ 明朝"/>
        </w:rPr>
        <w:t xml:space="preserve"> </w:t>
      </w:r>
      <w:r w:rsidR="00F71D81">
        <w:rPr>
          <w:rFonts w:eastAsia="ＭＳ 明朝"/>
        </w:rPr>
        <w:t>the candidates of NB-IoT anchor PRB</w:t>
      </w:r>
      <w:r w:rsidR="00D075BB">
        <w:rPr>
          <w:rFonts w:eastAsia="ＭＳ 明朝"/>
        </w:rPr>
        <w:t>s</w:t>
      </w:r>
      <w:r w:rsidR="00F71D81">
        <w:rPr>
          <w:rFonts w:eastAsia="ＭＳ 明朝"/>
        </w:rPr>
        <w:t xml:space="preserve"> in guard-band are limited</w:t>
      </w:r>
      <w:r w:rsidR="001B69DD" w:rsidRPr="001B69DD">
        <w:rPr>
          <w:rFonts w:eastAsia="ＭＳ 明朝"/>
        </w:rPr>
        <w:t xml:space="preserve"> </w:t>
      </w:r>
      <w:r w:rsidR="001B69DD">
        <w:rPr>
          <w:rFonts w:eastAsia="ＭＳ 明朝"/>
        </w:rPr>
        <w:t>for option 1</w:t>
      </w:r>
      <w:r w:rsidR="00F71D81">
        <w:rPr>
          <w:rFonts w:eastAsia="ＭＳ 明朝"/>
        </w:rPr>
        <w:t xml:space="preserve">, and </w:t>
      </w:r>
      <w:r w:rsidR="001B69DD">
        <w:rPr>
          <w:rFonts w:eastAsia="ＭＳ 明朝"/>
        </w:rPr>
        <w:t xml:space="preserve">even </w:t>
      </w:r>
      <w:r w:rsidR="00F71D81">
        <w:rPr>
          <w:rFonts w:eastAsia="ＭＳ 明朝"/>
        </w:rPr>
        <w:t xml:space="preserve">no anchor PRB can be </w:t>
      </w:r>
      <w:r w:rsidR="00D075BB">
        <w:rPr>
          <w:rFonts w:eastAsia="ＭＳ 明朝"/>
        </w:rPr>
        <w:t xml:space="preserve">found </w:t>
      </w:r>
      <w:r w:rsidR="00F71D81">
        <w:rPr>
          <w:rFonts w:eastAsia="ＭＳ 明朝"/>
        </w:rPr>
        <w:t>in 5 MHz</w:t>
      </w:r>
      <w:r w:rsidR="00D075BB">
        <w:rPr>
          <w:rFonts w:eastAsia="ＭＳ 明朝"/>
        </w:rPr>
        <w:t xml:space="preserve"> </w:t>
      </w:r>
      <w:r w:rsidR="00F71D81">
        <w:rPr>
          <w:rFonts w:eastAsia="ＭＳ 明朝"/>
        </w:rPr>
        <w:t xml:space="preserve">case. On the other hand, in option 2, assuming that 15 kHz subcarrier spacing is kept, but </w:t>
      </w:r>
      <w:r w:rsidR="00C60646">
        <w:rPr>
          <w:rFonts w:eastAsia="ＭＳ 明朝"/>
        </w:rPr>
        <w:t>NB-IoT carrier</w:t>
      </w:r>
      <w:r w:rsidR="00F71D81">
        <w:rPr>
          <w:rFonts w:eastAsia="ＭＳ 明朝"/>
        </w:rPr>
        <w:t xml:space="preserve"> is</w:t>
      </w:r>
      <w:r w:rsidR="006C0715">
        <w:rPr>
          <w:rFonts w:eastAsia="ＭＳ 明朝"/>
        </w:rPr>
        <w:t xml:space="preserve"> not aligned with extended PRB grid </w:t>
      </w:r>
      <w:r w:rsidR="00F71D81">
        <w:rPr>
          <w:rFonts w:eastAsia="ＭＳ 明朝"/>
        </w:rPr>
        <w:t>from LTE PRBs</w:t>
      </w:r>
      <w:r w:rsidR="00DF24D7">
        <w:rPr>
          <w:rFonts w:eastAsia="ＭＳ 明朝"/>
        </w:rPr>
        <w:t xml:space="preserve">. </w:t>
      </w:r>
      <w:r w:rsidR="00F71D81">
        <w:rPr>
          <w:rFonts w:eastAsia="ＭＳ 明朝"/>
        </w:rPr>
        <w:t xml:space="preserve">There is some gap less than LTE PRB bandwidth between NB-IoT PRB and LTE PRB. </w:t>
      </w:r>
      <w:r w:rsidR="004E550F">
        <w:rPr>
          <w:rFonts w:eastAsia="ＭＳ 明朝"/>
        </w:rPr>
        <w:t xml:space="preserve">Because all the NB-IoT PRBs in option 2 meets the limitation of </w:t>
      </w:r>
      <w:r w:rsidR="004E550F" w:rsidRPr="004E550F">
        <w:rPr>
          <w:rFonts w:eastAsia="ＭＳ 明朝"/>
        </w:rPr>
        <w:t>at most 7.5 kHz offset from channel raster</w:t>
      </w:r>
      <w:r w:rsidR="004E550F">
        <w:rPr>
          <w:rFonts w:eastAsia="ＭＳ 明朝"/>
        </w:rPr>
        <w:t xml:space="preserve">, all these PRBs can be used as candidates of anchor PRBs. So option 2 has more anchor PRB candidates. </w:t>
      </w:r>
      <w:r w:rsidR="00DF3545">
        <w:rPr>
          <w:rFonts w:eastAsia="ＭＳ 明朝"/>
        </w:rPr>
        <w:t>I</w:t>
      </w:r>
      <w:r w:rsidR="004E550F" w:rsidRPr="004E550F">
        <w:rPr>
          <w:rFonts w:eastAsia="ＭＳ 明朝"/>
        </w:rPr>
        <w:t>f the guard-band can be used for NB-IoT transmission, it will be better to deploy the anchor PRBs in the guard-bands and non-anchor PRBs in in-band (if need) because the impact on legacy LTE will be less comparing to anchor PRBs in in-band (without NB-PSS/SSS/PBCH on non-anchor PRBs)</w:t>
      </w:r>
      <w:r w:rsidR="00DF3545">
        <w:rPr>
          <w:rFonts w:eastAsia="ＭＳ 明朝"/>
        </w:rPr>
        <w:t xml:space="preserve">. </w:t>
      </w:r>
      <w:r w:rsidR="00DF24D7">
        <w:rPr>
          <w:rFonts w:eastAsia="ＭＳ 明朝"/>
        </w:rPr>
        <w:t>In our views, RAN1 should clarify which solution is assumed and we prefer option 2</w:t>
      </w:r>
    </w:p>
    <w:p w14:paraId="1434710B" w14:textId="77777777" w:rsidR="00A219C0" w:rsidRPr="003B7084" w:rsidRDefault="00A219C0" w:rsidP="00A219C0">
      <w:pPr>
        <w:autoSpaceDE w:val="0"/>
        <w:autoSpaceDN w:val="0"/>
        <w:adjustRightInd w:val="0"/>
        <w:spacing w:after="120" w:afterAutospacing="0"/>
        <w:jc w:val="center"/>
        <w:rPr>
          <w:rFonts w:eastAsia="SimSun"/>
          <w:b/>
          <w:bCs/>
          <w:szCs w:val="24"/>
          <w:lang w:val="en-US" w:eastAsia="zh-CN"/>
        </w:rPr>
      </w:pPr>
      <w:r w:rsidRPr="003B7084">
        <w:rPr>
          <w:rFonts w:eastAsia="SimSun"/>
          <w:szCs w:val="24"/>
          <w:lang w:val="en-US" w:eastAsia="zh-CN"/>
        </w:rPr>
        <w:t xml:space="preserve">Table 1. </w:t>
      </w:r>
      <w:r>
        <w:rPr>
          <w:rFonts w:eastAsia="SimSun"/>
          <w:szCs w:val="24"/>
          <w:lang w:val="en-US" w:eastAsia="zh-CN"/>
        </w:rPr>
        <w:t>P</w:t>
      </w:r>
      <w:r w:rsidRPr="003B7084">
        <w:rPr>
          <w:rFonts w:eastAsia="SimSun"/>
          <w:szCs w:val="24"/>
          <w:lang w:val="en-US" w:eastAsia="zh-CN"/>
        </w:rPr>
        <w:t xml:space="preserve">ossible center frequencies </w:t>
      </w:r>
      <w:r>
        <w:rPr>
          <w:rFonts w:eastAsia="SimSun"/>
          <w:szCs w:val="24"/>
          <w:lang w:val="en-US" w:eastAsia="zh-CN"/>
        </w:rPr>
        <w:t xml:space="preserve">for NB-IoT PRBs </w:t>
      </w:r>
      <w:r w:rsidRPr="003B7084">
        <w:rPr>
          <w:rFonts w:eastAsia="SimSun"/>
          <w:szCs w:val="24"/>
          <w:lang w:val="en-US" w:eastAsia="zh-CN"/>
        </w:rPr>
        <w:t>in guard-band operation mode</w:t>
      </w:r>
    </w:p>
    <w:tbl>
      <w:tblPr>
        <w:tblStyle w:val="18"/>
        <w:tblW w:w="4943" w:type="pct"/>
        <w:tblInd w:w="108" w:type="dxa"/>
        <w:tblLayout w:type="fixed"/>
        <w:tblLook w:val="04A0" w:firstRow="1" w:lastRow="0" w:firstColumn="1" w:lastColumn="0" w:noHBand="0" w:noVBand="1"/>
      </w:tblPr>
      <w:tblGrid>
        <w:gridCol w:w="2519"/>
        <w:gridCol w:w="1185"/>
        <w:gridCol w:w="1923"/>
        <w:gridCol w:w="1775"/>
        <w:gridCol w:w="2439"/>
      </w:tblGrid>
      <w:tr w:rsidR="00A219C0" w:rsidRPr="00D72373" w14:paraId="5481EED3" w14:textId="77777777" w:rsidTr="00A327B4">
        <w:trPr>
          <w:trHeight w:val="584"/>
        </w:trPr>
        <w:tc>
          <w:tcPr>
            <w:tcW w:w="1280" w:type="pct"/>
            <w:vAlign w:val="center"/>
            <w:hideMark/>
          </w:tcPr>
          <w:p w14:paraId="3AE16A98" w14:textId="77777777" w:rsidR="00A219C0" w:rsidRPr="003B7084" w:rsidRDefault="00A219C0" w:rsidP="003B7084">
            <w:pPr>
              <w:spacing w:after="120" w:afterAutospacing="0"/>
              <w:rPr>
                <w:rFonts w:eastAsia="SimSun"/>
                <w:b/>
                <w:sz w:val="20"/>
                <w:lang w:val="en-US"/>
              </w:rPr>
            </w:pPr>
            <w:r w:rsidRPr="003B7084">
              <w:rPr>
                <w:rFonts w:eastAsia="SimSun"/>
                <w:b/>
                <w:sz w:val="20"/>
                <w:lang w:val="en-US"/>
              </w:rPr>
              <w:t xml:space="preserve">LTE system bandwidth </w:t>
            </w:r>
          </w:p>
        </w:tc>
        <w:tc>
          <w:tcPr>
            <w:tcW w:w="602" w:type="pct"/>
            <w:vAlign w:val="center"/>
            <w:hideMark/>
          </w:tcPr>
          <w:p w14:paraId="74C31A83" w14:textId="77777777" w:rsidR="00A219C0" w:rsidRPr="003B7084" w:rsidRDefault="00A219C0" w:rsidP="003B7084">
            <w:pPr>
              <w:spacing w:after="120" w:afterAutospacing="0"/>
              <w:jc w:val="center"/>
              <w:rPr>
                <w:rFonts w:eastAsia="SimSun"/>
                <w:b/>
                <w:sz w:val="20"/>
                <w:lang w:val="en-US"/>
              </w:rPr>
            </w:pPr>
            <w:r w:rsidRPr="003B7084">
              <w:rPr>
                <w:rFonts w:eastAsia="SimSun"/>
                <w:b/>
                <w:sz w:val="20"/>
                <w:lang w:val="en-US"/>
              </w:rPr>
              <w:t>5 MHz</w:t>
            </w:r>
          </w:p>
        </w:tc>
        <w:tc>
          <w:tcPr>
            <w:tcW w:w="977" w:type="pct"/>
            <w:vAlign w:val="center"/>
            <w:hideMark/>
          </w:tcPr>
          <w:p w14:paraId="7BDD16DC" w14:textId="77777777" w:rsidR="00A219C0" w:rsidRPr="003B7084" w:rsidRDefault="00A219C0" w:rsidP="003B7084">
            <w:pPr>
              <w:spacing w:after="120" w:afterAutospacing="0"/>
              <w:jc w:val="center"/>
              <w:rPr>
                <w:rFonts w:eastAsia="SimSun"/>
                <w:b/>
                <w:sz w:val="20"/>
                <w:lang w:val="en-US"/>
              </w:rPr>
            </w:pPr>
            <w:r w:rsidRPr="003B7084">
              <w:rPr>
                <w:rFonts w:eastAsia="SimSun"/>
                <w:b/>
                <w:sz w:val="20"/>
                <w:lang w:val="en-US"/>
              </w:rPr>
              <w:t>10 MHz</w:t>
            </w:r>
          </w:p>
        </w:tc>
        <w:tc>
          <w:tcPr>
            <w:tcW w:w="902" w:type="pct"/>
            <w:vAlign w:val="center"/>
            <w:hideMark/>
          </w:tcPr>
          <w:p w14:paraId="6BC2FF1D" w14:textId="77777777" w:rsidR="00A219C0" w:rsidRPr="003B7084" w:rsidRDefault="00A219C0" w:rsidP="003B7084">
            <w:pPr>
              <w:spacing w:after="120" w:afterAutospacing="0"/>
              <w:jc w:val="center"/>
              <w:rPr>
                <w:rFonts w:eastAsia="SimSun"/>
                <w:b/>
                <w:sz w:val="20"/>
                <w:lang w:val="en-US"/>
              </w:rPr>
            </w:pPr>
            <w:r w:rsidRPr="003B7084">
              <w:rPr>
                <w:rFonts w:eastAsia="SimSun"/>
                <w:b/>
                <w:sz w:val="20"/>
                <w:lang w:val="en-US"/>
              </w:rPr>
              <w:t>15 MHz</w:t>
            </w:r>
          </w:p>
        </w:tc>
        <w:tc>
          <w:tcPr>
            <w:tcW w:w="1239" w:type="pct"/>
            <w:vAlign w:val="center"/>
            <w:hideMark/>
          </w:tcPr>
          <w:p w14:paraId="32C1EBDB" w14:textId="77777777" w:rsidR="00A219C0" w:rsidRPr="003B7084" w:rsidRDefault="00A219C0" w:rsidP="003B7084">
            <w:pPr>
              <w:spacing w:after="120" w:afterAutospacing="0"/>
              <w:jc w:val="center"/>
              <w:rPr>
                <w:rFonts w:eastAsia="SimSun"/>
                <w:b/>
                <w:sz w:val="20"/>
                <w:lang w:val="en-US"/>
              </w:rPr>
            </w:pPr>
            <w:r w:rsidRPr="003B7084">
              <w:rPr>
                <w:rFonts w:eastAsia="SimSun"/>
                <w:b/>
                <w:sz w:val="20"/>
                <w:lang w:val="en-US"/>
              </w:rPr>
              <w:t>20 MHz</w:t>
            </w:r>
          </w:p>
        </w:tc>
      </w:tr>
      <w:tr w:rsidR="00A219C0" w:rsidRPr="00D72373" w14:paraId="43266D5A" w14:textId="77777777" w:rsidTr="00A327B4">
        <w:trPr>
          <w:trHeight w:val="584"/>
        </w:trPr>
        <w:tc>
          <w:tcPr>
            <w:tcW w:w="1280" w:type="pct"/>
            <w:vAlign w:val="center"/>
            <w:hideMark/>
          </w:tcPr>
          <w:p w14:paraId="17B3EC52" w14:textId="4EEEEB56" w:rsidR="00A219C0" w:rsidRPr="003B7084" w:rsidRDefault="000A2529" w:rsidP="000A2529">
            <w:pPr>
              <w:spacing w:after="120" w:afterAutospacing="0"/>
              <w:rPr>
                <w:rFonts w:eastAsia="SimSun"/>
                <w:b/>
                <w:sz w:val="20"/>
                <w:lang w:val="en-US"/>
              </w:rPr>
            </w:pPr>
            <w:r>
              <w:rPr>
                <w:rFonts w:eastAsia="SimSun"/>
                <w:b/>
                <w:sz w:val="20"/>
                <w:lang w:val="en-US"/>
              </w:rPr>
              <w:t>Option 1</w:t>
            </w:r>
          </w:p>
        </w:tc>
        <w:tc>
          <w:tcPr>
            <w:tcW w:w="602" w:type="pct"/>
            <w:vAlign w:val="center"/>
            <w:hideMark/>
          </w:tcPr>
          <w:p w14:paraId="6C7DCD31" w14:textId="4B97694D" w:rsidR="00A219C0" w:rsidRPr="00A327B4" w:rsidRDefault="000A2529" w:rsidP="00A327B4">
            <w:pPr>
              <w:spacing w:after="0" w:afterAutospacing="0"/>
              <w:jc w:val="center"/>
              <w:rPr>
                <w:rFonts w:eastAsia="ＭＳ 明朝"/>
                <w:sz w:val="20"/>
                <w:lang w:val="en-US" w:eastAsia="ja-JP"/>
              </w:rPr>
            </w:pPr>
            <w:r>
              <w:rPr>
                <w:rFonts w:eastAsia="ＭＳ 明朝"/>
                <w:sz w:val="20"/>
                <w:lang w:val="en-US" w:eastAsia="ja-JP"/>
              </w:rPr>
              <w:t>None</w:t>
            </w:r>
          </w:p>
        </w:tc>
        <w:tc>
          <w:tcPr>
            <w:tcW w:w="977" w:type="pct"/>
            <w:vAlign w:val="center"/>
            <w:hideMark/>
          </w:tcPr>
          <w:p w14:paraId="3135D4FA" w14:textId="77777777" w:rsidR="00A219C0" w:rsidRPr="003B7084" w:rsidRDefault="00A219C0" w:rsidP="00A327B4">
            <w:pPr>
              <w:spacing w:after="0" w:afterAutospacing="0"/>
              <w:jc w:val="center"/>
              <w:rPr>
                <w:rFonts w:eastAsia="SimSun"/>
                <w:sz w:val="20"/>
                <w:lang w:val="en-US"/>
              </w:rPr>
            </w:pPr>
            <w:r w:rsidRPr="003B7084">
              <w:rPr>
                <w:rFonts w:eastAsia="SimSun" w:hint="eastAsia"/>
                <w:sz w:val="20"/>
                <w:lang w:val="en-US"/>
              </w:rPr>
              <w:t>±</w:t>
            </w:r>
          </w:p>
          <w:p w14:paraId="7DB64FDC" w14:textId="64C79BED" w:rsidR="00A219C0" w:rsidRPr="003B7084" w:rsidRDefault="00A219C0" w:rsidP="00A327B4">
            <w:pPr>
              <w:spacing w:after="0" w:afterAutospacing="0"/>
              <w:jc w:val="center"/>
              <w:rPr>
                <w:rFonts w:eastAsia="SimSun"/>
                <w:sz w:val="20"/>
                <w:lang w:val="en-US"/>
              </w:rPr>
            </w:pPr>
            <w:r w:rsidRPr="003B7084">
              <w:rPr>
                <w:rFonts w:eastAsia="SimSun"/>
                <w:sz w:val="20"/>
                <w:lang w:val="en-US"/>
              </w:rPr>
              <w:t>4597.5</w:t>
            </w:r>
          </w:p>
        </w:tc>
        <w:tc>
          <w:tcPr>
            <w:tcW w:w="902" w:type="pct"/>
            <w:vAlign w:val="center"/>
            <w:hideMark/>
          </w:tcPr>
          <w:p w14:paraId="5622B384" w14:textId="77777777" w:rsidR="00A219C0" w:rsidRPr="003B7084" w:rsidRDefault="00A219C0" w:rsidP="00A327B4">
            <w:pPr>
              <w:spacing w:after="0" w:afterAutospacing="0"/>
              <w:jc w:val="center"/>
              <w:rPr>
                <w:rFonts w:eastAsia="SimSun"/>
                <w:sz w:val="20"/>
                <w:lang w:val="en-US"/>
              </w:rPr>
            </w:pPr>
            <w:r w:rsidRPr="003B7084">
              <w:rPr>
                <w:rFonts w:eastAsia="SimSun" w:hint="eastAsia"/>
                <w:sz w:val="20"/>
                <w:lang w:val="en-US"/>
              </w:rPr>
              <w:t>±</w:t>
            </w:r>
          </w:p>
          <w:p w14:paraId="0C4DADE4" w14:textId="6E7DD400" w:rsidR="00A219C0" w:rsidRPr="003B7084" w:rsidRDefault="00A219C0" w:rsidP="00A327B4">
            <w:pPr>
              <w:spacing w:after="0" w:afterAutospacing="0"/>
              <w:jc w:val="center"/>
              <w:rPr>
                <w:rFonts w:eastAsia="SimSun"/>
                <w:sz w:val="20"/>
                <w:lang w:val="en-US"/>
              </w:rPr>
            </w:pPr>
            <w:r w:rsidRPr="003B7084">
              <w:rPr>
                <w:rFonts w:eastAsia="SimSun"/>
                <w:sz w:val="20"/>
                <w:lang w:val="en-US"/>
              </w:rPr>
              <w:t>7207.5</w:t>
            </w:r>
          </w:p>
        </w:tc>
        <w:tc>
          <w:tcPr>
            <w:tcW w:w="1239" w:type="pct"/>
            <w:vAlign w:val="center"/>
            <w:hideMark/>
          </w:tcPr>
          <w:p w14:paraId="1B14BCA0" w14:textId="77777777" w:rsidR="00A219C0" w:rsidRPr="003B7084" w:rsidRDefault="00A219C0" w:rsidP="00A327B4">
            <w:pPr>
              <w:spacing w:after="0" w:afterAutospacing="0"/>
              <w:jc w:val="center"/>
              <w:rPr>
                <w:rFonts w:eastAsia="SimSun"/>
                <w:sz w:val="20"/>
                <w:lang w:val="en-US"/>
              </w:rPr>
            </w:pPr>
            <w:r w:rsidRPr="003B7084">
              <w:rPr>
                <w:rFonts w:eastAsia="SimSun" w:hint="eastAsia"/>
                <w:sz w:val="20"/>
                <w:lang w:val="en-US"/>
              </w:rPr>
              <w:t>±</w:t>
            </w:r>
          </w:p>
          <w:p w14:paraId="059513D4" w14:textId="6C3AF66A" w:rsidR="00A219C0" w:rsidRPr="003B7084" w:rsidRDefault="00A219C0" w:rsidP="00A327B4">
            <w:pPr>
              <w:spacing w:after="0" w:afterAutospacing="0"/>
              <w:jc w:val="center"/>
              <w:rPr>
                <w:rFonts w:eastAsia="SimSun"/>
                <w:sz w:val="20"/>
                <w:lang w:val="en-US"/>
              </w:rPr>
            </w:pPr>
            <w:r w:rsidRPr="003B7084">
              <w:rPr>
                <w:rFonts w:eastAsia="SimSun"/>
                <w:sz w:val="20"/>
                <w:lang w:val="en-US"/>
              </w:rPr>
              <w:t>9097.5</w:t>
            </w:r>
          </w:p>
        </w:tc>
      </w:tr>
      <w:tr w:rsidR="000A2529" w:rsidRPr="00D72373" w14:paraId="2B0E9F48" w14:textId="77777777" w:rsidTr="000A2529">
        <w:trPr>
          <w:trHeight w:val="584"/>
        </w:trPr>
        <w:tc>
          <w:tcPr>
            <w:tcW w:w="1280" w:type="pct"/>
            <w:vAlign w:val="center"/>
          </w:tcPr>
          <w:p w14:paraId="221E8888" w14:textId="1AC54EEA" w:rsidR="000A2529" w:rsidRDefault="000A2529" w:rsidP="000A2529">
            <w:pPr>
              <w:spacing w:after="120" w:afterAutospacing="0"/>
              <w:rPr>
                <w:rFonts w:eastAsia="SimSun"/>
                <w:b/>
                <w:sz w:val="20"/>
                <w:lang w:val="en-US"/>
              </w:rPr>
            </w:pPr>
            <w:r>
              <w:rPr>
                <w:rFonts w:eastAsia="SimSun"/>
                <w:b/>
                <w:sz w:val="20"/>
                <w:lang w:val="en-US"/>
              </w:rPr>
              <w:t>Option 2</w:t>
            </w:r>
          </w:p>
        </w:tc>
        <w:tc>
          <w:tcPr>
            <w:tcW w:w="602" w:type="pct"/>
            <w:vAlign w:val="center"/>
          </w:tcPr>
          <w:p w14:paraId="086880EF" w14:textId="1E71189D" w:rsidR="000A2529" w:rsidRPr="003B7084" w:rsidRDefault="000A2529" w:rsidP="000A2529">
            <w:pPr>
              <w:spacing w:after="0" w:afterAutospacing="0"/>
              <w:jc w:val="center"/>
              <w:rPr>
                <w:rFonts w:eastAsia="SimSun"/>
                <w:sz w:val="20"/>
                <w:lang w:val="en-US"/>
              </w:rPr>
            </w:pPr>
            <w:r w:rsidRPr="003B7084">
              <w:rPr>
                <w:rFonts w:eastAsia="SimSun" w:hint="eastAsia"/>
                <w:sz w:val="20"/>
                <w:lang w:val="en-US"/>
              </w:rPr>
              <w:t>±</w:t>
            </w:r>
            <w:r w:rsidRPr="003B7084">
              <w:rPr>
                <w:rFonts w:eastAsia="SimSun"/>
                <w:sz w:val="20"/>
                <w:lang w:val="en-US"/>
              </w:rPr>
              <w:t>2392.5</w:t>
            </w:r>
          </w:p>
        </w:tc>
        <w:tc>
          <w:tcPr>
            <w:tcW w:w="977" w:type="pct"/>
            <w:vAlign w:val="center"/>
          </w:tcPr>
          <w:p w14:paraId="73C9FBF3" w14:textId="77777777" w:rsidR="000A2529" w:rsidRPr="003B7084" w:rsidRDefault="000A2529" w:rsidP="000A2529">
            <w:pPr>
              <w:spacing w:after="0" w:afterAutospacing="0"/>
              <w:jc w:val="center"/>
              <w:rPr>
                <w:rFonts w:eastAsia="SimSun"/>
                <w:sz w:val="20"/>
                <w:lang w:val="en-US"/>
              </w:rPr>
            </w:pPr>
            <w:r w:rsidRPr="003B7084">
              <w:rPr>
                <w:rFonts w:eastAsia="SimSun" w:hint="eastAsia"/>
                <w:sz w:val="20"/>
                <w:lang w:val="en-US"/>
              </w:rPr>
              <w:t>±</w:t>
            </w:r>
          </w:p>
          <w:p w14:paraId="26D38CF8" w14:textId="77777777" w:rsidR="000A2529" w:rsidRPr="003B7084" w:rsidRDefault="000A2529" w:rsidP="000A2529">
            <w:pPr>
              <w:spacing w:after="0" w:afterAutospacing="0"/>
              <w:jc w:val="center"/>
              <w:rPr>
                <w:rFonts w:eastAsia="SimSun"/>
                <w:sz w:val="20"/>
                <w:lang w:val="en-US"/>
              </w:rPr>
            </w:pPr>
            <w:r w:rsidRPr="003B7084">
              <w:rPr>
                <w:rFonts w:eastAsia="SimSun"/>
                <w:sz w:val="20"/>
                <w:lang w:val="en-US"/>
              </w:rPr>
              <w:t>4597.5/4702.5</w:t>
            </w:r>
          </w:p>
          <w:p w14:paraId="2C26F4CB" w14:textId="1CD3CAF5" w:rsidR="000A2529" w:rsidRPr="003B7084" w:rsidRDefault="000A2529" w:rsidP="000A2529">
            <w:pPr>
              <w:spacing w:after="0" w:afterAutospacing="0"/>
              <w:jc w:val="center"/>
              <w:rPr>
                <w:rFonts w:eastAsia="SimSun"/>
                <w:sz w:val="20"/>
                <w:lang w:val="en-US"/>
              </w:rPr>
            </w:pPr>
            <w:r w:rsidRPr="003B7084">
              <w:rPr>
                <w:rFonts w:eastAsia="SimSun"/>
                <w:sz w:val="20"/>
                <w:lang w:val="en-US"/>
              </w:rPr>
              <w:t>/4807.5/4897.5</w:t>
            </w:r>
          </w:p>
        </w:tc>
        <w:tc>
          <w:tcPr>
            <w:tcW w:w="902" w:type="pct"/>
            <w:vAlign w:val="center"/>
          </w:tcPr>
          <w:p w14:paraId="041DC9B6" w14:textId="77777777" w:rsidR="000A2529" w:rsidRPr="003B7084" w:rsidRDefault="000A2529" w:rsidP="000A2529">
            <w:pPr>
              <w:spacing w:after="0" w:afterAutospacing="0"/>
              <w:jc w:val="center"/>
              <w:rPr>
                <w:rFonts w:eastAsia="SimSun"/>
                <w:sz w:val="20"/>
                <w:lang w:val="en-US"/>
              </w:rPr>
            </w:pPr>
            <w:r w:rsidRPr="003B7084">
              <w:rPr>
                <w:rFonts w:eastAsia="SimSun" w:hint="eastAsia"/>
                <w:sz w:val="20"/>
                <w:lang w:val="en-US"/>
              </w:rPr>
              <w:t>±</w:t>
            </w:r>
          </w:p>
          <w:p w14:paraId="6D89CA6A" w14:textId="05D00125" w:rsidR="000A2529" w:rsidRPr="003B7084" w:rsidRDefault="000A2529" w:rsidP="000A2529">
            <w:pPr>
              <w:spacing w:after="0" w:afterAutospacing="0"/>
              <w:jc w:val="center"/>
              <w:rPr>
                <w:rFonts w:eastAsia="SimSun"/>
                <w:sz w:val="20"/>
                <w:lang w:val="en-US"/>
              </w:rPr>
            </w:pPr>
            <w:r w:rsidRPr="003B7084">
              <w:rPr>
                <w:rFonts w:eastAsia="SimSun"/>
                <w:sz w:val="20"/>
                <w:lang w:val="en-US"/>
              </w:rPr>
              <w:t>6892.5/6997.5/7102.5/7207.5/7297.5/7402.5</w:t>
            </w:r>
          </w:p>
        </w:tc>
        <w:tc>
          <w:tcPr>
            <w:tcW w:w="1239" w:type="pct"/>
            <w:vAlign w:val="center"/>
          </w:tcPr>
          <w:p w14:paraId="17C89A7F" w14:textId="77777777" w:rsidR="000A2529" w:rsidRPr="003B7084" w:rsidRDefault="000A2529" w:rsidP="000A2529">
            <w:pPr>
              <w:spacing w:after="0" w:afterAutospacing="0"/>
              <w:jc w:val="center"/>
              <w:rPr>
                <w:rFonts w:eastAsia="SimSun"/>
                <w:sz w:val="20"/>
                <w:lang w:val="en-US"/>
              </w:rPr>
            </w:pPr>
            <w:r w:rsidRPr="003B7084">
              <w:rPr>
                <w:rFonts w:eastAsia="SimSun" w:hint="eastAsia"/>
                <w:sz w:val="20"/>
                <w:lang w:val="en-US"/>
              </w:rPr>
              <w:t>±</w:t>
            </w:r>
          </w:p>
          <w:p w14:paraId="5A2726F6" w14:textId="05DBBA81" w:rsidR="000A2529" w:rsidRPr="003B7084" w:rsidRDefault="000A2529" w:rsidP="000A2529">
            <w:pPr>
              <w:spacing w:after="0" w:afterAutospacing="0"/>
              <w:jc w:val="center"/>
              <w:rPr>
                <w:rFonts w:eastAsia="SimSun"/>
                <w:sz w:val="20"/>
                <w:lang w:val="en-US"/>
              </w:rPr>
            </w:pPr>
            <w:r w:rsidRPr="003B7084">
              <w:rPr>
                <w:rFonts w:eastAsia="SimSun"/>
                <w:sz w:val="20"/>
                <w:lang w:val="en-US"/>
              </w:rPr>
              <w:t>9097.5/9202.5/9307.5/9397.5/9502.5/9607.5/9697.5/9802.5/9907.5</w:t>
            </w:r>
          </w:p>
        </w:tc>
      </w:tr>
    </w:tbl>
    <w:p w14:paraId="141C13E8" w14:textId="77777777" w:rsidR="00A219C0" w:rsidRDefault="00A219C0" w:rsidP="00692CCE">
      <w:pPr>
        <w:rPr>
          <w:rFonts w:eastAsia="ＭＳ 明朝"/>
        </w:rPr>
      </w:pPr>
    </w:p>
    <w:p w14:paraId="31A89500" w14:textId="77777777" w:rsidR="00DF24D7" w:rsidRPr="00172FEB" w:rsidRDefault="00DF24D7" w:rsidP="00DF24D7">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467CB622" w14:textId="6EB0D748" w:rsidR="00DF24D7" w:rsidRDefault="00DF24D7" w:rsidP="00DF24D7">
      <w:pPr>
        <w:pStyle w:val="aff9"/>
        <w:numPr>
          <w:ilvl w:val="0"/>
          <w:numId w:val="29"/>
        </w:numPr>
        <w:ind w:firstLineChars="0"/>
        <w:rPr>
          <w:rFonts w:eastAsiaTheme="minorEastAsia"/>
          <w:lang w:eastAsia="zh-CN"/>
        </w:rPr>
      </w:pPr>
      <w:r>
        <w:rPr>
          <w:rFonts w:eastAsiaTheme="minorEastAsia"/>
          <w:lang w:eastAsia="zh-CN"/>
        </w:rPr>
        <w:t xml:space="preserve">RAN1 should clarify </w:t>
      </w:r>
      <w:r w:rsidR="00BD2481">
        <w:rPr>
          <w:rFonts w:eastAsiaTheme="minorEastAsia"/>
          <w:lang w:eastAsia="zh-CN"/>
        </w:rPr>
        <w:t xml:space="preserve">whether </w:t>
      </w:r>
      <w:r>
        <w:rPr>
          <w:rFonts w:eastAsiaTheme="minorEastAsia"/>
          <w:lang w:eastAsia="zh-CN"/>
        </w:rPr>
        <w:t xml:space="preserve">the anchor PRB configuration is assumed as option 1 </w:t>
      </w:r>
      <w:r w:rsidR="00BD2481">
        <w:rPr>
          <w:rFonts w:eastAsiaTheme="minorEastAsia"/>
          <w:lang w:eastAsia="zh-CN"/>
        </w:rPr>
        <w:t>or</w:t>
      </w:r>
      <w:r>
        <w:rPr>
          <w:rFonts w:eastAsiaTheme="minorEastAsia"/>
          <w:lang w:eastAsia="zh-CN"/>
        </w:rPr>
        <w:t xml:space="preserve"> option 2</w:t>
      </w:r>
    </w:p>
    <w:p w14:paraId="2B68F393" w14:textId="1D1FDBA4" w:rsidR="00DF24D7" w:rsidRDefault="00DF24D7" w:rsidP="00A327B4">
      <w:pPr>
        <w:pStyle w:val="aff9"/>
        <w:numPr>
          <w:ilvl w:val="1"/>
          <w:numId w:val="29"/>
        </w:numPr>
        <w:ind w:firstLineChars="0"/>
        <w:rPr>
          <w:rFonts w:eastAsiaTheme="minorEastAsia"/>
          <w:lang w:eastAsia="zh-CN"/>
        </w:rPr>
      </w:pPr>
      <w:r>
        <w:rPr>
          <w:rFonts w:eastAsiaTheme="minorEastAsia"/>
          <w:lang w:eastAsia="zh-CN"/>
        </w:rPr>
        <w:t xml:space="preserve">We </w:t>
      </w:r>
      <w:r w:rsidR="000A2529">
        <w:rPr>
          <w:rFonts w:eastAsiaTheme="minorEastAsia"/>
          <w:lang w:eastAsia="zh-CN"/>
        </w:rPr>
        <w:t xml:space="preserve">slightly </w:t>
      </w:r>
      <w:r>
        <w:rPr>
          <w:rFonts w:eastAsiaTheme="minorEastAsia"/>
          <w:lang w:eastAsia="zh-CN"/>
        </w:rPr>
        <w:t>prefer option 2.</w:t>
      </w:r>
    </w:p>
    <w:p w14:paraId="40F0D3AC" w14:textId="3C03AE02" w:rsidR="00DF3545" w:rsidRPr="00A327B4" w:rsidRDefault="00DF3545" w:rsidP="00A327B4">
      <w:pPr>
        <w:rPr>
          <w:rFonts w:eastAsiaTheme="minorEastAsia"/>
          <w:lang w:eastAsia="zh-CN"/>
        </w:rPr>
      </w:pPr>
      <w:r>
        <w:rPr>
          <w:rFonts w:eastAsiaTheme="minorEastAsia" w:hint="eastAsia"/>
          <w:lang w:eastAsia="zh-CN"/>
        </w:rPr>
        <w:t>F</w:t>
      </w:r>
      <w:r>
        <w:rPr>
          <w:rFonts w:eastAsiaTheme="minorEastAsia"/>
          <w:lang w:eastAsia="zh-CN"/>
        </w:rPr>
        <w:t>or non-anchor PRBs, there is no</w:t>
      </w:r>
      <w:r w:rsidR="00FE70FD">
        <w:rPr>
          <w:rFonts w:eastAsiaTheme="minorEastAsia"/>
          <w:lang w:eastAsia="zh-CN"/>
        </w:rPr>
        <w:t>t</w:t>
      </w:r>
      <w:r>
        <w:rPr>
          <w:rFonts w:eastAsiaTheme="minorEastAsia"/>
          <w:lang w:eastAsia="zh-CN"/>
        </w:rPr>
        <w:t xml:space="preserve"> the limitation of </w:t>
      </w:r>
      <w:r w:rsidRPr="00DF3545">
        <w:rPr>
          <w:rFonts w:eastAsiaTheme="minorEastAsia"/>
          <w:lang w:eastAsia="zh-CN"/>
        </w:rPr>
        <w:t>at most 7.5 kHz offset from channel raster</w:t>
      </w:r>
      <w:r>
        <w:rPr>
          <w:rFonts w:eastAsiaTheme="minorEastAsia"/>
          <w:lang w:eastAsia="zh-CN"/>
        </w:rPr>
        <w:t xml:space="preserve">, </w:t>
      </w:r>
      <w:r w:rsidR="00FE70FD">
        <w:rPr>
          <w:rFonts w:eastAsiaTheme="minorEastAsia"/>
          <w:lang w:eastAsia="zh-CN"/>
        </w:rPr>
        <w:t xml:space="preserve">so </w:t>
      </w:r>
      <w:r>
        <w:rPr>
          <w:rFonts w:eastAsiaTheme="minorEastAsia"/>
          <w:lang w:eastAsia="zh-CN"/>
        </w:rPr>
        <w:t>all the NB-IoT PRBs in option 1 can be used as non-anchor PRBs.</w:t>
      </w:r>
      <w:r w:rsidR="00FE70FD">
        <w:rPr>
          <w:rFonts w:eastAsiaTheme="minorEastAsia"/>
          <w:lang w:eastAsia="zh-CN"/>
        </w:rPr>
        <w:t xml:space="preserve"> </w:t>
      </w:r>
      <w:r w:rsidR="00B8601D">
        <w:rPr>
          <w:rFonts w:eastAsiaTheme="minorEastAsia"/>
          <w:lang w:eastAsia="zh-CN"/>
        </w:rPr>
        <w:t xml:space="preserve">And it is not reasonable to </w:t>
      </w:r>
      <w:r w:rsidR="00F16EDA">
        <w:rPr>
          <w:rFonts w:eastAsiaTheme="minorEastAsia"/>
          <w:lang w:eastAsia="zh-CN"/>
        </w:rPr>
        <w:t xml:space="preserve">constrain </w:t>
      </w:r>
      <w:r w:rsidR="00B8601D">
        <w:rPr>
          <w:rFonts w:eastAsiaTheme="minorEastAsia"/>
          <w:lang w:eastAsia="zh-CN"/>
        </w:rPr>
        <w:t xml:space="preserve">non-anchor PRBs </w:t>
      </w:r>
      <w:r w:rsidR="00F16EDA">
        <w:rPr>
          <w:rFonts w:eastAsiaTheme="minorEastAsia"/>
          <w:lang w:eastAsia="zh-CN"/>
        </w:rPr>
        <w:t>with</w:t>
      </w:r>
      <w:r w:rsidR="00B8601D">
        <w:rPr>
          <w:rFonts w:eastAsiaTheme="minorEastAsia"/>
          <w:lang w:eastAsia="zh-CN"/>
        </w:rPr>
        <w:t xml:space="preserve"> </w:t>
      </w:r>
      <w:r w:rsidR="00B8601D" w:rsidRPr="00B8601D">
        <w:rPr>
          <w:rFonts w:eastAsiaTheme="minorEastAsia"/>
          <w:lang w:eastAsia="zh-CN"/>
        </w:rPr>
        <w:t xml:space="preserve">the </w:t>
      </w:r>
      <w:r w:rsidR="00F16EDA">
        <w:rPr>
          <w:rFonts w:eastAsiaTheme="minorEastAsia"/>
          <w:lang w:eastAsia="zh-CN"/>
        </w:rPr>
        <w:t xml:space="preserve">same </w:t>
      </w:r>
      <w:r w:rsidR="00B8601D" w:rsidRPr="00B8601D">
        <w:rPr>
          <w:rFonts w:eastAsiaTheme="minorEastAsia"/>
          <w:lang w:eastAsia="zh-CN"/>
        </w:rPr>
        <w:t>limitation of at most 7.5 kHz offset from channel raster</w:t>
      </w:r>
      <w:r w:rsidR="00F16EDA">
        <w:rPr>
          <w:rFonts w:eastAsiaTheme="minorEastAsia"/>
          <w:lang w:eastAsia="zh-CN"/>
        </w:rPr>
        <w:t xml:space="preserve"> as anchor PRBs </w:t>
      </w:r>
      <w:r w:rsidR="00B8601D">
        <w:rPr>
          <w:rFonts w:eastAsiaTheme="minorEastAsia"/>
          <w:lang w:eastAsia="zh-CN"/>
        </w:rPr>
        <w:t xml:space="preserve">for option 2. </w:t>
      </w:r>
      <w:r w:rsidR="00F16EDA">
        <w:rPr>
          <w:rFonts w:eastAsiaTheme="minorEastAsia"/>
          <w:lang w:eastAsia="zh-CN"/>
        </w:rPr>
        <w:t>In addition, for option 2,</w:t>
      </w:r>
      <w:r w:rsidR="00F16EDA" w:rsidRPr="00F16EDA">
        <w:rPr>
          <w:rFonts w:eastAsiaTheme="minorEastAsia"/>
          <w:lang w:eastAsia="zh-CN"/>
        </w:rPr>
        <w:t xml:space="preserve"> there are only 3 non-overlapping PRBs can be used as candidate non-anchor PRBs in each guard-band for the system bandwidth of 15MHz</w:t>
      </w:r>
      <w:r w:rsidR="00A77B95">
        <w:rPr>
          <w:rFonts w:eastAsiaTheme="minorEastAsia"/>
          <w:lang w:eastAsia="zh-CN"/>
        </w:rPr>
        <w:t xml:space="preserve"> which are</w:t>
      </w:r>
      <w:r w:rsidR="00122283">
        <w:rPr>
          <w:rFonts w:eastAsiaTheme="minorEastAsia"/>
          <w:lang w:eastAsia="zh-CN"/>
        </w:rPr>
        <w:t xml:space="preserve"> less than 4 candidate non-anchor PRBs </w:t>
      </w:r>
      <w:r w:rsidR="00A77B95">
        <w:rPr>
          <w:rFonts w:eastAsiaTheme="minorEastAsia"/>
          <w:lang w:eastAsia="zh-CN"/>
        </w:rPr>
        <w:t>of</w:t>
      </w:r>
      <w:r w:rsidR="00122283">
        <w:rPr>
          <w:rFonts w:eastAsiaTheme="minorEastAsia"/>
          <w:lang w:eastAsia="zh-CN"/>
        </w:rPr>
        <w:t xml:space="preserve"> option 1. So we prefer option 1 for non-anchor PRBs. </w:t>
      </w:r>
      <w:r w:rsidR="00FE70FD">
        <w:rPr>
          <w:rFonts w:eastAsiaTheme="minorEastAsia"/>
          <w:lang w:eastAsia="zh-CN"/>
        </w:rPr>
        <w:t xml:space="preserve"> </w:t>
      </w:r>
    </w:p>
    <w:p w14:paraId="6A8D3C9A" w14:textId="25363A51" w:rsidR="00BF2BE4" w:rsidRPr="00172FEB" w:rsidRDefault="00BF2BE4" w:rsidP="00BF2BE4">
      <w:pPr>
        <w:rPr>
          <w:rFonts w:eastAsiaTheme="minorEastAsia"/>
          <w:b/>
          <w:lang w:eastAsia="zh-CN"/>
        </w:rPr>
      </w:pPr>
      <w:r>
        <w:rPr>
          <w:rFonts w:eastAsiaTheme="minorEastAsia"/>
          <w:b/>
          <w:u w:val="single"/>
          <w:lang w:eastAsia="zh-CN"/>
        </w:rPr>
        <w:t xml:space="preserve">Proposal </w:t>
      </w:r>
      <w:r w:rsidR="00122283">
        <w:rPr>
          <w:rFonts w:eastAsiaTheme="minorEastAsia"/>
          <w:b/>
          <w:u w:val="single"/>
          <w:lang w:eastAsia="zh-CN"/>
        </w:rPr>
        <w:t>3</w:t>
      </w:r>
      <w:r w:rsidRPr="00517940">
        <w:rPr>
          <w:rFonts w:eastAsiaTheme="minorEastAsia"/>
          <w:b/>
          <w:u w:val="single"/>
          <w:lang w:eastAsia="zh-CN"/>
        </w:rPr>
        <w:t>:</w:t>
      </w:r>
    </w:p>
    <w:p w14:paraId="475AC434" w14:textId="6345B53C" w:rsidR="00BF2BE4" w:rsidRDefault="008B383D" w:rsidP="00545BB7">
      <w:pPr>
        <w:pStyle w:val="aff9"/>
        <w:numPr>
          <w:ilvl w:val="0"/>
          <w:numId w:val="29"/>
        </w:numPr>
        <w:ind w:firstLineChars="0"/>
        <w:rPr>
          <w:rFonts w:eastAsiaTheme="minorEastAsia"/>
          <w:lang w:eastAsia="zh-CN"/>
        </w:rPr>
      </w:pPr>
      <w:r>
        <w:rPr>
          <w:rFonts w:eastAsiaTheme="minorEastAsia"/>
          <w:lang w:eastAsia="zh-CN"/>
        </w:rPr>
        <w:t>A</w:t>
      </w:r>
      <w:r w:rsidRPr="008B383D">
        <w:rPr>
          <w:rFonts w:eastAsiaTheme="minorEastAsia"/>
          <w:lang w:eastAsia="zh-CN"/>
        </w:rPr>
        <w:t xml:space="preserve">dopt option </w:t>
      </w:r>
      <w:r w:rsidR="00122283">
        <w:rPr>
          <w:rFonts w:eastAsiaTheme="minorEastAsia"/>
          <w:lang w:eastAsia="zh-CN"/>
        </w:rPr>
        <w:t>1</w:t>
      </w:r>
      <w:r w:rsidRPr="008B383D">
        <w:rPr>
          <w:rFonts w:eastAsiaTheme="minorEastAsia"/>
          <w:lang w:eastAsia="zh-CN"/>
        </w:rPr>
        <w:t xml:space="preserve"> </w:t>
      </w:r>
      <w:r w:rsidR="00266503">
        <w:rPr>
          <w:rFonts w:eastAsiaTheme="minorEastAsia"/>
          <w:lang w:eastAsia="zh-CN"/>
        </w:rPr>
        <w:t xml:space="preserve">to determine </w:t>
      </w:r>
      <w:r w:rsidRPr="008B383D">
        <w:rPr>
          <w:rFonts w:eastAsiaTheme="minorEastAsia"/>
          <w:lang w:eastAsia="zh-CN"/>
        </w:rPr>
        <w:t>non-anchor PRB</w:t>
      </w:r>
      <w:r w:rsidR="00A77B95">
        <w:rPr>
          <w:rFonts w:eastAsiaTheme="minorEastAsia"/>
          <w:lang w:eastAsia="zh-CN"/>
        </w:rPr>
        <w:t>s</w:t>
      </w:r>
      <w:r w:rsidRPr="008B383D">
        <w:rPr>
          <w:rFonts w:eastAsiaTheme="minorEastAsia"/>
          <w:lang w:eastAsia="zh-CN"/>
        </w:rPr>
        <w:t xml:space="preserve"> for guard-band operation</w:t>
      </w:r>
      <w:r w:rsidR="00BF2BE4">
        <w:rPr>
          <w:rFonts w:eastAsiaTheme="minorEastAsia"/>
          <w:lang w:eastAsia="zh-CN"/>
        </w:rPr>
        <w:t>.</w:t>
      </w:r>
    </w:p>
    <w:p w14:paraId="5B14BE3A" w14:textId="542FAC5A" w:rsidR="00835595" w:rsidRPr="00835595" w:rsidRDefault="00835595" w:rsidP="00A327B4">
      <w:pPr>
        <w:pStyle w:val="20"/>
        <w:rPr>
          <w:rFonts w:eastAsiaTheme="minorEastAsia"/>
          <w:lang w:eastAsia="zh-CN"/>
        </w:rPr>
      </w:pPr>
      <w:r>
        <w:t xml:space="preserve">Non-anchor PRBs for </w:t>
      </w:r>
      <w:r w:rsidR="00D07923">
        <w:t>stand-alone</w:t>
      </w:r>
      <w:r>
        <w:t xml:space="preserve"> operation</w:t>
      </w:r>
    </w:p>
    <w:p w14:paraId="5590FCF7" w14:textId="75B1D1E7" w:rsidR="003606D7" w:rsidRDefault="00545BB7" w:rsidP="00692CCE">
      <w:pPr>
        <w:rPr>
          <w:rFonts w:eastAsiaTheme="minorEastAsia"/>
          <w:lang w:eastAsia="zh-CN"/>
        </w:rPr>
      </w:pPr>
      <w:r>
        <w:rPr>
          <w:rFonts w:eastAsiaTheme="minorEastAsia"/>
          <w:lang w:eastAsia="zh-CN"/>
        </w:rPr>
        <w:t xml:space="preserve">In the RAN1 NB-IoT ad hoc meeting in Budapest, it was agreed that </w:t>
      </w:r>
      <w:r w:rsidR="003606D7">
        <w:rPr>
          <w:rFonts w:eastAsiaTheme="minorEastAsia"/>
          <w:lang w:eastAsia="zh-CN"/>
        </w:rPr>
        <w:t xml:space="preserve">the </w:t>
      </w:r>
      <w:r w:rsidR="003606D7" w:rsidRPr="003606D7">
        <w:rPr>
          <w:rFonts w:eastAsiaTheme="minorEastAsia"/>
          <w:lang w:eastAsia="zh-CN"/>
        </w:rPr>
        <w:t xml:space="preserve">center frequency </w:t>
      </w:r>
      <w:r w:rsidR="003606D7">
        <w:rPr>
          <w:rFonts w:eastAsiaTheme="minorEastAsia"/>
          <w:lang w:eastAsia="zh-CN"/>
        </w:rPr>
        <w:t xml:space="preserve">of a candidate anchor PRB </w:t>
      </w:r>
      <w:r w:rsidR="003606D7" w:rsidRPr="003606D7">
        <w:rPr>
          <w:rFonts w:eastAsiaTheme="minorEastAsia"/>
          <w:lang w:eastAsia="zh-CN"/>
        </w:rPr>
        <w:t xml:space="preserve">is aligned to </w:t>
      </w:r>
      <w:r w:rsidR="003606D7">
        <w:rPr>
          <w:rFonts w:eastAsiaTheme="minorEastAsia"/>
          <w:lang w:eastAsia="zh-CN"/>
        </w:rPr>
        <w:t xml:space="preserve">the </w:t>
      </w:r>
      <w:r w:rsidR="003606D7" w:rsidRPr="003606D7">
        <w:rPr>
          <w:rFonts w:eastAsiaTheme="minorEastAsia"/>
          <w:lang w:eastAsia="zh-CN"/>
        </w:rPr>
        <w:t>100</w:t>
      </w:r>
      <w:r w:rsidR="001376BF">
        <w:rPr>
          <w:rFonts w:eastAsiaTheme="minorEastAsia"/>
          <w:lang w:eastAsia="zh-CN"/>
        </w:rPr>
        <w:t xml:space="preserve"> </w:t>
      </w:r>
      <w:r w:rsidR="003606D7" w:rsidRPr="003606D7">
        <w:rPr>
          <w:rFonts w:eastAsiaTheme="minorEastAsia"/>
          <w:lang w:eastAsia="zh-CN"/>
        </w:rPr>
        <w:t>kHz channel raster</w:t>
      </w:r>
      <w:r w:rsidRPr="00545BB7">
        <w:rPr>
          <w:rFonts w:eastAsiaTheme="minorEastAsia"/>
          <w:lang w:eastAsia="zh-CN"/>
        </w:rPr>
        <w:t xml:space="preserve"> </w:t>
      </w:r>
      <w:r>
        <w:rPr>
          <w:rFonts w:eastAsiaTheme="minorEastAsia"/>
          <w:lang w:eastAsia="zh-CN"/>
        </w:rPr>
        <w:t>for stand-alone operation,</w:t>
      </w:r>
      <w:r w:rsidR="003606D7">
        <w:rPr>
          <w:rFonts w:eastAsiaTheme="minorEastAsia"/>
          <w:lang w:eastAsia="zh-CN"/>
        </w:rPr>
        <w:t xml:space="preserve"> i.e., the raster offset is 0.</w:t>
      </w:r>
      <w:r w:rsidR="005815B4" w:rsidRPr="005815B4">
        <w:rPr>
          <w:rFonts w:eastAsiaTheme="minorEastAsia"/>
          <w:lang w:eastAsia="zh-CN"/>
        </w:rPr>
        <w:t xml:space="preserve"> </w:t>
      </w:r>
      <w:r w:rsidR="005815B4">
        <w:rPr>
          <w:rFonts w:eastAsiaTheme="minorEastAsia"/>
          <w:lang w:eastAsia="zh-CN"/>
        </w:rPr>
        <w:t xml:space="preserve">And in </w:t>
      </w:r>
      <w:r w:rsidR="005815B4" w:rsidRPr="005815B4">
        <w:rPr>
          <w:rFonts w:eastAsiaTheme="minorEastAsia"/>
          <w:lang w:eastAsia="zh-CN"/>
        </w:rPr>
        <w:t>the RAN1 NB-IoT ad hoc meeting in Sophia Antipolis</w:t>
      </w:r>
      <w:r w:rsidR="005815B4">
        <w:rPr>
          <w:rFonts w:eastAsiaTheme="minorEastAsia"/>
          <w:lang w:eastAsia="zh-CN"/>
        </w:rPr>
        <w:t>,</w:t>
      </w:r>
      <w:r w:rsidR="005815B4" w:rsidRPr="005815B4">
        <w:rPr>
          <w:rFonts w:eastAsiaTheme="minorEastAsia" w:hint="eastAsia"/>
          <w:lang w:eastAsia="zh-CN"/>
        </w:rPr>
        <w:t xml:space="preserve"> </w:t>
      </w:r>
      <w:r w:rsidR="005815B4">
        <w:rPr>
          <w:rFonts w:eastAsiaTheme="minorEastAsia"/>
          <w:lang w:eastAsia="zh-CN"/>
        </w:rPr>
        <w:t>it was agreed that s</w:t>
      </w:r>
      <w:r w:rsidR="005815B4" w:rsidRPr="005815B4">
        <w:rPr>
          <w:rFonts w:eastAsiaTheme="minorEastAsia"/>
          <w:lang w:eastAsia="zh-CN"/>
        </w:rPr>
        <w:t>tandalone+standalone should be allowed for NB-IoT multi-carrier operation with the constraint that the total frequency span cannot exceed 20MHz and both NB-IoT carriers are synchronized</w:t>
      </w:r>
      <w:r w:rsidR="005815B4">
        <w:rPr>
          <w:rFonts w:eastAsiaTheme="minorEastAsia"/>
          <w:lang w:eastAsia="zh-CN"/>
        </w:rPr>
        <w:t>.</w:t>
      </w:r>
      <w:r w:rsidR="003606D7">
        <w:rPr>
          <w:rFonts w:eastAsiaTheme="minorEastAsia"/>
          <w:lang w:eastAsia="zh-CN"/>
        </w:rPr>
        <w:t xml:space="preserve"> </w:t>
      </w:r>
      <w:r w:rsidR="000133C6">
        <w:rPr>
          <w:rFonts w:eastAsiaTheme="minorEastAsia"/>
          <w:lang w:eastAsia="zh-CN"/>
        </w:rPr>
        <w:t xml:space="preserve">In order to improve the frequency efficiency, the </w:t>
      </w:r>
      <w:r w:rsidR="005815B4">
        <w:rPr>
          <w:rFonts w:eastAsiaTheme="minorEastAsia"/>
          <w:lang w:eastAsia="zh-CN"/>
        </w:rPr>
        <w:t xml:space="preserve">available </w:t>
      </w:r>
      <w:r w:rsidR="000133C6">
        <w:rPr>
          <w:rFonts w:eastAsiaTheme="minorEastAsia"/>
          <w:lang w:eastAsia="zh-CN"/>
        </w:rPr>
        <w:t>non-anchor PRBs should be continuous</w:t>
      </w:r>
      <w:r w:rsidR="005815B4">
        <w:rPr>
          <w:rFonts w:eastAsiaTheme="minorEastAsia"/>
          <w:lang w:eastAsia="zh-CN"/>
        </w:rPr>
        <w:t>ly</w:t>
      </w:r>
      <w:r w:rsidR="000133C6">
        <w:rPr>
          <w:rFonts w:eastAsiaTheme="minorEastAsia"/>
          <w:lang w:eastAsia="zh-CN"/>
        </w:rPr>
        <w:t xml:space="preserve"> distributed on both sides of the anchor </w:t>
      </w:r>
      <w:r w:rsidR="005815B4">
        <w:rPr>
          <w:rFonts w:eastAsiaTheme="minorEastAsia"/>
          <w:lang w:eastAsia="zh-CN"/>
        </w:rPr>
        <w:t>PRB</w:t>
      </w:r>
      <w:r w:rsidR="000133C6">
        <w:rPr>
          <w:rFonts w:eastAsiaTheme="minorEastAsia"/>
          <w:lang w:eastAsia="zh-CN"/>
        </w:rPr>
        <w:t xml:space="preserve"> </w:t>
      </w:r>
      <w:r w:rsidR="005815B4">
        <w:rPr>
          <w:rFonts w:eastAsiaTheme="minorEastAsia"/>
          <w:lang w:eastAsia="zh-CN"/>
        </w:rPr>
        <w:t xml:space="preserve">and </w:t>
      </w:r>
      <w:r w:rsidR="00FC51FC">
        <w:rPr>
          <w:rFonts w:eastAsiaTheme="minorEastAsia"/>
          <w:lang w:eastAsia="zh-CN"/>
        </w:rPr>
        <w:t>the</w:t>
      </w:r>
      <w:r w:rsidR="000133C6">
        <w:rPr>
          <w:rFonts w:eastAsiaTheme="minorEastAsia"/>
          <w:lang w:eastAsia="zh-CN"/>
        </w:rPr>
        <w:t xml:space="preserve"> </w:t>
      </w:r>
      <w:r w:rsidR="005815B4">
        <w:rPr>
          <w:rFonts w:eastAsiaTheme="minorEastAsia"/>
          <w:lang w:eastAsia="zh-CN"/>
        </w:rPr>
        <w:t xml:space="preserve">maximum </w:t>
      </w:r>
      <w:r w:rsidR="00F56638">
        <w:rPr>
          <w:rFonts w:eastAsiaTheme="minorEastAsia"/>
          <w:lang w:eastAsia="zh-CN"/>
        </w:rPr>
        <w:t>bandwidth is 20MHz.</w:t>
      </w:r>
    </w:p>
    <w:p w14:paraId="0887BCCA" w14:textId="0446B856" w:rsidR="005815B4" w:rsidRPr="00172FEB" w:rsidRDefault="005815B4" w:rsidP="005815B4">
      <w:pPr>
        <w:rPr>
          <w:rFonts w:eastAsiaTheme="minorEastAsia"/>
          <w:b/>
          <w:lang w:eastAsia="zh-CN"/>
        </w:rPr>
      </w:pPr>
      <w:r>
        <w:rPr>
          <w:rFonts w:eastAsiaTheme="minorEastAsia"/>
          <w:b/>
          <w:u w:val="single"/>
          <w:lang w:eastAsia="zh-CN"/>
        </w:rPr>
        <w:t xml:space="preserve">Proposal </w:t>
      </w:r>
      <w:r w:rsidR="002167F6">
        <w:rPr>
          <w:rFonts w:eastAsiaTheme="minorEastAsia"/>
          <w:b/>
          <w:u w:val="single"/>
          <w:lang w:eastAsia="zh-CN"/>
        </w:rPr>
        <w:t>4</w:t>
      </w:r>
      <w:r w:rsidRPr="00517940">
        <w:rPr>
          <w:rFonts w:eastAsiaTheme="minorEastAsia"/>
          <w:b/>
          <w:u w:val="single"/>
          <w:lang w:eastAsia="zh-CN"/>
        </w:rPr>
        <w:t>:</w:t>
      </w:r>
    </w:p>
    <w:p w14:paraId="5A6233C6" w14:textId="791525FC" w:rsidR="005815B4" w:rsidRDefault="00FC51FC" w:rsidP="009B7218">
      <w:pPr>
        <w:pStyle w:val="aff9"/>
        <w:numPr>
          <w:ilvl w:val="0"/>
          <w:numId w:val="29"/>
        </w:numPr>
        <w:ind w:firstLineChars="0"/>
        <w:rPr>
          <w:rFonts w:eastAsiaTheme="minorEastAsia"/>
          <w:lang w:eastAsia="zh-CN"/>
        </w:rPr>
      </w:pPr>
      <w:r>
        <w:rPr>
          <w:rFonts w:eastAsiaTheme="minorEastAsia"/>
          <w:lang w:eastAsia="zh-CN"/>
        </w:rPr>
        <w:t>T</w:t>
      </w:r>
      <w:r w:rsidRPr="00FC51FC">
        <w:rPr>
          <w:rFonts w:eastAsiaTheme="minorEastAsia"/>
          <w:lang w:eastAsia="zh-CN"/>
        </w:rPr>
        <w:t xml:space="preserve">he available non-anchor PRBs should be continuously distributed on both sides of the anchor PRB and </w:t>
      </w:r>
      <w:r w:rsidR="009B7218" w:rsidRPr="009B7218">
        <w:rPr>
          <w:rFonts w:eastAsiaTheme="minorEastAsia"/>
          <w:lang w:eastAsia="zh-CN"/>
        </w:rPr>
        <w:t>the maximum bandwidth is 20MHz</w:t>
      </w:r>
      <w:r w:rsidR="005815B4">
        <w:rPr>
          <w:rFonts w:eastAsiaTheme="minorEastAsia"/>
          <w:lang w:eastAsia="zh-CN"/>
        </w:rPr>
        <w:t>.</w:t>
      </w:r>
    </w:p>
    <w:p w14:paraId="0CC647E9" w14:textId="77777777" w:rsidR="00E0664F" w:rsidRPr="00AD79C9" w:rsidRDefault="00E0664F" w:rsidP="00AD79C9"/>
    <w:p w14:paraId="44BFC1D3" w14:textId="77777777" w:rsidR="0024685B" w:rsidRDefault="0024685B" w:rsidP="0024685B">
      <w:pPr>
        <w:pStyle w:val="10"/>
        <w:spacing w:after="180"/>
        <w:rPr>
          <w:lang w:val="en-US"/>
        </w:rPr>
      </w:pPr>
      <w:r>
        <w:rPr>
          <w:lang w:val="en-US"/>
        </w:rPr>
        <w:t>Conclusion</w:t>
      </w:r>
    </w:p>
    <w:p w14:paraId="0B7B8C21" w14:textId="6D608971"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Pr>
          <w:lang w:val="en-US"/>
        </w:rPr>
        <w:t>propos</w:t>
      </w:r>
      <w:r w:rsidR="00A639AF">
        <w:rPr>
          <w:lang w:val="en-US"/>
        </w:rPr>
        <w:t>als</w:t>
      </w:r>
      <w:r w:rsidR="00FC478A" w:rsidRPr="000C4E1E">
        <w:rPr>
          <w:rFonts w:eastAsia="SimSun"/>
          <w:lang w:val="en-US" w:eastAsia="zh-CN"/>
        </w:rPr>
        <w:t>:</w:t>
      </w:r>
    </w:p>
    <w:p w14:paraId="45197ADC" w14:textId="77777777" w:rsidR="00DB4CC0" w:rsidRPr="00172FEB" w:rsidRDefault="00DB4CC0" w:rsidP="00DB4CC0">
      <w:pPr>
        <w:rPr>
          <w:rFonts w:eastAsiaTheme="minorEastAsia"/>
          <w:b/>
          <w:lang w:eastAsia="zh-CN"/>
        </w:rPr>
      </w:pPr>
      <w:r>
        <w:rPr>
          <w:rFonts w:eastAsiaTheme="minorEastAsia"/>
          <w:b/>
          <w:u w:val="single"/>
          <w:lang w:eastAsia="zh-CN"/>
        </w:rPr>
        <w:t>Proposal 1</w:t>
      </w:r>
      <w:r w:rsidRPr="00517940">
        <w:rPr>
          <w:rFonts w:eastAsiaTheme="minorEastAsia"/>
          <w:b/>
          <w:u w:val="single"/>
          <w:lang w:eastAsia="zh-CN"/>
        </w:rPr>
        <w:t>:</w:t>
      </w:r>
    </w:p>
    <w:p w14:paraId="7D8B1B97" w14:textId="77777777" w:rsidR="00DB4CC0" w:rsidRDefault="00DB4CC0" w:rsidP="00DB4CC0">
      <w:pPr>
        <w:pStyle w:val="aff9"/>
        <w:numPr>
          <w:ilvl w:val="0"/>
          <w:numId w:val="29"/>
        </w:numPr>
        <w:ind w:firstLineChars="0"/>
        <w:rPr>
          <w:rFonts w:eastAsiaTheme="minorEastAsia"/>
          <w:lang w:eastAsia="zh-CN"/>
        </w:rPr>
      </w:pPr>
      <w:r>
        <w:rPr>
          <w:rFonts w:eastAsiaTheme="minorEastAsia"/>
          <w:lang w:eastAsia="zh-CN"/>
        </w:rPr>
        <w:t>For in-band operation, all legacy LTE PRBs can be regarded as candidate non-anchor PRBs.</w:t>
      </w:r>
    </w:p>
    <w:p w14:paraId="57FAAC91" w14:textId="77777777" w:rsidR="00DB4CC0" w:rsidRPr="00172FEB" w:rsidRDefault="00DB4CC0" w:rsidP="00DB4CC0">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1CAAED72" w14:textId="77777777" w:rsidR="00266503" w:rsidRDefault="00266503" w:rsidP="00266503">
      <w:pPr>
        <w:pStyle w:val="aff9"/>
        <w:numPr>
          <w:ilvl w:val="0"/>
          <w:numId w:val="29"/>
        </w:numPr>
        <w:ind w:firstLineChars="0"/>
        <w:rPr>
          <w:rFonts w:eastAsiaTheme="minorEastAsia"/>
          <w:lang w:eastAsia="zh-CN"/>
        </w:rPr>
      </w:pPr>
      <w:r>
        <w:rPr>
          <w:rFonts w:eastAsiaTheme="minorEastAsia"/>
          <w:lang w:eastAsia="zh-CN"/>
        </w:rPr>
        <w:t>RAN1 should clarify whether the anchor PRB configuration is assumed as option 1 or option 2</w:t>
      </w:r>
    </w:p>
    <w:p w14:paraId="6463E1D0" w14:textId="77777777" w:rsidR="00266503" w:rsidRDefault="00266503" w:rsidP="00266503">
      <w:pPr>
        <w:pStyle w:val="aff9"/>
        <w:numPr>
          <w:ilvl w:val="1"/>
          <w:numId w:val="29"/>
        </w:numPr>
        <w:ind w:firstLineChars="0"/>
        <w:rPr>
          <w:rFonts w:eastAsiaTheme="minorEastAsia"/>
          <w:lang w:eastAsia="zh-CN"/>
        </w:rPr>
      </w:pPr>
      <w:r>
        <w:rPr>
          <w:rFonts w:eastAsiaTheme="minorEastAsia"/>
          <w:lang w:eastAsia="zh-CN"/>
        </w:rPr>
        <w:t>We prefer option 2.</w:t>
      </w:r>
    </w:p>
    <w:p w14:paraId="1129494E" w14:textId="77777777" w:rsidR="00266503" w:rsidRPr="00172FEB" w:rsidRDefault="00266503" w:rsidP="00266503">
      <w:pPr>
        <w:rPr>
          <w:rFonts w:eastAsiaTheme="minorEastAsia"/>
          <w:b/>
          <w:lang w:eastAsia="zh-CN"/>
        </w:rPr>
      </w:pPr>
      <w:r>
        <w:rPr>
          <w:rFonts w:eastAsiaTheme="minorEastAsia"/>
          <w:b/>
          <w:u w:val="single"/>
          <w:lang w:eastAsia="zh-CN"/>
        </w:rPr>
        <w:t>Proposal 3</w:t>
      </w:r>
      <w:r w:rsidRPr="00517940">
        <w:rPr>
          <w:rFonts w:eastAsiaTheme="minorEastAsia"/>
          <w:b/>
          <w:u w:val="single"/>
          <w:lang w:eastAsia="zh-CN"/>
        </w:rPr>
        <w:t>:</w:t>
      </w:r>
    </w:p>
    <w:p w14:paraId="3DA8EE9F" w14:textId="727DDEFD" w:rsidR="00266503" w:rsidRPr="00266503" w:rsidRDefault="00266503" w:rsidP="00A327B4">
      <w:pPr>
        <w:pStyle w:val="aff9"/>
        <w:numPr>
          <w:ilvl w:val="0"/>
          <w:numId w:val="29"/>
        </w:numPr>
        <w:ind w:firstLineChars="0"/>
        <w:rPr>
          <w:rFonts w:eastAsiaTheme="minorEastAsia"/>
          <w:lang w:eastAsia="zh-CN"/>
        </w:rPr>
      </w:pPr>
      <w:r w:rsidRPr="00A77B95">
        <w:rPr>
          <w:rFonts w:eastAsiaTheme="minorEastAsia"/>
          <w:lang w:eastAsia="zh-CN"/>
        </w:rPr>
        <w:t>Adopt option 1</w:t>
      </w:r>
      <w:r w:rsidRPr="00266503">
        <w:rPr>
          <w:rFonts w:eastAsiaTheme="minorEastAsia"/>
          <w:lang w:eastAsia="zh-CN"/>
        </w:rPr>
        <w:t xml:space="preserve"> to determine non-anchor PRBs for guard-band operation.</w:t>
      </w:r>
    </w:p>
    <w:p w14:paraId="6F22F42B" w14:textId="7EB2A8B4"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266503">
        <w:rPr>
          <w:rFonts w:eastAsiaTheme="minorEastAsia"/>
          <w:b/>
          <w:u w:val="single"/>
          <w:lang w:eastAsia="zh-CN"/>
        </w:rPr>
        <w:t>4</w:t>
      </w:r>
      <w:r w:rsidRPr="00517940">
        <w:rPr>
          <w:rFonts w:eastAsiaTheme="minorEastAsia"/>
          <w:b/>
          <w:u w:val="single"/>
          <w:lang w:eastAsia="zh-CN"/>
        </w:rPr>
        <w:t>:</w:t>
      </w:r>
    </w:p>
    <w:p w14:paraId="75EF0F18" w14:textId="22B36038" w:rsidR="00DB4CC0" w:rsidRDefault="00DB4CC0" w:rsidP="00A327B4">
      <w:pPr>
        <w:pStyle w:val="aff9"/>
        <w:numPr>
          <w:ilvl w:val="0"/>
          <w:numId w:val="29"/>
        </w:numPr>
        <w:ind w:firstLineChars="0"/>
        <w:rPr>
          <w:rFonts w:eastAsiaTheme="minorEastAsia"/>
          <w:lang w:eastAsia="zh-CN"/>
        </w:rPr>
      </w:pPr>
      <w:r>
        <w:rPr>
          <w:rFonts w:eastAsiaTheme="minorEastAsia"/>
          <w:lang w:eastAsia="zh-CN"/>
        </w:rPr>
        <w:t>T</w:t>
      </w:r>
      <w:r w:rsidRPr="00FC51FC">
        <w:rPr>
          <w:rFonts w:eastAsiaTheme="minorEastAsia"/>
          <w:lang w:eastAsia="zh-CN"/>
        </w:rPr>
        <w:t xml:space="preserve">he available non-anchor PRBs should be continuously distributed on both sides of the anchor PRB and </w:t>
      </w:r>
      <w:r>
        <w:rPr>
          <w:rFonts w:eastAsiaTheme="minorEastAsia"/>
          <w:lang w:eastAsia="zh-CN"/>
        </w:rPr>
        <w:t xml:space="preserve">the </w:t>
      </w:r>
      <w:r w:rsidRPr="00FC51FC">
        <w:rPr>
          <w:rFonts w:eastAsiaTheme="minorEastAsia"/>
          <w:lang w:eastAsia="zh-CN"/>
        </w:rPr>
        <w:t xml:space="preserve">maximum </w:t>
      </w:r>
      <w:r w:rsidR="00266503">
        <w:rPr>
          <w:rFonts w:eastAsiaTheme="minorEastAsia"/>
          <w:lang w:eastAsia="zh-CN"/>
        </w:rPr>
        <w:t>bandwidth</w:t>
      </w:r>
      <w:r>
        <w:rPr>
          <w:rFonts w:eastAsiaTheme="minorEastAsia"/>
          <w:lang w:eastAsia="zh-CN"/>
        </w:rPr>
        <w:t xml:space="preserve"> </w:t>
      </w:r>
      <w:r w:rsidRPr="00FC51FC">
        <w:rPr>
          <w:rFonts w:eastAsiaTheme="minorEastAsia"/>
          <w:lang w:eastAsia="zh-CN"/>
        </w:rPr>
        <w:t xml:space="preserve">is </w:t>
      </w:r>
      <w:r w:rsidR="00266503">
        <w:rPr>
          <w:rFonts w:eastAsiaTheme="minorEastAsia"/>
          <w:lang w:eastAsia="zh-CN"/>
        </w:rPr>
        <w:t>2</w:t>
      </w:r>
      <w:r w:rsidRPr="00FC51FC">
        <w:rPr>
          <w:rFonts w:eastAsiaTheme="minorEastAsia"/>
          <w:lang w:eastAsia="zh-CN"/>
        </w:rPr>
        <w:t>0</w:t>
      </w:r>
      <w:r w:rsidR="00266503">
        <w:rPr>
          <w:rFonts w:eastAsiaTheme="minorEastAsia"/>
          <w:lang w:eastAsia="zh-CN"/>
        </w:rPr>
        <w:t>MHz</w:t>
      </w:r>
      <w:r>
        <w:rPr>
          <w:rFonts w:eastAsiaTheme="minorEastAsia"/>
          <w:lang w:eastAsia="zh-CN"/>
        </w:rPr>
        <w:t>.</w:t>
      </w:r>
    </w:p>
    <w:p w14:paraId="52D1CF7C" w14:textId="77777777" w:rsidR="00E96C8B" w:rsidRPr="00D80F6F" w:rsidRDefault="00E96C8B" w:rsidP="00A327B4">
      <w:pPr>
        <w:rPr>
          <w:lang w:eastAsia="zh-CN"/>
        </w:rPr>
      </w:pPr>
    </w:p>
    <w:p w14:paraId="4257F253" w14:textId="77777777" w:rsidR="00D521DD" w:rsidRDefault="00D521DD" w:rsidP="00D521DD">
      <w:pPr>
        <w:pStyle w:val="10"/>
        <w:spacing w:after="180"/>
        <w:rPr>
          <w:rStyle w:val="af7"/>
          <w:lang w:val="en-US"/>
        </w:rPr>
      </w:pPr>
      <w:r>
        <w:rPr>
          <w:lang w:val="en-US"/>
        </w:rPr>
        <w:t>References</w:t>
      </w:r>
    </w:p>
    <w:p w14:paraId="42F832F1" w14:textId="04127F9C" w:rsidR="009257BF" w:rsidRDefault="00222BB4" w:rsidP="00222BB4">
      <w:pPr>
        <w:pStyle w:val="textintend2"/>
      </w:pPr>
      <w:bookmarkStart w:id="7" w:name="_Ref366767693"/>
      <w:bookmarkStart w:id="8" w:name="_Ref275976890"/>
      <w:bookmarkStart w:id="9" w:name="_Ref302982356"/>
      <w:bookmarkStart w:id="10" w:name="_Ref314143987"/>
      <w:bookmarkStart w:id="11" w:name="_Ref318668252"/>
      <w:bookmarkStart w:id="12" w:name="_Ref319185883"/>
      <w:r>
        <w:rPr>
          <w:rFonts w:eastAsia="SimSun"/>
          <w:lang w:eastAsia="zh-CN"/>
        </w:rPr>
        <w:t>C</w:t>
      </w:r>
      <w:r w:rsidRPr="00C158E1">
        <w:t>hairman’s notes</w:t>
      </w:r>
      <w:r w:rsidRPr="00222BB4">
        <w:rPr>
          <w:rFonts w:eastAsia="SimSun"/>
          <w:szCs w:val="24"/>
          <w:lang w:eastAsia="zh-CN"/>
        </w:rPr>
        <w:t xml:space="preserve"> </w:t>
      </w:r>
      <w:r>
        <w:rPr>
          <w:rFonts w:eastAsia="SimSun"/>
          <w:szCs w:val="24"/>
          <w:lang w:eastAsia="zh-CN"/>
        </w:rPr>
        <w:t xml:space="preserve">of the </w:t>
      </w:r>
      <w:r w:rsidRPr="00222BB4">
        <w:rPr>
          <w:rFonts w:eastAsia="SimSun"/>
          <w:szCs w:val="24"/>
          <w:lang w:eastAsia="zh-CN"/>
        </w:rPr>
        <w:t>3GPP TSG RAN WG1 NB-IoT Ad-Hoc Meeting</w:t>
      </w:r>
      <w:r>
        <w:rPr>
          <w:rFonts w:eastAsia="SimSun"/>
          <w:szCs w:val="24"/>
          <w:lang w:eastAsia="zh-CN"/>
        </w:rPr>
        <w:t xml:space="preserve">, </w:t>
      </w:r>
      <w:r w:rsidRPr="00222BB4">
        <w:t>Sophia Antipolis, France, 22nd - 24th March 2016</w:t>
      </w:r>
      <w:r w:rsidR="009257BF" w:rsidRPr="00C158E1">
        <w:t>.</w:t>
      </w:r>
      <w:bookmarkEnd w:id="7"/>
    </w:p>
    <w:p w14:paraId="59486A9F" w14:textId="378C1933" w:rsidR="00222BB4" w:rsidRDefault="00222BB4" w:rsidP="00222BB4">
      <w:pPr>
        <w:pStyle w:val="textintend2"/>
      </w:pPr>
      <w:r>
        <w:t>C</w:t>
      </w:r>
      <w:r w:rsidRPr="00E96C8B">
        <w:t xml:space="preserve">hairman’s notes </w:t>
      </w:r>
      <w:r>
        <w:t xml:space="preserve">of the </w:t>
      </w:r>
      <w:r w:rsidRPr="00222BB4">
        <w:t>3GPP TSG RAN WG1 NB-IoT Ad-Hoc Meeting</w:t>
      </w:r>
      <w:r w:rsidRPr="00E96C8B">
        <w:t xml:space="preserve">, </w:t>
      </w:r>
      <w:r w:rsidRPr="00222BB4">
        <w:t xml:space="preserve">Budapest, Hungary, </w:t>
      </w:r>
      <w:r>
        <w:t>J</w:t>
      </w:r>
      <w:r w:rsidRPr="00222BB4">
        <w:t>anuary 8-20, 2016</w:t>
      </w:r>
      <w:r>
        <w:t>.</w:t>
      </w:r>
    </w:p>
    <w:p w14:paraId="57C174A0" w14:textId="6ED247AA" w:rsidR="00222BB4" w:rsidRDefault="00222BB4" w:rsidP="00F73758">
      <w:pPr>
        <w:pStyle w:val="textintend2"/>
      </w:pPr>
      <w:r>
        <w:t>C</w:t>
      </w:r>
      <w:r w:rsidRPr="00E96C8B">
        <w:t xml:space="preserve">hairman’s notes </w:t>
      </w:r>
      <w:r>
        <w:t xml:space="preserve">of the </w:t>
      </w:r>
      <w:r w:rsidRPr="00222BB4">
        <w:t>3GPP TSG RAN WG1#84 Meeting</w:t>
      </w:r>
      <w:r w:rsidR="00E96C8B" w:rsidRPr="00E96C8B">
        <w:t xml:space="preserve">, </w:t>
      </w:r>
      <w:r w:rsidRPr="00222BB4">
        <w:t>St. Julian’s, Malta, February 15 – 19, 2016</w:t>
      </w:r>
      <w:r w:rsidR="00E96C8B" w:rsidRPr="00E96C8B">
        <w:t>.</w:t>
      </w:r>
    </w:p>
    <w:p w14:paraId="46C72AC1" w14:textId="33A40D8B" w:rsidR="000D287E" w:rsidRDefault="00D72373" w:rsidP="003A24D9">
      <w:pPr>
        <w:pStyle w:val="textintend2"/>
      </w:pPr>
      <w:r w:rsidRPr="00222BB4">
        <w:rPr>
          <w:lang w:val="en-GB"/>
        </w:rPr>
        <w:t>R1-160022</w:t>
      </w:r>
      <w:r w:rsidR="00E52C81">
        <w:t xml:space="preserve">, </w:t>
      </w:r>
      <w:r w:rsidRPr="00222BB4">
        <w:rPr>
          <w:lang w:val="en-GB"/>
        </w:rPr>
        <w:t>Channel raster design</w:t>
      </w:r>
      <w:r w:rsidR="00691D19" w:rsidRPr="00691D19">
        <w:t xml:space="preserve">, </w:t>
      </w:r>
      <w:r w:rsidRPr="00222BB4">
        <w:rPr>
          <w:lang w:val="en-GB"/>
        </w:rPr>
        <w:t xml:space="preserve">Huawei, HiSilicon, </w:t>
      </w:r>
      <w:r w:rsidR="00AC29CD" w:rsidRPr="00AC29CD">
        <w:t>3GPP TSG RAN WG1 NB-IoT ad-hoc Meeting</w:t>
      </w:r>
      <w:r w:rsidR="000D287E" w:rsidRPr="000D287E">
        <w:t xml:space="preserve">, </w:t>
      </w:r>
      <w:r w:rsidR="00AC29CD" w:rsidRPr="00AC29CD">
        <w:t>Budapest, Hungary, 18th – 20th January 2016</w:t>
      </w:r>
      <w:r w:rsidR="00E52C81">
        <w:t>.</w:t>
      </w:r>
      <w:bookmarkEnd w:id="8"/>
      <w:bookmarkEnd w:id="9"/>
      <w:bookmarkEnd w:id="10"/>
      <w:bookmarkEnd w:id="11"/>
      <w:bookmarkEnd w:id="12"/>
    </w:p>
    <w:p w14:paraId="69EEE3DC" w14:textId="4AAD5468" w:rsidR="00FC482E" w:rsidRDefault="00FC482E" w:rsidP="00FC482E">
      <w:pPr>
        <w:pStyle w:val="textintend2"/>
      </w:pPr>
      <w:r w:rsidRPr="00FC482E">
        <w:t>R1-162021</w:t>
      </w:r>
      <w:r>
        <w:t xml:space="preserve">, </w:t>
      </w:r>
      <w:r w:rsidRPr="00FC482E">
        <w:t>WF on PRB indexing in MIB for NB-IoT in-band operation</w:t>
      </w:r>
      <w:r>
        <w:t xml:space="preserve">, </w:t>
      </w:r>
      <w:r w:rsidRPr="00FC482E">
        <w:t>Ericsson, LG</w:t>
      </w:r>
      <w:r>
        <w:t xml:space="preserve">, </w:t>
      </w:r>
      <w:r w:rsidRPr="00FC482E">
        <w:t>3GPP TSG RAN WG1 NB-IoT Ad-Hoc Meeting</w:t>
      </w:r>
      <w:r>
        <w:t xml:space="preserve">, </w:t>
      </w:r>
      <w:r w:rsidRPr="00FC482E">
        <w:t>Sophia Antipolis, France, 22nd – 24th March 2016</w:t>
      </w:r>
      <w:r>
        <w:t>.</w:t>
      </w:r>
    </w:p>
    <w:sectPr w:rsidR="00FC482E"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8CD1A" w14:textId="77777777" w:rsidR="00947940" w:rsidRDefault="00947940">
      <w:r>
        <w:separator/>
      </w:r>
    </w:p>
  </w:endnote>
  <w:endnote w:type="continuationSeparator" w:id="0">
    <w:p w14:paraId="7C2D1853" w14:textId="77777777" w:rsidR="00947940" w:rsidRDefault="0094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C54885" w:rsidRDefault="00C54885">
    <w:pPr>
      <w:pStyle w:val="af"/>
      <w:jc w:val="center"/>
    </w:pPr>
    <w:r>
      <w:rPr>
        <w:b/>
      </w:rPr>
      <w:fldChar w:fldCharType="begin"/>
    </w:r>
    <w:r>
      <w:rPr>
        <w:b/>
      </w:rPr>
      <w:instrText>PAGE</w:instrText>
    </w:r>
    <w:r>
      <w:rPr>
        <w:b/>
      </w:rPr>
      <w:fldChar w:fldCharType="separate"/>
    </w:r>
    <w:r w:rsidR="00947940">
      <w:rPr>
        <w:b/>
        <w:noProof/>
      </w:rPr>
      <w:t>1</w:t>
    </w:r>
    <w:r>
      <w:rPr>
        <w:b/>
      </w:rPr>
      <w:fldChar w:fldCharType="end"/>
    </w:r>
  </w:p>
  <w:p w14:paraId="3D641BD9" w14:textId="77777777" w:rsidR="00C54885" w:rsidRDefault="00C54885">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C7D0D" w14:textId="77777777" w:rsidR="00947940" w:rsidRDefault="00947940">
      <w:r>
        <w:separator/>
      </w:r>
    </w:p>
  </w:footnote>
  <w:footnote w:type="continuationSeparator" w:id="0">
    <w:p w14:paraId="6E74EC9A" w14:textId="77777777" w:rsidR="00947940" w:rsidRDefault="009479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AE81780"/>
    <w:multiLevelType w:val="hybridMultilevel"/>
    <w:tmpl w:val="77206F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0"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340219"/>
    <w:multiLevelType w:val="hybridMultilevel"/>
    <w:tmpl w:val="BCB28190"/>
    <w:lvl w:ilvl="0" w:tplc="CAA481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071815"/>
    <w:multiLevelType w:val="hybridMultilevel"/>
    <w:tmpl w:val="913292DC"/>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6"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2"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37"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CB78BC"/>
    <w:multiLevelType w:val="hybridMultilevel"/>
    <w:tmpl w:val="8F8C6E50"/>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7"/>
  </w:num>
  <w:num w:numId="3">
    <w:abstractNumId w:val="12"/>
  </w:num>
  <w:num w:numId="4">
    <w:abstractNumId w:val="42"/>
  </w:num>
  <w:num w:numId="5">
    <w:abstractNumId w:val="28"/>
  </w:num>
  <w:num w:numId="6">
    <w:abstractNumId w:val="29"/>
  </w:num>
  <w:num w:numId="7">
    <w:abstractNumId w:val="27"/>
  </w:num>
  <w:num w:numId="8">
    <w:abstractNumId w:val="5"/>
  </w:num>
  <w:num w:numId="9">
    <w:abstractNumId w:val="44"/>
  </w:num>
  <w:num w:numId="10">
    <w:abstractNumId w:val="25"/>
  </w:num>
  <w:num w:numId="11">
    <w:abstractNumId w:val="17"/>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4"/>
  </w:num>
  <w:num w:numId="14">
    <w:abstractNumId w:val="23"/>
  </w:num>
  <w:num w:numId="15">
    <w:abstractNumId w:val="38"/>
  </w:num>
  <w:num w:numId="16">
    <w:abstractNumId w:val="15"/>
  </w:num>
  <w:num w:numId="17">
    <w:abstractNumId w:val="0"/>
  </w:num>
  <w:num w:numId="18">
    <w:abstractNumId w:val="35"/>
  </w:num>
  <w:num w:numId="19">
    <w:abstractNumId w:val="31"/>
  </w:num>
  <w:num w:numId="20">
    <w:abstractNumId w:val="34"/>
  </w:num>
  <w:num w:numId="21">
    <w:abstractNumId w:val="39"/>
  </w:num>
  <w:num w:numId="22">
    <w:abstractNumId w:val="18"/>
  </w:num>
  <w:num w:numId="23">
    <w:abstractNumId w:val="8"/>
  </w:num>
  <w:num w:numId="24">
    <w:abstractNumId w:val="30"/>
  </w:num>
  <w:num w:numId="25">
    <w:abstractNumId w:val="19"/>
  </w:num>
  <w:num w:numId="26">
    <w:abstractNumId w:val="37"/>
  </w:num>
  <w:num w:numId="27">
    <w:abstractNumId w:val="11"/>
  </w:num>
  <w:num w:numId="28">
    <w:abstractNumId w:val="26"/>
  </w:num>
  <w:num w:numId="29">
    <w:abstractNumId w:val="45"/>
  </w:num>
  <w:num w:numId="30">
    <w:abstractNumId w:val="3"/>
  </w:num>
  <w:num w:numId="31">
    <w:abstractNumId w:val="4"/>
  </w:num>
  <w:num w:numId="32">
    <w:abstractNumId w:val="20"/>
  </w:num>
  <w:num w:numId="33">
    <w:abstractNumId w:val="14"/>
  </w:num>
  <w:num w:numId="34">
    <w:abstractNumId w:val="32"/>
  </w:num>
  <w:num w:numId="35">
    <w:abstractNumId w:val="13"/>
  </w:num>
  <w:num w:numId="36">
    <w:abstractNumId w:val="16"/>
  </w:num>
  <w:num w:numId="37">
    <w:abstractNumId w:val="10"/>
  </w:num>
  <w:num w:numId="38">
    <w:abstractNumId w:val="9"/>
  </w:num>
  <w:num w:numId="39">
    <w:abstractNumId w:val="1"/>
  </w:num>
  <w:num w:numId="40">
    <w:abstractNumId w:val="36"/>
  </w:num>
  <w:num w:numId="41">
    <w:abstractNumId w:val="40"/>
  </w:num>
  <w:num w:numId="42">
    <w:abstractNumId w:val="43"/>
  </w:num>
  <w:num w:numId="43">
    <w:abstractNumId w:val="33"/>
  </w:num>
  <w:num w:numId="44">
    <w:abstractNumId w:val="22"/>
  </w:num>
  <w:num w:numId="45">
    <w:abstractNumId w:val="6"/>
  </w:num>
  <w:num w:numId="4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1B01"/>
    <w:rsid w:val="00041C31"/>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78"/>
    <w:rsid w:val="000B6E61"/>
    <w:rsid w:val="000C08A9"/>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92F"/>
    <w:rsid w:val="00151652"/>
    <w:rsid w:val="001516E9"/>
    <w:rsid w:val="00151FAA"/>
    <w:rsid w:val="00152884"/>
    <w:rsid w:val="00152FC4"/>
    <w:rsid w:val="001535DB"/>
    <w:rsid w:val="00154367"/>
    <w:rsid w:val="001551E9"/>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98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0898"/>
    <w:rsid w:val="0021132B"/>
    <w:rsid w:val="00212D68"/>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E"/>
    <w:rsid w:val="00222899"/>
    <w:rsid w:val="00222B12"/>
    <w:rsid w:val="00222BB4"/>
    <w:rsid w:val="002239D9"/>
    <w:rsid w:val="00223B0F"/>
    <w:rsid w:val="002240F0"/>
    <w:rsid w:val="00224CCB"/>
    <w:rsid w:val="002253D2"/>
    <w:rsid w:val="00227C8D"/>
    <w:rsid w:val="002319BD"/>
    <w:rsid w:val="00231E1A"/>
    <w:rsid w:val="002323D6"/>
    <w:rsid w:val="00232A8A"/>
    <w:rsid w:val="00232EDA"/>
    <w:rsid w:val="00233BB5"/>
    <w:rsid w:val="002342D0"/>
    <w:rsid w:val="00234E6B"/>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364B"/>
    <w:rsid w:val="00253DD9"/>
    <w:rsid w:val="00254FE2"/>
    <w:rsid w:val="00255B35"/>
    <w:rsid w:val="002603A0"/>
    <w:rsid w:val="00260555"/>
    <w:rsid w:val="00260F5E"/>
    <w:rsid w:val="002625FA"/>
    <w:rsid w:val="00262E18"/>
    <w:rsid w:val="002630F9"/>
    <w:rsid w:val="002638C4"/>
    <w:rsid w:val="00263A00"/>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551"/>
    <w:rsid w:val="002D2BB7"/>
    <w:rsid w:val="002D343A"/>
    <w:rsid w:val="002D43C8"/>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D04"/>
    <w:rsid w:val="0035122B"/>
    <w:rsid w:val="00351289"/>
    <w:rsid w:val="00351A50"/>
    <w:rsid w:val="003520E7"/>
    <w:rsid w:val="00352733"/>
    <w:rsid w:val="003529AA"/>
    <w:rsid w:val="00352EB3"/>
    <w:rsid w:val="00353708"/>
    <w:rsid w:val="00353B9B"/>
    <w:rsid w:val="00355759"/>
    <w:rsid w:val="0035795B"/>
    <w:rsid w:val="00357D0A"/>
    <w:rsid w:val="003606D7"/>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6A7"/>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AAB"/>
    <w:rsid w:val="00420AD7"/>
    <w:rsid w:val="00420AEF"/>
    <w:rsid w:val="0042356F"/>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6E6E"/>
    <w:rsid w:val="0044701F"/>
    <w:rsid w:val="00447E65"/>
    <w:rsid w:val="004516C1"/>
    <w:rsid w:val="00453E10"/>
    <w:rsid w:val="0045474A"/>
    <w:rsid w:val="004547D2"/>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7C8"/>
    <w:rsid w:val="004C0D5C"/>
    <w:rsid w:val="004C125A"/>
    <w:rsid w:val="004C4374"/>
    <w:rsid w:val="004C4643"/>
    <w:rsid w:val="004C7877"/>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3546"/>
    <w:rsid w:val="0050398D"/>
    <w:rsid w:val="005049B0"/>
    <w:rsid w:val="00506031"/>
    <w:rsid w:val="0050697A"/>
    <w:rsid w:val="0050741B"/>
    <w:rsid w:val="005079E3"/>
    <w:rsid w:val="00510296"/>
    <w:rsid w:val="00510397"/>
    <w:rsid w:val="005106A3"/>
    <w:rsid w:val="00511984"/>
    <w:rsid w:val="00512EAB"/>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B7A"/>
    <w:rsid w:val="0053386B"/>
    <w:rsid w:val="00533DCC"/>
    <w:rsid w:val="00535C17"/>
    <w:rsid w:val="00536105"/>
    <w:rsid w:val="00536CA4"/>
    <w:rsid w:val="00537265"/>
    <w:rsid w:val="00537F9F"/>
    <w:rsid w:val="00540EC9"/>
    <w:rsid w:val="00540FA1"/>
    <w:rsid w:val="005436DA"/>
    <w:rsid w:val="00543958"/>
    <w:rsid w:val="005443F5"/>
    <w:rsid w:val="00544C64"/>
    <w:rsid w:val="00544C95"/>
    <w:rsid w:val="005452C9"/>
    <w:rsid w:val="00545789"/>
    <w:rsid w:val="00545BB7"/>
    <w:rsid w:val="00545CD9"/>
    <w:rsid w:val="005460CD"/>
    <w:rsid w:val="005461B9"/>
    <w:rsid w:val="005465BC"/>
    <w:rsid w:val="005466D3"/>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E86"/>
    <w:rsid w:val="00572A6B"/>
    <w:rsid w:val="00574024"/>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E03"/>
    <w:rsid w:val="00585BD8"/>
    <w:rsid w:val="00585FA6"/>
    <w:rsid w:val="0058634D"/>
    <w:rsid w:val="0059051F"/>
    <w:rsid w:val="005909AF"/>
    <w:rsid w:val="0059174A"/>
    <w:rsid w:val="00592649"/>
    <w:rsid w:val="005939A2"/>
    <w:rsid w:val="00593C2D"/>
    <w:rsid w:val="00593F55"/>
    <w:rsid w:val="005949CB"/>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0D0"/>
    <w:rsid w:val="005D7286"/>
    <w:rsid w:val="005E250A"/>
    <w:rsid w:val="005E28F1"/>
    <w:rsid w:val="005E3CC6"/>
    <w:rsid w:val="005E3EC0"/>
    <w:rsid w:val="005E4587"/>
    <w:rsid w:val="005E48FE"/>
    <w:rsid w:val="005E584E"/>
    <w:rsid w:val="005E67E6"/>
    <w:rsid w:val="005E686E"/>
    <w:rsid w:val="005E7DAD"/>
    <w:rsid w:val="005F01A1"/>
    <w:rsid w:val="005F1D45"/>
    <w:rsid w:val="005F1F06"/>
    <w:rsid w:val="005F2651"/>
    <w:rsid w:val="005F35DE"/>
    <w:rsid w:val="005F3B21"/>
    <w:rsid w:val="005F484A"/>
    <w:rsid w:val="005F510F"/>
    <w:rsid w:val="005F6153"/>
    <w:rsid w:val="005F6852"/>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32A6"/>
    <w:rsid w:val="00665E10"/>
    <w:rsid w:val="00665FC6"/>
    <w:rsid w:val="00666D32"/>
    <w:rsid w:val="00667B49"/>
    <w:rsid w:val="00667BBE"/>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7395"/>
    <w:rsid w:val="00687529"/>
    <w:rsid w:val="0068755A"/>
    <w:rsid w:val="00690C25"/>
    <w:rsid w:val="00690E1B"/>
    <w:rsid w:val="00691433"/>
    <w:rsid w:val="00691660"/>
    <w:rsid w:val="00691D19"/>
    <w:rsid w:val="006920D5"/>
    <w:rsid w:val="00692943"/>
    <w:rsid w:val="00692CCE"/>
    <w:rsid w:val="00694253"/>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891"/>
    <w:rsid w:val="006C3064"/>
    <w:rsid w:val="006C30F2"/>
    <w:rsid w:val="006C33C9"/>
    <w:rsid w:val="006C3470"/>
    <w:rsid w:val="006C3B41"/>
    <w:rsid w:val="006C3DD9"/>
    <w:rsid w:val="006C431F"/>
    <w:rsid w:val="006C4B8C"/>
    <w:rsid w:val="006C5632"/>
    <w:rsid w:val="006C568F"/>
    <w:rsid w:val="006C5C0A"/>
    <w:rsid w:val="006C6AC7"/>
    <w:rsid w:val="006C6E5D"/>
    <w:rsid w:val="006C72E0"/>
    <w:rsid w:val="006C7875"/>
    <w:rsid w:val="006D04AD"/>
    <w:rsid w:val="006D08F5"/>
    <w:rsid w:val="006D11C3"/>
    <w:rsid w:val="006D12DA"/>
    <w:rsid w:val="006D1B1C"/>
    <w:rsid w:val="006D1D36"/>
    <w:rsid w:val="006D1FFE"/>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AD3"/>
    <w:rsid w:val="007115D9"/>
    <w:rsid w:val="00711CA1"/>
    <w:rsid w:val="00711D39"/>
    <w:rsid w:val="00711F10"/>
    <w:rsid w:val="00711F69"/>
    <w:rsid w:val="007125B2"/>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2F"/>
    <w:rsid w:val="007578C4"/>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537B"/>
    <w:rsid w:val="007A5CB8"/>
    <w:rsid w:val="007A5DAD"/>
    <w:rsid w:val="007A603C"/>
    <w:rsid w:val="007A67F8"/>
    <w:rsid w:val="007A6A8E"/>
    <w:rsid w:val="007A6E5F"/>
    <w:rsid w:val="007A70A3"/>
    <w:rsid w:val="007A71C5"/>
    <w:rsid w:val="007A7E2D"/>
    <w:rsid w:val="007B00B2"/>
    <w:rsid w:val="007B0498"/>
    <w:rsid w:val="007B0BF9"/>
    <w:rsid w:val="007B1037"/>
    <w:rsid w:val="007B14AB"/>
    <w:rsid w:val="007B1BCD"/>
    <w:rsid w:val="007B1CA5"/>
    <w:rsid w:val="007B2365"/>
    <w:rsid w:val="007B2587"/>
    <w:rsid w:val="007B2997"/>
    <w:rsid w:val="007B2B22"/>
    <w:rsid w:val="007B2D0E"/>
    <w:rsid w:val="007B4F2F"/>
    <w:rsid w:val="007B55BA"/>
    <w:rsid w:val="007B7CE0"/>
    <w:rsid w:val="007C030E"/>
    <w:rsid w:val="007C0445"/>
    <w:rsid w:val="007C0F67"/>
    <w:rsid w:val="007C1BFF"/>
    <w:rsid w:val="007C28A4"/>
    <w:rsid w:val="007C361A"/>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C30"/>
    <w:rsid w:val="008002C9"/>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CBD"/>
    <w:rsid w:val="00834781"/>
    <w:rsid w:val="00834C5C"/>
    <w:rsid w:val="00835188"/>
    <w:rsid w:val="00835595"/>
    <w:rsid w:val="00835F16"/>
    <w:rsid w:val="00837274"/>
    <w:rsid w:val="00837443"/>
    <w:rsid w:val="0084027A"/>
    <w:rsid w:val="008406FC"/>
    <w:rsid w:val="00840713"/>
    <w:rsid w:val="00840A3F"/>
    <w:rsid w:val="00841230"/>
    <w:rsid w:val="008412EF"/>
    <w:rsid w:val="0084206A"/>
    <w:rsid w:val="008425A7"/>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CE0"/>
    <w:rsid w:val="008D03D8"/>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7940"/>
    <w:rsid w:val="009479F6"/>
    <w:rsid w:val="009506E1"/>
    <w:rsid w:val="00950FE5"/>
    <w:rsid w:val="00951403"/>
    <w:rsid w:val="0095150D"/>
    <w:rsid w:val="00951E37"/>
    <w:rsid w:val="009528D1"/>
    <w:rsid w:val="0095398F"/>
    <w:rsid w:val="00953E2B"/>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1410"/>
    <w:rsid w:val="009B2186"/>
    <w:rsid w:val="009B2242"/>
    <w:rsid w:val="009B24F0"/>
    <w:rsid w:val="009B2926"/>
    <w:rsid w:val="009B2C0A"/>
    <w:rsid w:val="009B323A"/>
    <w:rsid w:val="009B33A3"/>
    <w:rsid w:val="009B39D8"/>
    <w:rsid w:val="009B4552"/>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1F17"/>
    <w:rsid w:val="009E3A29"/>
    <w:rsid w:val="009E3B93"/>
    <w:rsid w:val="009E40A4"/>
    <w:rsid w:val="009E6AD8"/>
    <w:rsid w:val="009E6B7C"/>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2BE"/>
    <w:rsid w:val="00A10E4B"/>
    <w:rsid w:val="00A12271"/>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646B"/>
    <w:rsid w:val="00A56810"/>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12B5"/>
    <w:rsid w:val="00A727E9"/>
    <w:rsid w:val="00A7298F"/>
    <w:rsid w:val="00A72AAD"/>
    <w:rsid w:val="00A72D2C"/>
    <w:rsid w:val="00A734C3"/>
    <w:rsid w:val="00A74C63"/>
    <w:rsid w:val="00A74DA6"/>
    <w:rsid w:val="00A75B43"/>
    <w:rsid w:val="00A777EC"/>
    <w:rsid w:val="00A77B95"/>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45F9"/>
    <w:rsid w:val="00AB55A5"/>
    <w:rsid w:val="00AB56F4"/>
    <w:rsid w:val="00AB5F48"/>
    <w:rsid w:val="00AB68BE"/>
    <w:rsid w:val="00AB6E3C"/>
    <w:rsid w:val="00AB7F94"/>
    <w:rsid w:val="00AC0380"/>
    <w:rsid w:val="00AC1EE3"/>
    <w:rsid w:val="00AC247B"/>
    <w:rsid w:val="00AC29CD"/>
    <w:rsid w:val="00AC31CA"/>
    <w:rsid w:val="00AC3741"/>
    <w:rsid w:val="00AC3B89"/>
    <w:rsid w:val="00AC3C91"/>
    <w:rsid w:val="00AC4E18"/>
    <w:rsid w:val="00AC5891"/>
    <w:rsid w:val="00AC5C0C"/>
    <w:rsid w:val="00AC5EAB"/>
    <w:rsid w:val="00AC6992"/>
    <w:rsid w:val="00AC6A1A"/>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439"/>
    <w:rsid w:val="00AE4053"/>
    <w:rsid w:val="00AE458B"/>
    <w:rsid w:val="00AE587C"/>
    <w:rsid w:val="00AE6CA1"/>
    <w:rsid w:val="00AE6E44"/>
    <w:rsid w:val="00AE731C"/>
    <w:rsid w:val="00AF25FD"/>
    <w:rsid w:val="00AF308F"/>
    <w:rsid w:val="00AF3A82"/>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17803"/>
    <w:rsid w:val="00B21032"/>
    <w:rsid w:val="00B2118D"/>
    <w:rsid w:val="00B21787"/>
    <w:rsid w:val="00B21A1A"/>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3336"/>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E6C"/>
    <w:rsid w:val="00B65120"/>
    <w:rsid w:val="00B6529C"/>
    <w:rsid w:val="00B65332"/>
    <w:rsid w:val="00B6537B"/>
    <w:rsid w:val="00B6546A"/>
    <w:rsid w:val="00B66033"/>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BF5"/>
    <w:rsid w:val="00BD7157"/>
    <w:rsid w:val="00BD790F"/>
    <w:rsid w:val="00BD7A3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2BE4"/>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56F4"/>
    <w:rsid w:val="00CC62DB"/>
    <w:rsid w:val="00CC654F"/>
    <w:rsid w:val="00CC67C4"/>
    <w:rsid w:val="00CC7497"/>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FAA"/>
    <w:rsid w:val="00D80F6F"/>
    <w:rsid w:val="00D824A7"/>
    <w:rsid w:val="00D824DA"/>
    <w:rsid w:val="00D829A6"/>
    <w:rsid w:val="00D82BD6"/>
    <w:rsid w:val="00D838C7"/>
    <w:rsid w:val="00D83F71"/>
    <w:rsid w:val="00D84161"/>
    <w:rsid w:val="00D847D5"/>
    <w:rsid w:val="00D848E8"/>
    <w:rsid w:val="00D8549D"/>
    <w:rsid w:val="00D85C84"/>
    <w:rsid w:val="00D86B85"/>
    <w:rsid w:val="00D87A07"/>
    <w:rsid w:val="00D87F43"/>
    <w:rsid w:val="00D9044F"/>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238"/>
    <w:rsid w:val="00DD58BF"/>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AA8"/>
    <w:rsid w:val="00DF03FB"/>
    <w:rsid w:val="00DF0B37"/>
    <w:rsid w:val="00DF1582"/>
    <w:rsid w:val="00DF24D7"/>
    <w:rsid w:val="00DF26D7"/>
    <w:rsid w:val="00DF275A"/>
    <w:rsid w:val="00DF2B0D"/>
    <w:rsid w:val="00DF3545"/>
    <w:rsid w:val="00DF3B17"/>
    <w:rsid w:val="00DF42CD"/>
    <w:rsid w:val="00DF440D"/>
    <w:rsid w:val="00DF4652"/>
    <w:rsid w:val="00DF4911"/>
    <w:rsid w:val="00DF58DF"/>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664F"/>
    <w:rsid w:val="00E07AAE"/>
    <w:rsid w:val="00E125DC"/>
    <w:rsid w:val="00E12D43"/>
    <w:rsid w:val="00E1308B"/>
    <w:rsid w:val="00E13124"/>
    <w:rsid w:val="00E134EC"/>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632"/>
    <w:rsid w:val="00E25EBC"/>
    <w:rsid w:val="00E2623B"/>
    <w:rsid w:val="00E263D0"/>
    <w:rsid w:val="00E264B3"/>
    <w:rsid w:val="00E26A68"/>
    <w:rsid w:val="00E27DBA"/>
    <w:rsid w:val="00E30323"/>
    <w:rsid w:val="00E33643"/>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DA9"/>
    <w:rsid w:val="00E40FB0"/>
    <w:rsid w:val="00E40FCF"/>
    <w:rsid w:val="00E41634"/>
    <w:rsid w:val="00E4200F"/>
    <w:rsid w:val="00E424F1"/>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BA4"/>
    <w:rsid w:val="00EE0BFB"/>
    <w:rsid w:val="00EE2A51"/>
    <w:rsid w:val="00EE2DD9"/>
    <w:rsid w:val="00EE30C8"/>
    <w:rsid w:val="00EE3893"/>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60370"/>
    <w:rsid w:val="00F60E21"/>
    <w:rsid w:val="00F61E53"/>
    <w:rsid w:val="00F62AAE"/>
    <w:rsid w:val="00F6366B"/>
    <w:rsid w:val="00F63A20"/>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25D3"/>
    <w:rsid w:val="00F826A9"/>
    <w:rsid w:val="00F82B84"/>
    <w:rsid w:val="00F82BC8"/>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D053F"/>
    <w:rsid w:val="00FD0C0B"/>
    <w:rsid w:val="00FD1621"/>
    <w:rsid w:val="00FD1B20"/>
    <w:rsid w:val="00FD30A0"/>
    <w:rsid w:val="00FD3815"/>
    <w:rsid w:val="00FD3FE7"/>
    <w:rsid w:val="00FD6CD6"/>
    <w:rsid w:val="00FD6EA8"/>
    <w:rsid w:val="00FD6EC4"/>
    <w:rsid w:val="00FD7C04"/>
    <w:rsid w:val="00FE257C"/>
    <w:rsid w:val="00FE2768"/>
    <w:rsid w:val="00FE4583"/>
    <w:rsid w:val="00FE4FEF"/>
    <w:rsid w:val="00FE5B1A"/>
    <w:rsid w:val="00FE5CAA"/>
    <w:rsid w:val="00FE5D59"/>
    <w:rsid w:val="00FE7092"/>
    <w:rsid w:val="00FE70FD"/>
    <w:rsid w:val="00FE7232"/>
    <w:rsid w:val="00FE73FC"/>
    <w:rsid w:val="00FE7A41"/>
    <w:rsid w:val="00FF0981"/>
    <w:rsid w:val="00FF0D4F"/>
    <w:rsid w:val="00FF170C"/>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B835A85F-4EA1-46D5-BBCF-3C2B1640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88C53-E3D9-49AC-8D28-CC4CB212E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1135</Words>
  <Characters>6475</Characters>
  <Application>Microsoft Office Word</Application>
  <DocSecurity>0</DocSecurity>
  <Lines>53</Lines>
  <Paragraphs>15</Paragraphs>
  <ScaleCrop>false</ScaleCrop>
  <HeadingPairs>
    <vt:vector size="6" baseType="variant">
      <vt:variant>
        <vt:lpstr>タイトル</vt:lpstr>
      </vt:variant>
      <vt:variant>
        <vt:i4>1</vt:i4>
      </vt:variant>
      <vt:variant>
        <vt:lpstr>見出し</vt:lpstr>
      </vt:variant>
      <vt:variant>
        <vt:i4>7</vt:i4>
      </vt:variant>
      <vt:variant>
        <vt:lpstr>Title</vt:lpstr>
      </vt:variant>
      <vt:variant>
        <vt:i4>1</vt:i4>
      </vt:variant>
    </vt:vector>
  </HeadingPairs>
  <TitlesOfParts>
    <vt:vector size="9" baseType="lpstr">
      <vt:lpstr>3GPP TSG RAN WG1 Meeting</vt:lpstr>
      <vt:lpstr>Introduction</vt:lpstr>
      <vt:lpstr>Non-anchor PRB determination</vt:lpstr>
      <vt:lpstr>    Non-anchor PRBs for in-band operation</vt:lpstr>
      <vt:lpstr>    Anchor/Non-anchor PRBs for guard-band operation</vt:lpstr>
      <vt:lpstr>    Non-anchor PRBs for stand-alone operation</vt:lpstr>
      <vt:lpstr>Conclusion</vt:lpstr>
      <vt:lpstr>References</vt:lpstr>
      <vt:lpstr>3GPP TSG RAN WG1 Meeting</vt:lpstr>
    </vt:vector>
  </TitlesOfParts>
  <Company>Microsoft</Company>
  <LinksUpToDate>false</LinksUpToDate>
  <CharactersWithSpaces>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2016-04-06T04:10:00Z</dcterms:created>
  <dcterms:modified xsi:type="dcterms:W3CDTF">2016-04-06T04:10:00Z</dcterms:modified>
</cp:coreProperties>
</file>