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68953" w14:textId="455673FE" w:rsidR="003A3B23" w:rsidRDefault="0080570A" w:rsidP="003A3B23">
      <w:pPr>
        <w:pStyle w:val="Header"/>
        <w:tabs>
          <w:tab w:val="right" w:pos="8280"/>
          <w:tab w:val="right" w:pos="9781"/>
        </w:tabs>
        <w:ind w:right="-58"/>
        <w:rPr>
          <w:rFonts w:cs="Arial"/>
          <w:noProof w:val="0"/>
          <w:sz w:val="24"/>
        </w:rPr>
      </w:pPr>
      <w:r w:rsidRPr="0080570A">
        <w:rPr>
          <w:rFonts w:cs="Arial"/>
          <w:noProof w:val="0"/>
          <w:sz w:val="24"/>
        </w:rPr>
        <w:t>3GPP TSG RAN WG1 Meeting #84bis</w:t>
      </w:r>
      <w:r w:rsidR="001C5514" w:rsidRPr="00443753">
        <w:rPr>
          <w:rFonts w:cs="Arial"/>
          <w:noProof w:val="0"/>
          <w:sz w:val="24"/>
        </w:rPr>
        <w:tab/>
      </w:r>
      <w:r w:rsidR="001C5514" w:rsidRPr="00443753">
        <w:rPr>
          <w:rFonts w:cs="Arial"/>
          <w:noProof w:val="0"/>
          <w:sz w:val="24"/>
        </w:rPr>
        <w:tab/>
      </w:r>
      <w:r w:rsidR="00EA0559">
        <w:rPr>
          <w:rFonts w:cs="Arial"/>
          <w:noProof w:val="0"/>
          <w:sz w:val="24"/>
        </w:rPr>
        <w:t xml:space="preserve">        </w:t>
      </w:r>
      <w:r w:rsidR="006A5452">
        <w:rPr>
          <w:rFonts w:cs="Arial"/>
          <w:noProof w:val="0"/>
          <w:sz w:val="24"/>
        </w:rPr>
        <w:t>R1-162</w:t>
      </w:r>
      <w:r w:rsidR="00D10FC8">
        <w:rPr>
          <w:rFonts w:cs="Arial"/>
          <w:noProof w:val="0"/>
          <w:sz w:val="24"/>
        </w:rPr>
        <w:t>386</w:t>
      </w:r>
      <w:bookmarkStart w:id="0" w:name="_GoBack"/>
      <w:bookmarkEnd w:id="0"/>
    </w:p>
    <w:p w14:paraId="78AEF583" w14:textId="77777777" w:rsidR="001C5514" w:rsidRPr="00443753" w:rsidRDefault="0080570A" w:rsidP="003A3B23">
      <w:pPr>
        <w:pStyle w:val="Header"/>
        <w:tabs>
          <w:tab w:val="right" w:pos="8280"/>
          <w:tab w:val="right" w:pos="9781"/>
        </w:tabs>
        <w:ind w:right="-58"/>
        <w:rPr>
          <w:rFonts w:cs="Arial"/>
          <w:noProof w:val="0"/>
          <w:sz w:val="24"/>
        </w:rPr>
      </w:pPr>
      <w:r w:rsidRPr="0080570A">
        <w:rPr>
          <w:rFonts w:cs="Arial"/>
          <w:noProof w:val="0"/>
          <w:sz w:val="24"/>
        </w:rPr>
        <w:t>Busan, Korea 11th - 15th April 2016</w:t>
      </w:r>
    </w:p>
    <w:p w14:paraId="6B0DA3EA" w14:textId="77777777" w:rsidR="00553E78" w:rsidRPr="00443753" w:rsidRDefault="00553E78" w:rsidP="00553E78">
      <w:pPr>
        <w:spacing w:after="0"/>
        <w:ind w:left="1988" w:hanging="1988"/>
        <w:jc w:val="both"/>
        <w:rPr>
          <w:rFonts w:ascii="Arial" w:hAnsi="Arial" w:cs="Arial"/>
          <w:b/>
          <w:sz w:val="24"/>
        </w:rPr>
      </w:pPr>
    </w:p>
    <w:p w14:paraId="055643DE"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597658DD" w14:textId="19B1B548" w:rsidR="006A4FBA"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6C7CFA" w:rsidRPr="006C7CFA">
        <w:rPr>
          <w:rFonts w:ascii="Arial" w:hAnsi="Arial" w:cs="Arial"/>
          <w:b/>
          <w:sz w:val="24"/>
        </w:rPr>
        <w:t>Numerology for new radio interface</w:t>
      </w:r>
    </w:p>
    <w:p w14:paraId="2C3BFF7C" w14:textId="77777777" w:rsidR="00553E78" w:rsidRPr="00443753" w:rsidRDefault="006C7CFA" w:rsidP="00553E78">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8.1.5</w:t>
      </w:r>
    </w:p>
    <w:p w14:paraId="14C512CA" w14:textId="77777777" w:rsidR="00553E78" w:rsidRPr="00443753" w:rsidRDefault="00553E78" w:rsidP="00987F73">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00987F73">
        <w:rPr>
          <w:rFonts w:ascii="Arial" w:hAnsi="Arial" w:cs="Arial"/>
          <w:b/>
          <w:sz w:val="24"/>
        </w:rPr>
        <w:tab/>
      </w:r>
      <w:r w:rsidR="00987F73" w:rsidRPr="00443753">
        <w:rPr>
          <w:rFonts w:ascii="Arial" w:hAnsi="Arial" w:cs="Arial"/>
          <w:b/>
          <w:sz w:val="24"/>
        </w:rPr>
        <w:t>Discussion</w:t>
      </w:r>
      <w:r w:rsidR="00987F73" w:rsidRPr="00BC0881">
        <w:rPr>
          <w:rFonts w:ascii="Arial" w:hAnsi="Arial" w:cs="Arial" w:hint="eastAsia"/>
          <w:b/>
          <w:sz w:val="24"/>
        </w:rPr>
        <w:t>/</w:t>
      </w:r>
      <w:r w:rsidR="00987F73" w:rsidRPr="00443753">
        <w:rPr>
          <w:rFonts w:ascii="Arial" w:hAnsi="Arial" w:cs="Arial"/>
          <w:b/>
          <w:sz w:val="24"/>
        </w:rPr>
        <w:t>Decision</w:t>
      </w:r>
    </w:p>
    <w:p w14:paraId="676E8195" w14:textId="77777777" w:rsidR="00DE588B" w:rsidRPr="00443753" w:rsidRDefault="00DE588B" w:rsidP="00DE588B">
      <w:pPr>
        <w:pStyle w:val="Heading1"/>
        <w:textAlignment w:val="auto"/>
        <w:rPr>
          <w:lang w:val="en-US"/>
        </w:rPr>
      </w:pPr>
      <w:bookmarkStart w:id="2" w:name="_Ref440031677"/>
      <w:r w:rsidRPr="00443753">
        <w:rPr>
          <w:lang w:val="en-US"/>
        </w:rPr>
        <w:t>Introduction</w:t>
      </w:r>
      <w:bookmarkEnd w:id="2"/>
    </w:p>
    <w:p w14:paraId="156E25CC" w14:textId="49886A9A" w:rsidR="009D3900" w:rsidRPr="006A5452" w:rsidRDefault="006A5452" w:rsidP="00822F05">
      <w:pPr>
        <w:spacing w:before="240"/>
        <w:jc w:val="both"/>
        <w:rPr>
          <w:rFonts w:ascii="Times New Roman" w:hAnsi="Times New Roman"/>
        </w:rPr>
      </w:pPr>
      <w:r w:rsidRPr="006A5452">
        <w:rPr>
          <w:rFonts w:ascii="Times New Roman" w:hAnsi="Times New Roman"/>
        </w:rPr>
        <w:t>During the 3GPP RAN #71 meeting, a new Study Item “</w:t>
      </w:r>
      <w:r>
        <w:rPr>
          <w:rFonts w:ascii="Times New Roman" w:hAnsi="Times New Roman"/>
        </w:rPr>
        <w:t xml:space="preserve">New SID Proposal: </w:t>
      </w:r>
      <w:r w:rsidRPr="006A5452">
        <w:rPr>
          <w:rFonts w:ascii="Times New Roman" w:hAnsi="Times New Roman"/>
        </w:rPr>
        <w:t xml:space="preserve">Study on new radio access technology” [1] was approved, in order to develop a new RAT which supports a broad range of use cases including enhanced mobile broadband, massive </w:t>
      </w:r>
      <w:r>
        <w:rPr>
          <w:rFonts w:ascii="Times New Roman" w:hAnsi="Times New Roman"/>
        </w:rPr>
        <w:t>machine-type-communications</w:t>
      </w:r>
      <w:r w:rsidRPr="006A5452">
        <w:rPr>
          <w:rFonts w:ascii="Times New Roman" w:hAnsi="Times New Roman"/>
        </w:rPr>
        <w:t xml:space="preserve">, </w:t>
      </w:r>
      <w:r>
        <w:rPr>
          <w:rFonts w:ascii="Times New Roman" w:hAnsi="Times New Roman"/>
        </w:rPr>
        <w:t xml:space="preserve">ultra reliable and low latency communications. The new RAT will consider </w:t>
      </w:r>
      <w:r w:rsidRPr="006A5452">
        <w:rPr>
          <w:rFonts w:ascii="Times New Roman" w:hAnsi="Times New Roman"/>
        </w:rPr>
        <w:t>fr</w:t>
      </w:r>
      <w:r>
        <w:rPr>
          <w:rFonts w:ascii="Times New Roman" w:hAnsi="Times New Roman"/>
        </w:rPr>
        <w:t xml:space="preserve">equency ranges up to 100 GHz. It is proposed that initial work in the study item allocates high priority </w:t>
      </w:r>
      <w:r w:rsidRPr="006A5452">
        <w:rPr>
          <w:rFonts w:ascii="Times New Roman" w:hAnsi="Times New Roman"/>
        </w:rPr>
        <w:t>on gaining a common understanding on what is required in terms of radio protocol structure and architecture</w:t>
      </w:r>
      <w:r>
        <w:rPr>
          <w:rFonts w:ascii="Times New Roman" w:hAnsi="Times New Roman"/>
        </w:rPr>
        <w:t xml:space="preserve">. In this document, we discuss numerology options </w:t>
      </w:r>
      <w:r w:rsidR="00CA3FA4">
        <w:rPr>
          <w:rFonts w:ascii="Times New Roman" w:hAnsi="Times New Roman"/>
        </w:rPr>
        <w:t xml:space="preserve">for OFDM </w:t>
      </w:r>
      <w:r>
        <w:rPr>
          <w:rFonts w:ascii="Times New Roman" w:hAnsi="Times New Roman"/>
        </w:rPr>
        <w:t>for the aforementioned new RAT</w:t>
      </w:r>
      <w:r w:rsidR="00EF4217">
        <w:rPr>
          <w:rFonts w:ascii="Times New Roman" w:hAnsi="Times New Roman"/>
        </w:rPr>
        <w:t xml:space="preserve"> (NR)</w:t>
      </w:r>
      <w:r>
        <w:rPr>
          <w:rFonts w:ascii="Times New Roman" w:hAnsi="Times New Roman"/>
        </w:rPr>
        <w:t xml:space="preserve"> with considerations</w:t>
      </w:r>
      <w:r w:rsidR="007B5F21">
        <w:rPr>
          <w:rFonts w:ascii="Times New Roman" w:hAnsi="Times New Roman"/>
        </w:rPr>
        <w:t xml:space="preserve"> for different applications, use cases and requirements. </w:t>
      </w:r>
      <w:r w:rsidR="00F11D55">
        <w:rPr>
          <w:rFonts w:ascii="Times New Roman" w:hAnsi="Times New Roman"/>
        </w:rPr>
        <w:t>We discuss our views of on frame structure in our companion contribution [2]. Further, we present our views on waveform and multiple access in [3] and [4] respectively.</w:t>
      </w:r>
    </w:p>
    <w:p w14:paraId="3DACAF78" w14:textId="77777777" w:rsidR="00DE3E0E" w:rsidRDefault="00A02D68" w:rsidP="00A02D68">
      <w:pPr>
        <w:pStyle w:val="Heading1"/>
      </w:pPr>
      <w:r w:rsidRPr="00A02D68">
        <w:t>Numerology for new radio interface</w:t>
      </w:r>
    </w:p>
    <w:p w14:paraId="682A0BFA" w14:textId="3EB3240A" w:rsidR="007B5F21" w:rsidRPr="007B5F21" w:rsidRDefault="007B5F21" w:rsidP="00DA0C66">
      <w:pPr>
        <w:jc w:val="both"/>
        <w:rPr>
          <w:rFonts w:ascii="Times New Roman" w:hAnsi="Times New Roman"/>
          <w:lang w:val="en-GB" w:eastAsia="zh-CN"/>
        </w:rPr>
      </w:pPr>
      <w:r>
        <w:rPr>
          <w:rFonts w:ascii="Times New Roman" w:hAnsi="Times New Roman"/>
          <w:lang w:val="en-GB" w:eastAsia="zh-CN"/>
        </w:rPr>
        <w:t xml:space="preserve">OFDM waveforms divide a given channel into narrow subcarriers that are orthogonal to each other and thus do not interfere with each other. </w:t>
      </w:r>
      <w:r w:rsidR="00C13248">
        <w:rPr>
          <w:rFonts w:ascii="Times New Roman" w:hAnsi="Times New Roman"/>
          <w:lang w:val="en-GB" w:eastAsia="zh-CN"/>
        </w:rPr>
        <w:t xml:space="preserve">Typically, OFDM system design </w:t>
      </w:r>
      <w:r w:rsidR="00521846">
        <w:rPr>
          <w:rFonts w:ascii="Times New Roman" w:hAnsi="Times New Roman"/>
          <w:lang w:val="en-GB" w:eastAsia="zh-CN"/>
        </w:rPr>
        <w:t xml:space="preserve">parameters </w:t>
      </w:r>
      <w:r w:rsidR="00DA0C66">
        <w:rPr>
          <w:rFonts w:ascii="Times New Roman" w:hAnsi="Times New Roman"/>
          <w:lang w:val="en-GB" w:eastAsia="zh-CN"/>
        </w:rPr>
        <w:t xml:space="preserve">are derived according to system requirements. The different parameters to be considered are subcarrier spacing, guard time/cyclic prefix and symbol duration, </w:t>
      </w:r>
      <w:r w:rsidR="00E50B75">
        <w:rPr>
          <w:rFonts w:ascii="Times New Roman" w:hAnsi="Times New Roman"/>
          <w:lang w:val="en-GB" w:eastAsia="zh-CN"/>
        </w:rPr>
        <w:t xml:space="preserve">transmission time interval (TTI), </w:t>
      </w:r>
      <w:r w:rsidR="00DA0C66">
        <w:rPr>
          <w:rFonts w:ascii="Times New Roman" w:hAnsi="Times New Roman"/>
          <w:lang w:val="en-GB" w:eastAsia="zh-CN"/>
        </w:rPr>
        <w:t>etc. We discuss each of these in detail next.</w:t>
      </w:r>
    </w:p>
    <w:p w14:paraId="3EFD3A6F" w14:textId="46D81FAD" w:rsidR="00193733" w:rsidRDefault="00DA0C66" w:rsidP="006A5452">
      <w:pPr>
        <w:pStyle w:val="Heading2"/>
      </w:pPr>
      <w:r>
        <w:t>Subcarrier spacing</w:t>
      </w:r>
    </w:p>
    <w:p w14:paraId="277D348D" w14:textId="77777777" w:rsidR="00741E14" w:rsidRDefault="00741E14" w:rsidP="00741E14">
      <w:pPr>
        <w:jc w:val="both"/>
        <w:rPr>
          <w:rFonts w:ascii="Times New Roman" w:hAnsi="Times New Roman"/>
          <w:lang w:val="en-GB" w:eastAsia="x-none"/>
        </w:rPr>
      </w:pPr>
      <w:r>
        <w:rPr>
          <w:rFonts w:ascii="Times New Roman" w:hAnsi="Times New Roman"/>
          <w:lang w:val="en-GB" w:eastAsia="x-none"/>
        </w:rPr>
        <w:t xml:space="preserve">Subcarrier spacing is a very important parameter for system design. A smaller subcarrier spacing leads to larger symbol duration and lower CP overhead, whereas a higher subcarrier spacing leads to smaller symbol durations, but larger overheads from CP if the target cell radius is large. The choice of subcarrier spacing is also closely tied to the operating frequency in consideration. </w:t>
      </w:r>
    </w:p>
    <w:p w14:paraId="158FC07C" w14:textId="7D1008DD" w:rsidR="00DA0C66" w:rsidRDefault="00741E14" w:rsidP="00741E14">
      <w:pPr>
        <w:jc w:val="both"/>
        <w:rPr>
          <w:rFonts w:ascii="Times New Roman" w:hAnsi="Times New Roman"/>
          <w:lang w:val="en-GB" w:eastAsia="x-none"/>
        </w:rPr>
      </w:pPr>
      <w:r w:rsidRPr="00741E14">
        <w:rPr>
          <w:rFonts w:ascii="Times New Roman" w:hAnsi="Times New Roman"/>
          <w:lang w:val="en-GB" w:eastAsia="x-none"/>
        </w:rPr>
        <w:t xml:space="preserve">For </w:t>
      </w:r>
      <w:r>
        <w:rPr>
          <w:rFonts w:ascii="Times New Roman" w:hAnsi="Times New Roman"/>
          <w:lang w:val="en-GB" w:eastAsia="x-none"/>
        </w:rPr>
        <w:t>operating frequencies less than</w:t>
      </w:r>
      <w:r w:rsidRPr="00741E14">
        <w:rPr>
          <w:rFonts w:ascii="Times New Roman" w:hAnsi="Times New Roman"/>
          <w:lang w:val="en-GB" w:eastAsia="x-none"/>
        </w:rPr>
        <w:t xml:space="preserve"> 6 GHz, </w:t>
      </w:r>
      <w:r w:rsidR="005E3939">
        <w:rPr>
          <w:rFonts w:ascii="Times New Roman" w:hAnsi="Times New Roman"/>
          <w:lang w:val="en-GB" w:eastAsia="x-none"/>
        </w:rPr>
        <w:t>re-</w:t>
      </w:r>
      <w:r>
        <w:rPr>
          <w:rFonts w:ascii="Times New Roman" w:hAnsi="Times New Roman"/>
          <w:lang w:val="en-GB" w:eastAsia="x-none"/>
        </w:rPr>
        <w:t>use of 15 kHz allows the benefits of supporting large cell sizes like in current LTE with low CP overheads, while also re-using a lot of the LTE frame structure and desig</w:t>
      </w:r>
      <w:r w:rsidR="005E3939">
        <w:rPr>
          <w:rFonts w:ascii="Times New Roman" w:hAnsi="Times New Roman"/>
          <w:lang w:val="en-GB" w:eastAsia="x-none"/>
        </w:rPr>
        <w:t>ns.</w:t>
      </w:r>
      <w:r w:rsidRPr="00741E14">
        <w:rPr>
          <w:rFonts w:ascii="Times New Roman" w:hAnsi="Times New Roman"/>
          <w:lang w:val="en-GB" w:eastAsia="x-none"/>
        </w:rPr>
        <w:t xml:space="preserve"> </w:t>
      </w:r>
      <w:r w:rsidR="00160500">
        <w:rPr>
          <w:rFonts w:ascii="Times New Roman" w:hAnsi="Times New Roman"/>
          <w:lang w:val="en-GB" w:eastAsia="x-none"/>
        </w:rPr>
        <w:t>It would also be a good option for designing long</w:t>
      </w:r>
      <w:r w:rsidR="00AE6E58">
        <w:rPr>
          <w:rFonts w:ascii="Times New Roman" w:hAnsi="Times New Roman"/>
          <w:lang w:val="en-GB" w:eastAsia="x-none"/>
        </w:rPr>
        <w:t xml:space="preserve"> range systems for massive MTC. </w:t>
      </w:r>
      <w:r w:rsidR="005E3939">
        <w:rPr>
          <w:rFonts w:ascii="Times New Roman" w:hAnsi="Times New Roman"/>
          <w:lang w:val="en-GB" w:eastAsia="x-none"/>
        </w:rPr>
        <w:t xml:space="preserve">Another option for subcarrier spacing is </w:t>
      </w:r>
      <w:r w:rsidR="00900D4A">
        <w:rPr>
          <w:rFonts w:ascii="Times New Roman" w:hAnsi="Times New Roman"/>
          <w:lang w:val="en-GB" w:eastAsia="x-none"/>
        </w:rPr>
        <w:t xml:space="preserve">considering higher subcarrier spacing (e.g., </w:t>
      </w:r>
      <w:r w:rsidR="005E3939">
        <w:rPr>
          <w:rFonts w:ascii="Times New Roman" w:hAnsi="Times New Roman"/>
          <w:lang w:val="en-GB" w:eastAsia="x-none"/>
        </w:rPr>
        <w:t>75 kHz</w:t>
      </w:r>
      <w:r w:rsidR="00900D4A">
        <w:rPr>
          <w:rFonts w:ascii="Times New Roman" w:hAnsi="Times New Roman"/>
          <w:lang w:val="en-GB" w:eastAsia="x-none"/>
        </w:rPr>
        <w:t>)</w:t>
      </w:r>
      <w:r w:rsidR="005E3939">
        <w:rPr>
          <w:rFonts w:ascii="Times New Roman" w:hAnsi="Times New Roman"/>
          <w:lang w:val="en-GB" w:eastAsia="x-none"/>
        </w:rPr>
        <w:t xml:space="preserve">. </w:t>
      </w:r>
      <w:r w:rsidR="00160500">
        <w:rPr>
          <w:rFonts w:ascii="Times New Roman" w:hAnsi="Times New Roman"/>
          <w:lang w:val="en-GB" w:eastAsia="x-none"/>
        </w:rPr>
        <w:t xml:space="preserve">However, support of </w:t>
      </w:r>
      <w:r w:rsidRPr="00741E14">
        <w:rPr>
          <w:rFonts w:ascii="Times New Roman" w:hAnsi="Times New Roman"/>
          <w:lang w:val="en-GB" w:eastAsia="x-none"/>
        </w:rPr>
        <w:t>large cell sizes can be an issue because of larger delay spread</w:t>
      </w:r>
      <w:r w:rsidR="00160500">
        <w:rPr>
          <w:rFonts w:ascii="Times New Roman" w:hAnsi="Times New Roman"/>
          <w:lang w:val="en-GB" w:eastAsia="x-none"/>
        </w:rPr>
        <w:t xml:space="preserve"> requirements resulting in longer CP durations and thus, higher overheads</w:t>
      </w:r>
      <w:r w:rsidRPr="00741E14">
        <w:rPr>
          <w:rFonts w:ascii="Times New Roman" w:hAnsi="Times New Roman"/>
          <w:lang w:val="en-GB" w:eastAsia="x-none"/>
        </w:rPr>
        <w:t>.</w:t>
      </w:r>
      <w:r w:rsidR="00160500">
        <w:rPr>
          <w:rFonts w:ascii="Times New Roman" w:hAnsi="Times New Roman"/>
          <w:lang w:val="en-GB" w:eastAsia="x-none"/>
        </w:rPr>
        <w:t xml:space="preserve"> If designing systems for small cells, </w:t>
      </w:r>
      <w:r w:rsidR="00F96AA9">
        <w:rPr>
          <w:rFonts w:ascii="Times New Roman" w:hAnsi="Times New Roman"/>
          <w:lang w:val="en-GB" w:eastAsia="x-none"/>
        </w:rPr>
        <w:t xml:space="preserve">use of </w:t>
      </w:r>
      <w:r w:rsidR="00160500">
        <w:rPr>
          <w:rFonts w:ascii="Times New Roman" w:hAnsi="Times New Roman"/>
          <w:lang w:val="en-GB" w:eastAsia="x-none"/>
        </w:rPr>
        <w:t>75 kHz su</w:t>
      </w:r>
      <w:r w:rsidR="00F96AA9">
        <w:rPr>
          <w:rFonts w:ascii="Times New Roman" w:hAnsi="Times New Roman"/>
          <w:lang w:val="en-GB" w:eastAsia="x-none"/>
        </w:rPr>
        <w:t>bcarrier spacing can provide certain benefits like tolerance to higher Doppler spreads and carrier frequency offsets (CFO)</w:t>
      </w:r>
      <w:r w:rsidR="00160500">
        <w:rPr>
          <w:rFonts w:ascii="Times New Roman" w:hAnsi="Times New Roman"/>
          <w:lang w:val="en-GB" w:eastAsia="x-none"/>
        </w:rPr>
        <w:t xml:space="preserve">. Moreover, </w:t>
      </w:r>
      <w:r w:rsidR="00504D04">
        <w:rPr>
          <w:rFonts w:ascii="Times New Roman" w:hAnsi="Times New Roman"/>
          <w:lang w:val="en-GB" w:eastAsia="x-none"/>
        </w:rPr>
        <w:t>for high speed UEs</w:t>
      </w:r>
      <w:r w:rsidR="00160500">
        <w:rPr>
          <w:rFonts w:ascii="Times New Roman" w:hAnsi="Times New Roman"/>
          <w:lang w:val="en-GB" w:eastAsia="x-none"/>
        </w:rPr>
        <w:t>, the UEs experience higher Doppler spread leading to higher inter carrier interference (ICI)</w:t>
      </w:r>
      <w:r w:rsidR="00F857F7">
        <w:rPr>
          <w:rFonts w:ascii="Times New Roman" w:hAnsi="Times New Roman"/>
          <w:lang w:val="en-GB" w:eastAsia="x-none"/>
        </w:rPr>
        <w:t xml:space="preserve"> when smaller subcarrier spacing are used.</w:t>
      </w:r>
      <w:r w:rsidR="00160500">
        <w:rPr>
          <w:rFonts w:ascii="Times New Roman" w:hAnsi="Times New Roman"/>
          <w:lang w:val="en-GB" w:eastAsia="x-none"/>
        </w:rPr>
        <w:t xml:space="preserve"> </w:t>
      </w:r>
      <w:r w:rsidR="00F857F7">
        <w:rPr>
          <w:rFonts w:ascii="Times New Roman" w:hAnsi="Times New Roman"/>
          <w:lang w:val="en-GB" w:eastAsia="x-none"/>
        </w:rPr>
        <w:t xml:space="preserve">Use of 75 kHz </w:t>
      </w:r>
      <w:r w:rsidR="008C3DCD">
        <w:rPr>
          <w:rFonts w:ascii="Times New Roman" w:hAnsi="Times New Roman"/>
          <w:lang w:val="en-GB" w:eastAsia="x-none"/>
        </w:rPr>
        <w:t xml:space="preserve">might also be favourable for unlicensed operation for better time granularity for </w:t>
      </w:r>
      <w:r w:rsidR="00D3174D">
        <w:rPr>
          <w:rFonts w:ascii="Times New Roman" w:hAnsi="Times New Roman"/>
          <w:lang w:val="en-GB" w:eastAsia="x-none"/>
        </w:rPr>
        <w:t>shorter</w:t>
      </w:r>
      <w:r w:rsidR="008C3DCD">
        <w:rPr>
          <w:rFonts w:ascii="Times New Roman" w:hAnsi="Times New Roman"/>
          <w:lang w:val="en-GB" w:eastAsia="x-none"/>
        </w:rPr>
        <w:t xml:space="preserve"> Clear Channel Assessment (CCA) duration.</w:t>
      </w:r>
      <w:r w:rsidR="00160500">
        <w:rPr>
          <w:rFonts w:ascii="Times New Roman" w:hAnsi="Times New Roman"/>
          <w:lang w:val="en-GB" w:eastAsia="x-none"/>
        </w:rPr>
        <w:t xml:space="preserve"> </w:t>
      </w:r>
    </w:p>
    <w:p w14:paraId="075FE4DE" w14:textId="1F93F6C9" w:rsidR="00442258" w:rsidRDefault="00D3174D" w:rsidP="00741E14">
      <w:pPr>
        <w:jc w:val="both"/>
        <w:rPr>
          <w:rFonts w:ascii="Times New Roman" w:hAnsi="Times New Roman"/>
          <w:lang w:val="en-GB" w:eastAsia="x-none"/>
        </w:rPr>
      </w:pPr>
      <w:r>
        <w:rPr>
          <w:rFonts w:ascii="Times New Roman" w:hAnsi="Times New Roman"/>
          <w:lang w:val="en-GB" w:eastAsia="x-none"/>
        </w:rPr>
        <w:t xml:space="preserve">For operating frequencies in </w:t>
      </w:r>
      <w:r w:rsidR="00FB5A06">
        <w:rPr>
          <w:rFonts w:ascii="Times New Roman" w:hAnsi="Times New Roman"/>
          <w:lang w:val="en-GB" w:eastAsia="x-none"/>
        </w:rPr>
        <w:t>low-to-mid</w:t>
      </w:r>
      <w:r>
        <w:rPr>
          <w:rFonts w:ascii="Times New Roman" w:hAnsi="Times New Roman"/>
          <w:lang w:val="en-GB" w:eastAsia="x-none"/>
        </w:rPr>
        <w:t xml:space="preserve"> bands (for e.g., &gt; 6 GHz and &lt; </w:t>
      </w:r>
      <w:r w:rsidR="003461AC">
        <w:rPr>
          <w:rFonts w:ascii="Times New Roman" w:hAnsi="Times New Roman"/>
          <w:lang w:val="en-GB" w:eastAsia="x-none"/>
        </w:rPr>
        <w:t xml:space="preserve">40 </w:t>
      </w:r>
      <w:r>
        <w:rPr>
          <w:rFonts w:ascii="Times New Roman" w:hAnsi="Times New Roman"/>
          <w:lang w:val="en-GB" w:eastAsia="x-none"/>
        </w:rPr>
        <w:t xml:space="preserve">GHz), a higher subcarrier spacing like 75 kHz is preferred because of frequency drift and phase noise considerations. Usually, </w:t>
      </w:r>
      <w:r w:rsidRPr="00D3174D">
        <w:rPr>
          <w:rFonts w:ascii="Times New Roman" w:hAnsi="Times New Roman"/>
          <w:lang w:val="en-GB" w:eastAsia="x-none"/>
        </w:rPr>
        <w:t>frequen</w:t>
      </w:r>
      <w:r w:rsidR="00AE6E58">
        <w:rPr>
          <w:rFonts w:ascii="Times New Roman" w:hAnsi="Times New Roman"/>
          <w:lang w:val="en-GB" w:eastAsia="x-none"/>
        </w:rPr>
        <w:t>cy drift (like Doppler spread</w:t>
      </w:r>
      <w:r w:rsidRPr="00D3174D">
        <w:rPr>
          <w:rFonts w:ascii="Times New Roman" w:hAnsi="Times New Roman"/>
          <w:lang w:val="en-GB" w:eastAsia="x-none"/>
        </w:rPr>
        <w:t xml:space="preserve"> or drift due to local oscillator) </w:t>
      </w:r>
      <w:r w:rsidR="00AE6E58">
        <w:rPr>
          <w:rFonts w:ascii="Times New Roman" w:hAnsi="Times New Roman"/>
          <w:lang w:val="en-GB" w:eastAsia="x-none"/>
        </w:rPr>
        <w:t>is directly proportional</w:t>
      </w:r>
      <w:r w:rsidRPr="00D3174D">
        <w:rPr>
          <w:rFonts w:ascii="Times New Roman" w:hAnsi="Times New Roman"/>
          <w:lang w:val="en-GB" w:eastAsia="x-none"/>
        </w:rPr>
        <w:t xml:space="preserve"> to operating frequency.</w:t>
      </w:r>
      <w:r w:rsidR="00442258">
        <w:rPr>
          <w:rFonts w:ascii="Times New Roman" w:hAnsi="Times New Roman"/>
          <w:lang w:val="en-GB" w:eastAsia="x-none"/>
        </w:rPr>
        <w:t xml:space="preserve"> Additionally, higher </w:t>
      </w:r>
      <w:r w:rsidR="00442258">
        <w:rPr>
          <w:rFonts w:ascii="Times New Roman" w:hAnsi="Times New Roman"/>
          <w:lang w:val="en-GB" w:eastAsia="x-none"/>
        </w:rPr>
        <w:lastRenderedPageBreak/>
        <w:t>frequency bands suffer from higher phase noise</w:t>
      </w:r>
      <w:r w:rsidR="003461AC">
        <w:rPr>
          <w:rFonts w:ascii="Times New Roman" w:hAnsi="Times New Roman"/>
          <w:lang w:val="en-GB" w:eastAsia="x-none"/>
        </w:rPr>
        <w:t xml:space="preserve"> in proportion to carrier frequency</w:t>
      </w:r>
      <w:r w:rsidR="00442258">
        <w:rPr>
          <w:rFonts w:ascii="Times New Roman" w:hAnsi="Times New Roman"/>
          <w:lang w:val="en-GB" w:eastAsia="x-none"/>
        </w:rPr>
        <w:t xml:space="preserve">. </w:t>
      </w:r>
      <w:r w:rsidR="00F96AA9">
        <w:rPr>
          <w:rFonts w:ascii="Times New Roman" w:hAnsi="Times New Roman"/>
          <w:lang w:val="en-GB" w:eastAsia="x-none"/>
        </w:rPr>
        <w:t xml:space="preserve">In general, the phase noise power increases with increasing carrier frequency. </w:t>
      </w:r>
      <w:r w:rsidR="00442258">
        <w:rPr>
          <w:rFonts w:ascii="Times New Roman" w:hAnsi="Times New Roman"/>
          <w:lang w:val="en-GB" w:eastAsia="x-none"/>
        </w:rPr>
        <w:t xml:space="preserve">Phase noise </w:t>
      </w:r>
      <w:r w:rsidR="003461AC">
        <w:rPr>
          <w:rFonts w:ascii="Times New Roman" w:hAnsi="Times New Roman"/>
          <w:lang w:val="en-GB" w:eastAsia="x-none"/>
        </w:rPr>
        <w:t>can be</w:t>
      </w:r>
      <w:r w:rsidR="00442258">
        <w:rPr>
          <w:rFonts w:ascii="Times New Roman" w:hAnsi="Times New Roman"/>
          <w:lang w:val="en-GB" w:eastAsia="x-none"/>
        </w:rPr>
        <w:t xml:space="preserve"> modelled with three parameters: 3dB bandwidth, RMS power at the plateau</w:t>
      </w:r>
      <w:r w:rsidR="003461AC">
        <w:rPr>
          <w:rFonts w:ascii="Times New Roman" w:hAnsi="Times New Roman"/>
          <w:lang w:val="en-GB" w:eastAsia="x-none"/>
        </w:rPr>
        <w:t>,</w:t>
      </w:r>
      <w:r w:rsidR="00442258">
        <w:rPr>
          <w:rFonts w:ascii="Times New Roman" w:hAnsi="Times New Roman"/>
          <w:lang w:val="en-GB" w:eastAsia="x-none"/>
        </w:rPr>
        <w:t xml:space="preserve"> and floor power (which represents how fast phase noise goes down after the 3dB bandwidth). </w:t>
      </w:r>
      <w:r w:rsidR="00442258" w:rsidRPr="00442258">
        <w:rPr>
          <w:rFonts w:ascii="Times New Roman" w:hAnsi="Times New Roman"/>
          <w:lang w:val="en-GB" w:eastAsia="x-none"/>
        </w:rPr>
        <w:t xml:space="preserve">Wider subcarrier spacing </w:t>
      </w:r>
      <w:r w:rsidR="003461AC">
        <w:rPr>
          <w:rFonts w:ascii="Times New Roman" w:hAnsi="Times New Roman"/>
          <w:lang w:val="en-GB" w:eastAsia="x-none"/>
        </w:rPr>
        <w:t>helps</w:t>
      </w:r>
      <w:r w:rsidR="00442258">
        <w:rPr>
          <w:rFonts w:ascii="Times New Roman" w:hAnsi="Times New Roman"/>
          <w:lang w:val="en-GB" w:eastAsia="x-none"/>
        </w:rPr>
        <w:t xml:space="preserve"> to achieve reasonable SNR. </w:t>
      </w:r>
      <w:r w:rsidR="001A5A3A">
        <w:rPr>
          <w:rFonts w:ascii="Times New Roman" w:hAnsi="Times New Roman"/>
          <w:lang w:val="en-GB" w:eastAsia="x-none"/>
        </w:rPr>
        <w:t>A good summary of phase noise impact can be found in [</w:t>
      </w:r>
      <w:r w:rsidR="004D3C12">
        <w:rPr>
          <w:rFonts w:ascii="Times New Roman" w:hAnsi="Times New Roman"/>
          <w:lang w:val="en-GB" w:eastAsia="x-none"/>
        </w:rPr>
        <w:t>5</w:t>
      </w:r>
      <w:r w:rsidR="001A5A3A">
        <w:rPr>
          <w:rFonts w:ascii="Times New Roman" w:hAnsi="Times New Roman"/>
          <w:lang w:val="en-GB" w:eastAsia="x-none"/>
        </w:rPr>
        <w:t xml:space="preserve">]. </w:t>
      </w:r>
      <w:r w:rsidR="00442258">
        <w:rPr>
          <w:rFonts w:ascii="Times New Roman" w:hAnsi="Times New Roman"/>
          <w:lang w:val="en-GB" w:eastAsia="x-none"/>
        </w:rPr>
        <w:t>A specific oscillator ope</w:t>
      </w:r>
      <w:r w:rsidR="001A5A3A">
        <w:rPr>
          <w:rFonts w:ascii="Times New Roman" w:hAnsi="Times New Roman"/>
          <w:lang w:val="en-GB" w:eastAsia="x-none"/>
        </w:rPr>
        <w:t>rating at 5.7 GHz is shown in [</w:t>
      </w:r>
      <w:r w:rsidR="00805529">
        <w:rPr>
          <w:rFonts w:ascii="Times New Roman" w:hAnsi="Times New Roman"/>
          <w:lang w:val="en-GB" w:eastAsia="x-none"/>
        </w:rPr>
        <w:t>6</w:t>
      </w:r>
      <w:r w:rsidR="00442258">
        <w:rPr>
          <w:rFonts w:ascii="Times New Roman" w:hAnsi="Times New Roman"/>
          <w:lang w:val="en-GB" w:eastAsia="x-none"/>
        </w:rPr>
        <w:t xml:space="preserve">]. </w:t>
      </w:r>
      <w:r w:rsidR="00F96AA9" w:rsidRPr="00442258">
        <w:rPr>
          <w:rFonts w:ascii="Times New Roman" w:hAnsi="Times New Roman"/>
          <w:lang w:val="en-GB" w:eastAsia="x-none"/>
        </w:rPr>
        <w:t>With every doubling of carrier frequency</w:t>
      </w:r>
      <w:r w:rsidR="002A20B4">
        <w:rPr>
          <w:rFonts w:ascii="Times New Roman" w:hAnsi="Times New Roman"/>
          <w:lang w:val="en-GB" w:eastAsia="x-none"/>
        </w:rPr>
        <w:t xml:space="preserve"> in a crystal</w:t>
      </w:r>
      <w:r w:rsidR="00F96AA9" w:rsidRPr="00442258">
        <w:rPr>
          <w:rFonts w:ascii="Times New Roman" w:hAnsi="Times New Roman"/>
          <w:lang w:val="en-GB" w:eastAsia="x-none"/>
        </w:rPr>
        <w:t xml:space="preserve">, the phase noise power </w:t>
      </w:r>
      <w:r w:rsidR="002A20B4">
        <w:rPr>
          <w:rFonts w:ascii="Times New Roman" w:hAnsi="Times New Roman"/>
          <w:lang w:val="en-GB" w:eastAsia="x-none"/>
        </w:rPr>
        <w:t xml:space="preserve">can </w:t>
      </w:r>
      <w:r w:rsidR="00F96AA9" w:rsidRPr="00442258">
        <w:rPr>
          <w:rFonts w:ascii="Times New Roman" w:hAnsi="Times New Roman"/>
          <w:lang w:val="en-GB" w:eastAsia="x-none"/>
        </w:rPr>
        <w:t>increase by 6dB.</w:t>
      </w:r>
      <w:r w:rsidR="00F96AA9">
        <w:rPr>
          <w:rFonts w:ascii="Times New Roman" w:hAnsi="Times New Roman"/>
          <w:lang w:val="en-GB" w:eastAsia="x-none"/>
        </w:rPr>
        <w:t xml:space="preserve"> </w:t>
      </w:r>
      <w:r w:rsidR="00442258" w:rsidRPr="00442258">
        <w:rPr>
          <w:rFonts w:ascii="Times New Roman" w:hAnsi="Times New Roman"/>
          <w:lang w:val="en-GB" w:eastAsia="x-none"/>
        </w:rPr>
        <w:t xml:space="preserve">Using this </w:t>
      </w:r>
      <w:r w:rsidR="002A17ED">
        <w:rPr>
          <w:rFonts w:ascii="Times New Roman" w:hAnsi="Times New Roman"/>
          <w:lang w:val="en-GB" w:eastAsia="x-none"/>
        </w:rPr>
        <w:t xml:space="preserve">phase noise power scaling </w:t>
      </w:r>
      <w:r w:rsidR="00874392">
        <w:rPr>
          <w:rFonts w:ascii="Times New Roman" w:hAnsi="Times New Roman"/>
          <w:lang w:val="en-GB" w:eastAsia="x-none"/>
        </w:rPr>
        <w:t>scaling</w:t>
      </w:r>
      <w:r w:rsidR="002A20B4">
        <w:rPr>
          <w:rFonts w:ascii="Times New Roman" w:hAnsi="Times New Roman"/>
          <w:lang w:val="en-GB" w:eastAsia="x-none"/>
        </w:rPr>
        <w:t xml:space="preserve"> </w:t>
      </w:r>
      <w:r w:rsidR="00442258" w:rsidRPr="00442258">
        <w:rPr>
          <w:rFonts w:ascii="Times New Roman" w:hAnsi="Times New Roman"/>
          <w:lang w:val="en-GB" w:eastAsia="x-none"/>
        </w:rPr>
        <w:t xml:space="preserve">as an example, </w:t>
      </w:r>
      <w:r w:rsidR="00F96AA9">
        <w:rPr>
          <w:rFonts w:ascii="Times New Roman" w:hAnsi="Times New Roman"/>
          <w:lang w:val="en-GB" w:eastAsia="x-none"/>
        </w:rPr>
        <w:t>the power spectral density (P</w:t>
      </w:r>
      <w:r w:rsidR="00442258" w:rsidRPr="00442258">
        <w:rPr>
          <w:rFonts w:ascii="Times New Roman" w:hAnsi="Times New Roman"/>
          <w:lang w:val="en-GB" w:eastAsia="x-none"/>
        </w:rPr>
        <w:t>SD</w:t>
      </w:r>
      <w:r w:rsidR="00F96AA9">
        <w:rPr>
          <w:rFonts w:ascii="Times New Roman" w:hAnsi="Times New Roman"/>
          <w:lang w:val="en-GB" w:eastAsia="x-none"/>
        </w:rPr>
        <w:t>)</w:t>
      </w:r>
      <w:r w:rsidR="00442258" w:rsidRPr="00442258">
        <w:rPr>
          <w:rFonts w:ascii="Times New Roman" w:hAnsi="Times New Roman"/>
          <w:lang w:val="en-GB" w:eastAsia="x-none"/>
        </w:rPr>
        <w:t xml:space="preserve"> of the oscillator phase noise at 22.8GHz and 45.6GHz </w:t>
      </w:r>
      <w:r w:rsidR="002A17ED">
        <w:rPr>
          <w:rFonts w:ascii="Times New Roman" w:hAnsi="Times New Roman"/>
          <w:lang w:val="en-GB" w:eastAsia="x-none"/>
        </w:rPr>
        <w:t>are derived</w:t>
      </w:r>
      <w:r w:rsidR="00F96AA9">
        <w:rPr>
          <w:rFonts w:ascii="Times New Roman" w:hAnsi="Times New Roman"/>
          <w:lang w:val="en-GB" w:eastAsia="x-none"/>
        </w:rPr>
        <w:t xml:space="preserve">. The phase noise PSDs are shown in Fig. 1. The ICI induced SNR as a function of the </w:t>
      </w:r>
      <w:r w:rsidR="00442258" w:rsidRPr="00442258">
        <w:rPr>
          <w:rFonts w:ascii="Times New Roman" w:hAnsi="Times New Roman"/>
          <w:lang w:val="en-GB" w:eastAsia="x-none"/>
        </w:rPr>
        <w:t>subc</w:t>
      </w:r>
      <w:r w:rsidR="00F96AA9">
        <w:rPr>
          <w:rFonts w:ascii="Times New Roman" w:hAnsi="Times New Roman"/>
          <w:lang w:val="en-GB" w:eastAsia="x-none"/>
        </w:rPr>
        <w:t>arrier spacing is shown in Fig. 2</w:t>
      </w:r>
      <w:r w:rsidR="00442258" w:rsidRPr="00442258">
        <w:rPr>
          <w:rFonts w:ascii="Times New Roman" w:hAnsi="Times New Roman"/>
          <w:lang w:val="en-GB" w:eastAsia="x-none"/>
        </w:rPr>
        <w:t>.</w:t>
      </w:r>
    </w:p>
    <w:p w14:paraId="2D628FDE" w14:textId="3BE86F02" w:rsidR="00F96AA9" w:rsidRDefault="001404B1" w:rsidP="00F96AA9">
      <w:pPr>
        <w:jc w:val="center"/>
        <w:rPr>
          <w:noProof/>
        </w:rPr>
      </w:pPr>
      <w:r>
        <w:rPr>
          <w:noProof/>
        </w:rPr>
        <w:drawing>
          <wp:inline distT="0" distB="0" distL="0" distR="0" wp14:anchorId="74B2D327" wp14:editId="70565ADB">
            <wp:extent cx="5332095" cy="400177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4C60DD3B" w14:textId="30B3EC39" w:rsidR="00F96AA9" w:rsidRDefault="00F96AA9" w:rsidP="00F96AA9">
      <w:pPr>
        <w:jc w:val="center"/>
        <w:rPr>
          <w:rFonts w:ascii="Times New Roman" w:hAnsi="Times New Roman"/>
          <w:lang w:val="en-GB" w:eastAsia="x-none"/>
        </w:rPr>
      </w:pPr>
      <w:r>
        <w:rPr>
          <w:rFonts w:ascii="Times New Roman" w:hAnsi="Times New Roman"/>
          <w:lang w:val="en-GB" w:eastAsia="x-none"/>
        </w:rPr>
        <w:t>Fig. 1</w:t>
      </w:r>
      <w:r w:rsidRPr="00F96AA9">
        <w:rPr>
          <w:rFonts w:ascii="Times New Roman" w:hAnsi="Times New Roman"/>
          <w:lang w:val="en-GB" w:eastAsia="x-none"/>
        </w:rPr>
        <w:t xml:space="preserve">.  An example of </w:t>
      </w:r>
      <w:r>
        <w:rPr>
          <w:rFonts w:ascii="Times New Roman" w:hAnsi="Times New Roman"/>
          <w:lang w:val="en-GB" w:eastAsia="x-none"/>
        </w:rPr>
        <w:t>PSD scaling as a function of carrier frequency</w:t>
      </w:r>
    </w:p>
    <w:p w14:paraId="017A0820" w14:textId="4589B442" w:rsidR="00F96AA9" w:rsidRDefault="001404B1" w:rsidP="00F96AA9">
      <w:pPr>
        <w:jc w:val="center"/>
        <w:rPr>
          <w:rFonts w:ascii="Times New Roman" w:hAnsi="Times New Roman"/>
          <w:lang w:val="en-GB" w:eastAsia="x-none"/>
        </w:rPr>
      </w:pPr>
      <w:r>
        <w:rPr>
          <w:noProof/>
        </w:rPr>
        <w:lastRenderedPageBreak/>
        <w:drawing>
          <wp:inline distT="0" distB="0" distL="0" distR="0" wp14:anchorId="25B5B511" wp14:editId="577884C1">
            <wp:extent cx="5332095" cy="400177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74DE2BAE" w14:textId="0A3EB497" w:rsidR="00F96AA9" w:rsidRDefault="00F96AA9" w:rsidP="00F96AA9">
      <w:pPr>
        <w:jc w:val="center"/>
        <w:rPr>
          <w:rFonts w:ascii="Times New Roman" w:hAnsi="Times New Roman"/>
          <w:lang w:val="en-GB" w:eastAsia="x-none"/>
        </w:rPr>
      </w:pPr>
      <w:r w:rsidRPr="00F96AA9">
        <w:rPr>
          <w:rFonts w:ascii="Times New Roman" w:hAnsi="Times New Roman"/>
          <w:lang w:val="en-GB" w:eastAsia="x-none"/>
        </w:rPr>
        <w:t>Fig.</w:t>
      </w:r>
      <w:r>
        <w:rPr>
          <w:rFonts w:ascii="Times New Roman" w:hAnsi="Times New Roman"/>
          <w:lang w:val="en-GB" w:eastAsia="x-none"/>
        </w:rPr>
        <w:t xml:space="preserve"> 2</w:t>
      </w:r>
      <w:r w:rsidRPr="00F96AA9">
        <w:rPr>
          <w:rFonts w:ascii="Times New Roman" w:hAnsi="Times New Roman"/>
          <w:lang w:val="en-GB" w:eastAsia="x-none"/>
        </w:rPr>
        <w:t>: An example of ICI induced SNR versus subcarrier spacin</w:t>
      </w:r>
      <w:r>
        <w:rPr>
          <w:rFonts w:ascii="Times New Roman" w:hAnsi="Times New Roman"/>
          <w:lang w:val="en-GB" w:eastAsia="x-none"/>
        </w:rPr>
        <w:t>g at different operating frequencies</w:t>
      </w:r>
    </w:p>
    <w:p w14:paraId="257B62CC" w14:textId="4FE44F83" w:rsidR="00D3174D" w:rsidRDefault="00AE6E58" w:rsidP="00741E14">
      <w:pPr>
        <w:jc w:val="both"/>
        <w:rPr>
          <w:rFonts w:ascii="Times New Roman" w:hAnsi="Times New Roman"/>
          <w:lang w:val="en-GB" w:eastAsia="x-none"/>
        </w:rPr>
      </w:pPr>
      <w:r>
        <w:rPr>
          <w:rFonts w:ascii="Times New Roman" w:hAnsi="Times New Roman"/>
          <w:lang w:val="en-GB" w:eastAsia="x-none"/>
        </w:rPr>
        <w:t>Therefore, for robustness to these frequency drift impairments, a higher subcarrier spacing than in LTE is preferred</w:t>
      </w:r>
      <w:r w:rsidR="00D3174D" w:rsidRPr="00D3174D">
        <w:rPr>
          <w:rFonts w:ascii="Times New Roman" w:hAnsi="Times New Roman"/>
          <w:lang w:val="en-GB" w:eastAsia="x-none"/>
        </w:rPr>
        <w:t xml:space="preserve">. </w:t>
      </w:r>
    </w:p>
    <w:p w14:paraId="4F947F50" w14:textId="026525B8" w:rsidR="00A55861" w:rsidRPr="009F5402" w:rsidRDefault="00A55861" w:rsidP="00741E14">
      <w:pPr>
        <w:jc w:val="both"/>
        <w:rPr>
          <w:rFonts w:ascii="Times New Roman" w:hAnsi="Times New Roman"/>
          <w:b/>
          <w:i/>
          <w:lang w:val="en-GB" w:eastAsia="x-none"/>
        </w:rPr>
      </w:pPr>
      <w:r w:rsidRPr="009F5402">
        <w:rPr>
          <w:rFonts w:ascii="Times New Roman" w:hAnsi="Times New Roman"/>
          <w:b/>
          <w:i/>
          <w:lang w:val="en-GB" w:eastAsia="x-none"/>
        </w:rPr>
        <w:t xml:space="preserve">Observation 1: The phase noise induced ICI in </w:t>
      </w:r>
      <w:r w:rsidR="009F5402">
        <w:rPr>
          <w:rFonts w:ascii="Times New Roman" w:hAnsi="Times New Roman"/>
          <w:b/>
          <w:i/>
          <w:lang w:val="en-GB" w:eastAsia="x-none"/>
        </w:rPr>
        <w:t>high</w:t>
      </w:r>
      <w:r w:rsidRPr="009F5402">
        <w:rPr>
          <w:rFonts w:ascii="Times New Roman" w:hAnsi="Times New Roman"/>
          <w:b/>
          <w:i/>
          <w:lang w:val="en-GB" w:eastAsia="x-none"/>
        </w:rPr>
        <w:t xml:space="preserve"> frequency bands is high and thus, a larger subcarrier spacing is needed to mitigate the interference resulting from phase noise.</w:t>
      </w:r>
    </w:p>
    <w:p w14:paraId="4443E46D" w14:textId="27E62650" w:rsidR="000B1B12" w:rsidRPr="00AF7BA4" w:rsidRDefault="0099528A" w:rsidP="00741E14">
      <w:pPr>
        <w:jc w:val="both"/>
        <w:rPr>
          <w:rFonts w:ascii="Times New Roman" w:hAnsi="Times New Roman"/>
          <w:b/>
          <w:i/>
          <w:lang w:val="en-GB" w:eastAsia="x-none"/>
        </w:rPr>
      </w:pPr>
      <w:r w:rsidRPr="009F5402">
        <w:rPr>
          <w:rFonts w:ascii="Times New Roman" w:hAnsi="Times New Roman"/>
          <w:b/>
          <w:i/>
          <w:lang w:val="en-GB" w:eastAsia="x-none"/>
        </w:rPr>
        <w:t>Proposal</w:t>
      </w:r>
      <w:r w:rsidR="000B1B12" w:rsidRPr="009F5402">
        <w:rPr>
          <w:rFonts w:ascii="Times New Roman" w:hAnsi="Times New Roman"/>
          <w:b/>
          <w:i/>
          <w:lang w:val="en-GB" w:eastAsia="x-none"/>
        </w:rPr>
        <w:t xml:space="preserve"> 1: For operating frequencies in </w:t>
      </w:r>
      <w:r w:rsidR="00E75C2A">
        <w:rPr>
          <w:rFonts w:ascii="Times New Roman" w:hAnsi="Times New Roman"/>
          <w:b/>
          <w:i/>
          <w:lang w:val="en-GB" w:eastAsia="x-none"/>
        </w:rPr>
        <w:t xml:space="preserve">low-to-mid </w:t>
      </w:r>
      <w:r w:rsidR="00A55861" w:rsidRPr="00AF7BA4">
        <w:rPr>
          <w:rFonts w:ascii="Times New Roman" w:hAnsi="Times New Roman"/>
          <w:b/>
          <w:i/>
          <w:lang w:val="en-GB" w:eastAsia="x-none"/>
        </w:rPr>
        <w:t xml:space="preserve">frequency </w:t>
      </w:r>
      <w:r w:rsidR="000B1B12" w:rsidRPr="00AF7BA4">
        <w:rPr>
          <w:rFonts w:ascii="Times New Roman" w:hAnsi="Times New Roman"/>
          <w:b/>
          <w:i/>
          <w:lang w:val="en-GB" w:eastAsia="x-none"/>
        </w:rPr>
        <w:t xml:space="preserve">bands (for e.g., &gt; 6 GHz and &lt; 40 GHz), 75 kHz </w:t>
      </w:r>
      <w:r w:rsidR="00604742" w:rsidRPr="00AF7BA4">
        <w:rPr>
          <w:rFonts w:ascii="Times New Roman" w:hAnsi="Times New Roman"/>
          <w:b/>
          <w:i/>
          <w:lang w:val="en-GB" w:eastAsia="x-none"/>
        </w:rPr>
        <w:t xml:space="preserve">subcarrier spacing </w:t>
      </w:r>
      <w:r w:rsidR="000B1B12" w:rsidRPr="00AF7BA4">
        <w:rPr>
          <w:rFonts w:ascii="Times New Roman" w:hAnsi="Times New Roman"/>
          <w:b/>
          <w:i/>
          <w:lang w:val="en-GB" w:eastAsia="x-none"/>
        </w:rPr>
        <w:t>is preferred because of frequency drift and phase noise considerations.</w:t>
      </w:r>
    </w:p>
    <w:p w14:paraId="57D6E2EE" w14:textId="435887FB" w:rsidR="00F96AA9" w:rsidRDefault="00F96AA9" w:rsidP="00741E14">
      <w:pPr>
        <w:jc w:val="both"/>
        <w:rPr>
          <w:rFonts w:ascii="Times New Roman" w:hAnsi="Times New Roman"/>
          <w:lang w:val="en-GB" w:eastAsia="x-none"/>
        </w:rPr>
      </w:pPr>
      <w:r>
        <w:rPr>
          <w:rFonts w:ascii="Times New Roman" w:hAnsi="Times New Roman"/>
          <w:lang w:val="en-GB" w:eastAsia="x-none"/>
        </w:rPr>
        <w:t>For high frequency bands (e.g., &gt;=</w:t>
      </w:r>
      <w:r w:rsidR="00593998">
        <w:rPr>
          <w:rFonts w:ascii="Times New Roman" w:hAnsi="Times New Roman"/>
          <w:lang w:val="en-GB" w:eastAsia="x-none"/>
        </w:rPr>
        <w:t>40</w:t>
      </w:r>
      <w:r>
        <w:rPr>
          <w:rFonts w:ascii="Times New Roman" w:hAnsi="Times New Roman"/>
          <w:lang w:val="en-GB" w:eastAsia="x-none"/>
        </w:rPr>
        <w:t xml:space="preserve"> GHz), </w:t>
      </w:r>
      <w:r w:rsidR="000C62CA">
        <w:rPr>
          <w:rFonts w:ascii="Times New Roman" w:hAnsi="Times New Roman"/>
          <w:lang w:val="en-GB" w:eastAsia="x-none"/>
        </w:rPr>
        <w:t xml:space="preserve">much </w:t>
      </w:r>
      <w:r>
        <w:rPr>
          <w:rFonts w:ascii="Times New Roman" w:hAnsi="Times New Roman"/>
          <w:lang w:val="en-GB" w:eastAsia="x-none"/>
        </w:rPr>
        <w:t>higher subcarrier spacing  (e.g., 375 kHz) can be considered, unless using the same framework for both mid and high frequency bands has significant system design advantages.</w:t>
      </w:r>
    </w:p>
    <w:p w14:paraId="2CBABA2C" w14:textId="6D59E772" w:rsidR="00C23675" w:rsidRPr="00AF7BA4" w:rsidRDefault="00C23675" w:rsidP="00C23675">
      <w:pPr>
        <w:jc w:val="both"/>
        <w:rPr>
          <w:rFonts w:ascii="Times New Roman" w:hAnsi="Times New Roman"/>
          <w:b/>
          <w:i/>
          <w:lang w:val="en-GB" w:eastAsia="x-none"/>
        </w:rPr>
      </w:pPr>
      <w:r w:rsidRPr="00AF7BA4">
        <w:rPr>
          <w:rFonts w:ascii="Times New Roman" w:hAnsi="Times New Roman"/>
          <w:b/>
          <w:i/>
          <w:lang w:val="en-GB" w:eastAsia="x-none"/>
        </w:rPr>
        <w:t xml:space="preserve">Proposal 2: For high frequency bands (e.g., &gt;=40 GHz), </w:t>
      </w:r>
      <w:r w:rsidR="00C4316E">
        <w:rPr>
          <w:rFonts w:ascii="Times New Roman" w:hAnsi="Times New Roman"/>
          <w:b/>
          <w:i/>
          <w:lang w:val="en-GB" w:eastAsia="x-none"/>
        </w:rPr>
        <w:t xml:space="preserve">a </w:t>
      </w:r>
      <w:r w:rsidRPr="00AF7BA4">
        <w:rPr>
          <w:rFonts w:ascii="Times New Roman" w:hAnsi="Times New Roman"/>
          <w:b/>
          <w:i/>
          <w:lang w:val="en-GB" w:eastAsia="x-none"/>
        </w:rPr>
        <w:t>much higher subcarrier spacing (e.g., 375 kHz) can be considered.</w:t>
      </w:r>
    </w:p>
    <w:p w14:paraId="601EBFA3" w14:textId="77777777" w:rsidR="007252C5" w:rsidRDefault="007252C5" w:rsidP="00741E14">
      <w:pPr>
        <w:jc w:val="both"/>
        <w:rPr>
          <w:rFonts w:ascii="Times New Roman" w:hAnsi="Times New Roman"/>
          <w:lang w:val="en-GB" w:eastAsia="x-none"/>
        </w:rPr>
      </w:pPr>
    </w:p>
    <w:p w14:paraId="16AAC149" w14:textId="247183E0" w:rsidR="007252C5" w:rsidRDefault="007252C5" w:rsidP="007252C5">
      <w:pPr>
        <w:pStyle w:val="Heading2"/>
      </w:pPr>
      <w:r>
        <w:t>Cy</w:t>
      </w:r>
      <w:r w:rsidR="008636B5">
        <w:t>c</w:t>
      </w:r>
      <w:r>
        <w:t>lic prefix length and symbol duration</w:t>
      </w:r>
    </w:p>
    <w:p w14:paraId="6B8B49F4" w14:textId="615D20B7" w:rsidR="0067794F" w:rsidRDefault="007252C5" w:rsidP="00506076">
      <w:pPr>
        <w:jc w:val="both"/>
        <w:rPr>
          <w:rFonts w:ascii="Times New Roman" w:hAnsi="Times New Roman"/>
          <w:lang w:val="en-GB" w:eastAsia="x-none"/>
        </w:rPr>
      </w:pPr>
      <w:r>
        <w:rPr>
          <w:rFonts w:ascii="Times New Roman" w:hAnsi="Times New Roman"/>
          <w:lang w:val="en-GB" w:eastAsia="x-none"/>
        </w:rPr>
        <w:t xml:space="preserve">A low overhead resulting from CP length is highly desired. </w:t>
      </w:r>
      <w:r w:rsidR="00F47073">
        <w:rPr>
          <w:rFonts w:ascii="Times New Roman" w:hAnsi="Times New Roman"/>
          <w:lang w:val="en-GB" w:eastAsia="x-none"/>
        </w:rPr>
        <w:t>On the other hand, t</w:t>
      </w:r>
      <w:r>
        <w:rPr>
          <w:rFonts w:ascii="Times New Roman" w:hAnsi="Times New Roman"/>
          <w:lang w:val="en-GB" w:eastAsia="x-none"/>
        </w:rPr>
        <w:t xml:space="preserve">he CP length should be long enough to account for multipath delay spreads. </w:t>
      </w:r>
      <w:r w:rsidR="009964EF">
        <w:rPr>
          <w:rFonts w:ascii="Times New Roman" w:hAnsi="Times New Roman"/>
          <w:lang w:val="en-GB" w:eastAsia="x-none"/>
        </w:rPr>
        <w:t xml:space="preserve">A larger CP also provides protection against timing synchronization errors.  </w:t>
      </w:r>
      <w:r>
        <w:rPr>
          <w:rFonts w:ascii="Times New Roman" w:hAnsi="Times New Roman"/>
          <w:lang w:val="en-GB" w:eastAsia="x-none"/>
        </w:rPr>
        <w:t xml:space="preserve">The symbol duration should be much larger than the CP length to minimize loss of time and energy. When using 15 kHz, the LTE symbol and CP lengths can be re-used. For example, a transmission time interval (TTI) of 1 ms can be used, that consists of 14 OFDM symbols and </w:t>
      </w:r>
      <w:r w:rsidR="00F47073">
        <w:rPr>
          <w:rFonts w:ascii="Times New Roman" w:hAnsi="Times New Roman"/>
          <w:lang w:val="en-GB" w:eastAsia="x-none"/>
        </w:rPr>
        <w:t xml:space="preserve">average </w:t>
      </w:r>
      <w:r>
        <w:rPr>
          <w:rFonts w:ascii="Times New Roman" w:hAnsi="Times New Roman"/>
          <w:lang w:val="en-GB" w:eastAsia="x-none"/>
        </w:rPr>
        <w:t xml:space="preserve">CP length is 4.67 us (supporting a cell size of 1.4 km). </w:t>
      </w:r>
      <w:r w:rsidR="0067794F">
        <w:rPr>
          <w:rFonts w:ascii="Times New Roman" w:hAnsi="Times New Roman"/>
          <w:lang w:val="en-GB" w:eastAsia="x-none"/>
        </w:rPr>
        <w:t xml:space="preserve">A few example numerologies </w:t>
      </w:r>
      <w:r w:rsidR="00FD312E">
        <w:rPr>
          <w:rFonts w:ascii="Times New Roman" w:hAnsi="Times New Roman"/>
          <w:lang w:val="en-GB" w:eastAsia="x-none"/>
        </w:rPr>
        <w:t xml:space="preserve">for 75 kHz and 375 kHz subcarrier spacing </w:t>
      </w:r>
      <w:r w:rsidR="0067794F">
        <w:rPr>
          <w:rFonts w:ascii="Times New Roman" w:hAnsi="Times New Roman"/>
          <w:lang w:val="en-GB" w:eastAsia="x-none"/>
        </w:rPr>
        <w:t xml:space="preserve">are provided in </w:t>
      </w:r>
      <w:r w:rsidR="006B3AED">
        <w:rPr>
          <w:rFonts w:ascii="Times New Roman" w:hAnsi="Times New Roman"/>
          <w:lang w:val="en-GB" w:eastAsia="x-none"/>
        </w:rPr>
        <w:t>T</w:t>
      </w:r>
      <w:r w:rsidR="0067794F">
        <w:rPr>
          <w:rFonts w:ascii="Times New Roman" w:hAnsi="Times New Roman"/>
          <w:lang w:val="en-GB" w:eastAsia="x-none"/>
        </w:rPr>
        <w:t xml:space="preserve">able </w:t>
      </w:r>
      <w:r w:rsidR="000366BD">
        <w:rPr>
          <w:rFonts w:ascii="Times New Roman" w:hAnsi="Times New Roman"/>
          <w:lang w:val="en-GB" w:eastAsia="x-none"/>
        </w:rPr>
        <w:t>1</w:t>
      </w:r>
      <w:r w:rsidR="00FD312E">
        <w:rPr>
          <w:rFonts w:ascii="Times New Roman" w:hAnsi="Times New Roman"/>
          <w:lang w:val="en-GB" w:eastAsia="x-none"/>
        </w:rPr>
        <w:t>.</w:t>
      </w:r>
      <w:r w:rsidR="008636B5">
        <w:rPr>
          <w:rFonts w:ascii="Times New Roman" w:hAnsi="Times New Roman"/>
          <w:lang w:val="en-GB" w:eastAsia="x-none"/>
        </w:rPr>
        <w:t xml:space="preserve"> Note that </w:t>
      </w:r>
      <w:r w:rsidR="008636B5">
        <w:rPr>
          <w:rFonts w:ascii="Times New Roman" w:hAnsi="Times New Roman"/>
          <w:lang w:val="en-GB" w:eastAsia="x-none"/>
        </w:rPr>
        <w:lastRenderedPageBreak/>
        <w:t>with higher phase noise</w:t>
      </w:r>
      <w:r w:rsidR="00EC5D60">
        <w:rPr>
          <w:rFonts w:ascii="Times New Roman" w:hAnsi="Times New Roman"/>
          <w:lang w:val="en-GB" w:eastAsia="x-none"/>
        </w:rPr>
        <w:t xml:space="preserve"> for </w:t>
      </w:r>
      <w:r w:rsidR="00E75C2A">
        <w:rPr>
          <w:rFonts w:ascii="Times New Roman" w:hAnsi="Times New Roman"/>
          <w:lang w:val="en-GB" w:eastAsia="x-none"/>
        </w:rPr>
        <w:t>high</w:t>
      </w:r>
      <w:r w:rsidR="00EC5D60">
        <w:rPr>
          <w:rFonts w:ascii="Times New Roman" w:hAnsi="Times New Roman"/>
          <w:lang w:val="en-GB" w:eastAsia="x-none"/>
        </w:rPr>
        <w:t xml:space="preserve"> bands</w:t>
      </w:r>
      <w:r w:rsidR="008636B5">
        <w:rPr>
          <w:rFonts w:ascii="Times New Roman" w:hAnsi="Times New Roman"/>
          <w:lang w:val="en-GB" w:eastAsia="x-none"/>
        </w:rPr>
        <w:t xml:space="preserve">, a higher subcarrier spacing is desired </w:t>
      </w:r>
      <w:r w:rsidR="00EC5D60">
        <w:rPr>
          <w:rFonts w:ascii="Times New Roman" w:hAnsi="Times New Roman"/>
          <w:lang w:val="en-GB" w:eastAsia="x-none"/>
        </w:rPr>
        <w:t>which leads to shorter symbol durations and thus low CP overhead is desired.</w:t>
      </w:r>
      <w:r w:rsidR="000366BD">
        <w:rPr>
          <w:rFonts w:ascii="Times New Roman" w:hAnsi="Times New Roman"/>
          <w:lang w:val="en-GB" w:eastAsia="x-none"/>
        </w:rPr>
        <w:t xml:space="preserve"> It is desirable to use sampling clock rate that is an integral multiple of the LTE clock, as illustrated in the table.</w:t>
      </w:r>
      <w:r w:rsidR="00D777F4">
        <w:rPr>
          <w:rFonts w:ascii="Times New Roman" w:hAnsi="Times New Roman"/>
          <w:lang w:val="en-GB" w:eastAsia="x-none"/>
        </w:rPr>
        <w:t xml:space="preserve"> </w:t>
      </w:r>
      <w:r w:rsidR="00C409E1">
        <w:rPr>
          <w:rFonts w:ascii="Times New Roman" w:hAnsi="Times New Roman"/>
          <w:lang w:val="en-GB" w:eastAsia="x-none"/>
        </w:rPr>
        <w:t>FFT size similar to LTE (for e.g., 2048) should be used for NR</w:t>
      </w:r>
      <w:r w:rsidR="00C409E1" w:rsidRPr="00C409E1">
        <w:rPr>
          <w:rFonts w:ascii="Times New Roman" w:hAnsi="Times New Roman"/>
          <w:lang w:val="en-GB" w:eastAsia="x-none"/>
        </w:rPr>
        <w:t xml:space="preserve"> to keep complexity low given that the sampling rate increases manifold as compared to LTE. </w:t>
      </w:r>
      <w:r w:rsidR="00D777F4">
        <w:rPr>
          <w:rFonts w:ascii="Times New Roman" w:hAnsi="Times New Roman"/>
          <w:lang w:val="en-GB" w:eastAsia="x-none"/>
        </w:rPr>
        <w:t>Note that the radio frame length is recommended to be kept as 10 ms, regardless of subcarrier spacing for efficient inter operations between LTE and NR-Phase 1 and NR-Phase 2.</w:t>
      </w:r>
    </w:p>
    <w:p w14:paraId="01CC4A03" w14:textId="56A9536B" w:rsidR="006B3AED" w:rsidRPr="00AF7BA4" w:rsidRDefault="006B3AED" w:rsidP="00506076">
      <w:pPr>
        <w:jc w:val="both"/>
        <w:rPr>
          <w:rFonts w:ascii="Times New Roman" w:hAnsi="Times New Roman"/>
          <w:b/>
          <w:i/>
          <w:lang w:val="en-GB" w:eastAsia="x-none"/>
        </w:rPr>
      </w:pPr>
      <w:r w:rsidRPr="006B3AED">
        <w:rPr>
          <w:rFonts w:ascii="Times New Roman" w:hAnsi="Times New Roman"/>
          <w:b/>
          <w:i/>
          <w:lang w:val="en-GB" w:eastAsia="x-none"/>
        </w:rPr>
        <w:t xml:space="preserve">Proposal </w:t>
      </w:r>
      <w:r>
        <w:rPr>
          <w:rFonts w:ascii="Times New Roman" w:hAnsi="Times New Roman"/>
          <w:b/>
          <w:i/>
          <w:lang w:val="en-GB" w:eastAsia="x-none"/>
        </w:rPr>
        <w:t>3</w:t>
      </w:r>
      <w:r w:rsidRPr="008540BC">
        <w:rPr>
          <w:rFonts w:ascii="Times New Roman" w:hAnsi="Times New Roman"/>
          <w:b/>
          <w:i/>
          <w:lang w:val="en-GB" w:eastAsia="x-none"/>
        </w:rPr>
        <w:t xml:space="preserve">: </w:t>
      </w:r>
      <w:r>
        <w:rPr>
          <w:rFonts w:ascii="Times New Roman" w:hAnsi="Times New Roman"/>
          <w:b/>
          <w:i/>
          <w:lang w:val="en-GB" w:eastAsia="x-none"/>
        </w:rPr>
        <w:t>The radio</w:t>
      </w:r>
      <w:r w:rsidRPr="008540BC">
        <w:rPr>
          <w:rFonts w:ascii="Times New Roman" w:hAnsi="Times New Roman"/>
          <w:b/>
          <w:i/>
          <w:lang w:val="en-GB" w:eastAsia="x-none"/>
        </w:rPr>
        <w:t xml:space="preserve"> frame length is recommended to be kept as 10 ms, regardless of subcarrier spacing for efficient inter operations between LTE and NR-Phase 1 and NR-Phase 2.</w:t>
      </w:r>
    </w:p>
    <w:p w14:paraId="59A10FD9" w14:textId="77777777" w:rsidR="0067794F" w:rsidRDefault="0067794F" w:rsidP="00506076">
      <w:pPr>
        <w:jc w:val="both"/>
        <w:rPr>
          <w:rFonts w:ascii="Times New Roman" w:hAnsi="Times New Roman"/>
          <w:lang w:val="en-GB" w:eastAsia="x-none"/>
        </w:rPr>
      </w:pPr>
    </w:p>
    <w:p w14:paraId="593163D7" w14:textId="56D00EA3" w:rsidR="00FD312E" w:rsidRPr="00FD312E" w:rsidRDefault="00FD312E" w:rsidP="00FD312E">
      <w:pPr>
        <w:jc w:val="center"/>
        <w:rPr>
          <w:rFonts w:ascii="Times New Roman" w:hAnsi="Times New Roman"/>
          <w:b/>
          <w:lang w:val="en-GB" w:eastAsia="x-none"/>
        </w:rPr>
      </w:pPr>
      <w:r w:rsidRPr="00FD312E">
        <w:rPr>
          <w:rFonts w:ascii="Times New Roman" w:hAnsi="Times New Roman"/>
          <w:b/>
          <w:lang w:val="en-GB" w:eastAsia="x-none"/>
        </w:rPr>
        <w:t>Table 1: Example numerologies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2488"/>
        <w:gridCol w:w="2488"/>
        <w:gridCol w:w="2486"/>
      </w:tblGrid>
      <w:tr w:rsidR="00465AC3" w:rsidRPr="00465AC3" w14:paraId="4F53BD35" w14:textId="77777777" w:rsidTr="00AF7BA4">
        <w:tc>
          <w:tcPr>
            <w:tcW w:w="2500" w:type="dxa"/>
            <w:shd w:val="clear" w:color="auto" w:fill="9CC2E5"/>
          </w:tcPr>
          <w:p w14:paraId="4C0B528B" w14:textId="4983FA13"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Subcarrier spacing</w:t>
            </w:r>
          </w:p>
        </w:tc>
        <w:tc>
          <w:tcPr>
            <w:tcW w:w="2488" w:type="dxa"/>
            <w:shd w:val="clear" w:color="auto" w:fill="auto"/>
          </w:tcPr>
          <w:p w14:paraId="696A812D" w14:textId="3E0A1578"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15 kHz</w:t>
            </w:r>
          </w:p>
        </w:tc>
        <w:tc>
          <w:tcPr>
            <w:tcW w:w="2488" w:type="dxa"/>
            <w:shd w:val="clear" w:color="auto" w:fill="auto"/>
          </w:tcPr>
          <w:p w14:paraId="35EA7DA8" w14:textId="23E66427"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75 kHz</w:t>
            </w:r>
          </w:p>
        </w:tc>
        <w:tc>
          <w:tcPr>
            <w:tcW w:w="2486" w:type="dxa"/>
            <w:shd w:val="clear" w:color="auto" w:fill="auto"/>
          </w:tcPr>
          <w:p w14:paraId="7FE3557E" w14:textId="589CF18D"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375 kHz</w:t>
            </w:r>
          </w:p>
        </w:tc>
      </w:tr>
      <w:tr w:rsidR="00465AC3" w:rsidRPr="00465AC3" w14:paraId="3724459F" w14:textId="77777777" w:rsidTr="00AF7BA4">
        <w:tc>
          <w:tcPr>
            <w:tcW w:w="2500" w:type="dxa"/>
            <w:shd w:val="clear" w:color="auto" w:fill="9CC2E5"/>
          </w:tcPr>
          <w:p w14:paraId="1AEAA59E" w14:textId="1876C58E" w:rsidR="00AE6B56" w:rsidRPr="00465AC3" w:rsidRDefault="00AE6B56" w:rsidP="00465AC3">
            <w:pPr>
              <w:spacing w:before="120"/>
              <w:jc w:val="both"/>
              <w:rPr>
                <w:rFonts w:ascii="Times New Roman" w:hAnsi="Times New Roman"/>
                <w:lang w:val="en-GB" w:eastAsia="x-none"/>
              </w:rPr>
            </w:pPr>
            <w:r w:rsidRPr="00465AC3">
              <w:rPr>
                <w:rFonts w:ascii="Times New Roman" w:hAnsi="Times New Roman"/>
                <w:lang w:val="en-GB" w:eastAsia="x-none"/>
              </w:rPr>
              <w:t>Sampling clock rate (MHz)</w:t>
            </w:r>
          </w:p>
        </w:tc>
        <w:tc>
          <w:tcPr>
            <w:tcW w:w="2488" w:type="dxa"/>
            <w:shd w:val="clear" w:color="auto" w:fill="auto"/>
          </w:tcPr>
          <w:p w14:paraId="36E05DF0" w14:textId="3BADDFFD" w:rsidR="00AE6B56" w:rsidRPr="00465AC3" w:rsidRDefault="00AE6B56" w:rsidP="00465AC3">
            <w:pPr>
              <w:spacing w:before="120"/>
              <w:jc w:val="both"/>
              <w:rPr>
                <w:rFonts w:ascii="Times New Roman" w:hAnsi="Times New Roman"/>
                <w:lang w:val="en-GB" w:eastAsia="x-none"/>
              </w:rPr>
            </w:pPr>
            <w:r w:rsidRPr="00465AC3">
              <w:rPr>
                <w:rFonts w:ascii="Times New Roman" w:hAnsi="Times New Roman"/>
                <w:lang w:val="en-GB" w:eastAsia="x-none"/>
              </w:rPr>
              <w:t>30.72</w:t>
            </w:r>
          </w:p>
        </w:tc>
        <w:tc>
          <w:tcPr>
            <w:tcW w:w="2488" w:type="dxa"/>
            <w:shd w:val="clear" w:color="auto" w:fill="auto"/>
          </w:tcPr>
          <w:p w14:paraId="58809B39" w14:textId="1F85877E" w:rsidR="00AE6B56" w:rsidRPr="00465AC3" w:rsidRDefault="00AE6B56" w:rsidP="00465AC3">
            <w:pPr>
              <w:spacing w:before="120"/>
              <w:jc w:val="both"/>
              <w:rPr>
                <w:rFonts w:ascii="Times New Roman" w:hAnsi="Times New Roman"/>
                <w:lang w:val="en-GB" w:eastAsia="x-none"/>
              </w:rPr>
            </w:pPr>
            <w:r w:rsidRPr="00465AC3">
              <w:rPr>
                <w:rFonts w:ascii="Times New Roman" w:hAnsi="Times New Roman"/>
                <w:lang w:val="en-GB" w:eastAsia="x-none"/>
              </w:rPr>
              <w:t>153.6</w:t>
            </w:r>
          </w:p>
        </w:tc>
        <w:tc>
          <w:tcPr>
            <w:tcW w:w="2486" w:type="dxa"/>
            <w:shd w:val="clear" w:color="auto" w:fill="auto"/>
          </w:tcPr>
          <w:p w14:paraId="58CFCE25" w14:textId="60ABBB5F" w:rsidR="00AE6B56" w:rsidRPr="00465AC3" w:rsidRDefault="00AE6B56" w:rsidP="00465AC3">
            <w:pPr>
              <w:spacing w:before="120"/>
              <w:jc w:val="both"/>
              <w:rPr>
                <w:rFonts w:ascii="Times New Roman" w:hAnsi="Times New Roman"/>
                <w:lang w:val="en-GB" w:eastAsia="x-none"/>
              </w:rPr>
            </w:pPr>
            <w:r w:rsidRPr="00465AC3">
              <w:rPr>
                <w:rFonts w:ascii="Times New Roman" w:hAnsi="Times New Roman"/>
                <w:lang w:val="en-GB" w:eastAsia="x-none"/>
              </w:rPr>
              <w:t>768</w:t>
            </w:r>
          </w:p>
        </w:tc>
      </w:tr>
      <w:tr w:rsidR="00465AC3" w:rsidRPr="00465AC3" w14:paraId="17829D65" w14:textId="77777777" w:rsidTr="00AF7BA4">
        <w:tc>
          <w:tcPr>
            <w:tcW w:w="2500" w:type="dxa"/>
            <w:shd w:val="clear" w:color="auto" w:fill="9CC2E5"/>
          </w:tcPr>
          <w:p w14:paraId="5A8E6C99" w14:textId="12E9DB91"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OFDM symbol duration, no CP (us)</w:t>
            </w:r>
          </w:p>
        </w:tc>
        <w:tc>
          <w:tcPr>
            <w:tcW w:w="2488" w:type="dxa"/>
            <w:shd w:val="clear" w:color="auto" w:fill="auto"/>
          </w:tcPr>
          <w:p w14:paraId="24E91B53" w14:textId="5E8D609E"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66.</w:t>
            </w:r>
            <w:r w:rsidR="005E7A2C" w:rsidRPr="00465AC3">
              <w:rPr>
                <w:rFonts w:ascii="Times New Roman" w:hAnsi="Times New Roman"/>
                <w:lang w:val="en-GB" w:eastAsia="x-none"/>
              </w:rPr>
              <w:t>67</w:t>
            </w:r>
          </w:p>
        </w:tc>
        <w:tc>
          <w:tcPr>
            <w:tcW w:w="2488" w:type="dxa"/>
            <w:shd w:val="clear" w:color="auto" w:fill="auto"/>
          </w:tcPr>
          <w:p w14:paraId="1DCA0EA7" w14:textId="70C079D1"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13.3</w:t>
            </w:r>
            <w:r w:rsidR="005E7A2C" w:rsidRPr="00465AC3">
              <w:rPr>
                <w:rFonts w:ascii="Times New Roman" w:hAnsi="Times New Roman"/>
                <w:lang w:val="en-GB" w:eastAsia="x-none"/>
              </w:rPr>
              <w:t>3</w:t>
            </w:r>
          </w:p>
        </w:tc>
        <w:tc>
          <w:tcPr>
            <w:tcW w:w="2486" w:type="dxa"/>
            <w:shd w:val="clear" w:color="auto" w:fill="auto"/>
          </w:tcPr>
          <w:p w14:paraId="6BA0EBCA" w14:textId="03EDDEF2"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2.67</w:t>
            </w:r>
          </w:p>
        </w:tc>
      </w:tr>
      <w:tr w:rsidR="00465AC3" w:rsidRPr="00465AC3" w14:paraId="662B2ECA" w14:textId="77777777" w:rsidTr="00AF7BA4">
        <w:tc>
          <w:tcPr>
            <w:tcW w:w="2500" w:type="dxa"/>
            <w:shd w:val="clear" w:color="auto" w:fill="9CC2E5"/>
          </w:tcPr>
          <w:p w14:paraId="6FD71FFD" w14:textId="09A2B1F8"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CP duration (us)</w:t>
            </w:r>
          </w:p>
        </w:tc>
        <w:tc>
          <w:tcPr>
            <w:tcW w:w="2488" w:type="dxa"/>
            <w:shd w:val="clear" w:color="auto" w:fill="auto"/>
          </w:tcPr>
          <w:p w14:paraId="2AF32373" w14:textId="71FE6D78"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4.7</w:t>
            </w:r>
          </w:p>
        </w:tc>
        <w:tc>
          <w:tcPr>
            <w:tcW w:w="2488" w:type="dxa"/>
            <w:shd w:val="clear" w:color="auto" w:fill="auto"/>
          </w:tcPr>
          <w:p w14:paraId="4CA3B40A" w14:textId="273FBFD2"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0.9</w:t>
            </w:r>
            <w:r w:rsidR="004B628A">
              <w:rPr>
                <w:rFonts w:ascii="Times New Roman" w:hAnsi="Times New Roman"/>
                <w:lang w:val="en-GB" w:eastAsia="x-none"/>
              </w:rPr>
              <w:t>5</w:t>
            </w:r>
          </w:p>
        </w:tc>
        <w:tc>
          <w:tcPr>
            <w:tcW w:w="2486" w:type="dxa"/>
            <w:shd w:val="clear" w:color="auto" w:fill="auto"/>
          </w:tcPr>
          <w:p w14:paraId="3F3EC57D" w14:textId="67F3CDFE" w:rsidR="0067794F" w:rsidRPr="00465AC3" w:rsidRDefault="00FD312E" w:rsidP="00465AC3">
            <w:pPr>
              <w:spacing w:before="120"/>
              <w:jc w:val="both"/>
              <w:rPr>
                <w:rFonts w:ascii="Times New Roman" w:hAnsi="Times New Roman"/>
                <w:lang w:val="en-GB" w:eastAsia="x-none"/>
              </w:rPr>
            </w:pPr>
            <w:r w:rsidRPr="00465AC3">
              <w:rPr>
                <w:rFonts w:ascii="Times New Roman" w:hAnsi="Times New Roman"/>
                <w:lang w:val="en-GB" w:eastAsia="x-none"/>
              </w:rPr>
              <w:t>0.19</w:t>
            </w:r>
          </w:p>
        </w:tc>
      </w:tr>
      <w:tr w:rsidR="00465AC3" w:rsidRPr="00465AC3" w14:paraId="7618934F" w14:textId="77777777" w:rsidTr="00AF7BA4">
        <w:tc>
          <w:tcPr>
            <w:tcW w:w="2500" w:type="dxa"/>
            <w:shd w:val="clear" w:color="auto" w:fill="9CC2E5"/>
          </w:tcPr>
          <w:p w14:paraId="7695A99E" w14:textId="27D8221B" w:rsidR="005E7A2C" w:rsidRPr="00465AC3" w:rsidRDefault="005E7A2C" w:rsidP="00465AC3">
            <w:pPr>
              <w:spacing w:before="120"/>
              <w:jc w:val="both"/>
              <w:rPr>
                <w:rFonts w:ascii="Times New Roman" w:hAnsi="Times New Roman"/>
                <w:lang w:val="en-GB" w:eastAsia="x-none"/>
              </w:rPr>
            </w:pPr>
            <w:r w:rsidRPr="00465AC3">
              <w:rPr>
                <w:rFonts w:ascii="Times New Roman" w:hAnsi="Times New Roman"/>
                <w:lang w:val="en-GB" w:eastAsia="x-none"/>
              </w:rPr>
              <w:t>CP overhead (%)</w:t>
            </w:r>
          </w:p>
        </w:tc>
        <w:tc>
          <w:tcPr>
            <w:tcW w:w="2488" w:type="dxa"/>
            <w:shd w:val="clear" w:color="auto" w:fill="auto"/>
          </w:tcPr>
          <w:p w14:paraId="669912E6" w14:textId="29A13FA6" w:rsidR="005E7A2C" w:rsidRPr="00465AC3" w:rsidRDefault="005E7A2C" w:rsidP="00465AC3">
            <w:pPr>
              <w:spacing w:before="120"/>
              <w:jc w:val="both"/>
              <w:rPr>
                <w:rFonts w:ascii="Times New Roman" w:hAnsi="Times New Roman"/>
                <w:lang w:val="en-GB" w:eastAsia="x-none"/>
              </w:rPr>
            </w:pPr>
            <w:r w:rsidRPr="00465AC3">
              <w:rPr>
                <w:rFonts w:ascii="Times New Roman" w:hAnsi="Times New Roman"/>
                <w:lang w:val="en-GB" w:eastAsia="x-none"/>
              </w:rPr>
              <w:t>7</w:t>
            </w:r>
          </w:p>
        </w:tc>
        <w:tc>
          <w:tcPr>
            <w:tcW w:w="2488" w:type="dxa"/>
            <w:shd w:val="clear" w:color="auto" w:fill="auto"/>
          </w:tcPr>
          <w:p w14:paraId="1976EF2D" w14:textId="2A1394FA" w:rsidR="005E7A2C" w:rsidRPr="00465AC3" w:rsidRDefault="005E7A2C" w:rsidP="00465AC3">
            <w:pPr>
              <w:spacing w:before="120"/>
              <w:jc w:val="both"/>
              <w:rPr>
                <w:rFonts w:ascii="Times New Roman" w:hAnsi="Times New Roman"/>
                <w:lang w:val="en-GB" w:eastAsia="x-none"/>
              </w:rPr>
            </w:pPr>
            <w:r w:rsidRPr="00465AC3">
              <w:rPr>
                <w:rFonts w:ascii="Times New Roman" w:hAnsi="Times New Roman"/>
                <w:lang w:val="en-GB" w:eastAsia="x-none"/>
              </w:rPr>
              <w:t>7</w:t>
            </w:r>
          </w:p>
        </w:tc>
        <w:tc>
          <w:tcPr>
            <w:tcW w:w="2486" w:type="dxa"/>
            <w:shd w:val="clear" w:color="auto" w:fill="auto"/>
          </w:tcPr>
          <w:p w14:paraId="02C2613A" w14:textId="4C471436" w:rsidR="005E7A2C" w:rsidRPr="00465AC3" w:rsidRDefault="005E7A2C" w:rsidP="00465AC3">
            <w:pPr>
              <w:spacing w:before="120"/>
              <w:jc w:val="both"/>
              <w:rPr>
                <w:rFonts w:ascii="Times New Roman" w:hAnsi="Times New Roman"/>
                <w:lang w:val="en-GB" w:eastAsia="x-none"/>
              </w:rPr>
            </w:pPr>
            <w:r w:rsidRPr="00465AC3">
              <w:rPr>
                <w:rFonts w:ascii="Times New Roman" w:hAnsi="Times New Roman"/>
                <w:lang w:val="en-GB" w:eastAsia="x-none"/>
              </w:rPr>
              <w:t>7</w:t>
            </w:r>
          </w:p>
        </w:tc>
      </w:tr>
      <w:tr w:rsidR="00465AC3" w:rsidRPr="00465AC3" w14:paraId="280D81BD" w14:textId="77777777" w:rsidTr="00AF7BA4">
        <w:tc>
          <w:tcPr>
            <w:tcW w:w="2500" w:type="dxa"/>
            <w:shd w:val="clear" w:color="auto" w:fill="9CC2E5"/>
          </w:tcPr>
          <w:p w14:paraId="3854D0C5" w14:textId="2937000F"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Symbols per TTI</w:t>
            </w:r>
          </w:p>
        </w:tc>
        <w:tc>
          <w:tcPr>
            <w:tcW w:w="2488" w:type="dxa"/>
            <w:shd w:val="clear" w:color="auto" w:fill="auto"/>
          </w:tcPr>
          <w:p w14:paraId="28D9ECDC" w14:textId="17EB8FB5"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14</w:t>
            </w:r>
          </w:p>
        </w:tc>
        <w:tc>
          <w:tcPr>
            <w:tcW w:w="2488" w:type="dxa"/>
            <w:shd w:val="clear" w:color="auto" w:fill="auto"/>
          </w:tcPr>
          <w:p w14:paraId="4B607EDA" w14:textId="42F4D24B"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14</w:t>
            </w:r>
          </w:p>
        </w:tc>
        <w:tc>
          <w:tcPr>
            <w:tcW w:w="2486" w:type="dxa"/>
            <w:shd w:val="clear" w:color="auto" w:fill="auto"/>
          </w:tcPr>
          <w:p w14:paraId="4FEF3D3F" w14:textId="7280316C" w:rsidR="0067794F" w:rsidRPr="00465AC3" w:rsidRDefault="00FD312E" w:rsidP="00465AC3">
            <w:pPr>
              <w:spacing w:before="120"/>
              <w:jc w:val="both"/>
              <w:rPr>
                <w:rFonts w:ascii="Times New Roman" w:hAnsi="Times New Roman"/>
                <w:lang w:val="en-GB" w:eastAsia="x-none"/>
              </w:rPr>
            </w:pPr>
            <w:r w:rsidRPr="00465AC3">
              <w:rPr>
                <w:rFonts w:ascii="Times New Roman" w:hAnsi="Times New Roman"/>
                <w:lang w:val="en-GB" w:eastAsia="x-none"/>
              </w:rPr>
              <w:t>35</w:t>
            </w:r>
          </w:p>
        </w:tc>
      </w:tr>
      <w:tr w:rsidR="00465AC3" w:rsidRPr="00465AC3" w14:paraId="66683C38" w14:textId="77777777" w:rsidTr="00AF7BA4">
        <w:tc>
          <w:tcPr>
            <w:tcW w:w="2500" w:type="dxa"/>
            <w:shd w:val="clear" w:color="auto" w:fill="9CC2E5"/>
          </w:tcPr>
          <w:p w14:paraId="08DCECA8" w14:textId="639B561A" w:rsidR="0067794F" w:rsidRPr="00465AC3" w:rsidRDefault="0067794F" w:rsidP="00465AC3">
            <w:pPr>
              <w:spacing w:before="120"/>
              <w:jc w:val="both"/>
              <w:rPr>
                <w:rFonts w:ascii="Times New Roman" w:hAnsi="Times New Roman"/>
                <w:lang w:val="en-GB" w:eastAsia="x-none"/>
              </w:rPr>
            </w:pPr>
            <w:r w:rsidRPr="00465AC3">
              <w:rPr>
                <w:rFonts w:ascii="Times New Roman" w:hAnsi="Times New Roman"/>
                <w:lang w:val="en-GB" w:eastAsia="x-none"/>
              </w:rPr>
              <w:t>TTI duration (ms)</w:t>
            </w:r>
          </w:p>
        </w:tc>
        <w:tc>
          <w:tcPr>
            <w:tcW w:w="2488" w:type="dxa"/>
            <w:shd w:val="clear" w:color="auto" w:fill="auto"/>
          </w:tcPr>
          <w:p w14:paraId="1E6FAF04" w14:textId="351F9392"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1</w:t>
            </w:r>
          </w:p>
        </w:tc>
        <w:tc>
          <w:tcPr>
            <w:tcW w:w="2488" w:type="dxa"/>
            <w:shd w:val="clear" w:color="auto" w:fill="auto"/>
          </w:tcPr>
          <w:p w14:paraId="3D99F8F5" w14:textId="176D0DE0"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0.2</w:t>
            </w:r>
          </w:p>
        </w:tc>
        <w:tc>
          <w:tcPr>
            <w:tcW w:w="2486" w:type="dxa"/>
            <w:shd w:val="clear" w:color="auto" w:fill="auto"/>
          </w:tcPr>
          <w:p w14:paraId="56F093F0" w14:textId="4DBA08F1" w:rsidR="0067794F" w:rsidRPr="00465AC3" w:rsidRDefault="007D66FA" w:rsidP="00465AC3">
            <w:pPr>
              <w:spacing w:before="120"/>
              <w:jc w:val="both"/>
              <w:rPr>
                <w:rFonts w:ascii="Times New Roman" w:hAnsi="Times New Roman"/>
                <w:lang w:val="en-GB" w:eastAsia="x-none"/>
              </w:rPr>
            </w:pPr>
            <w:r w:rsidRPr="00465AC3">
              <w:rPr>
                <w:rFonts w:ascii="Times New Roman" w:hAnsi="Times New Roman"/>
                <w:lang w:val="en-GB" w:eastAsia="x-none"/>
              </w:rPr>
              <w:t>0.1</w:t>
            </w:r>
          </w:p>
        </w:tc>
      </w:tr>
      <w:tr w:rsidR="00D777F4" w:rsidRPr="00465AC3" w14:paraId="745546D2" w14:textId="77777777" w:rsidTr="00AF7BA4">
        <w:tc>
          <w:tcPr>
            <w:tcW w:w="2500" w:type="dxa"/>
            <w:shd w:val="clear" w:color="auto" w:fill="9CC2E5"/>
          </w:tcPr>
          <w:p w14:paraId="654F44D9" w14:textId="068ACED1" w:rsidR="00D777F4" w:rsidRPr="00465AC3" w:rsidRDefault="00D777F4" w:rsidP="00465AC3">
            <w:pPr>
              <w:spacing w:before="120"/>
              <w:jc w:val="both"/>
              <w:rPr>
                <w:rFonts w:ascii="Times New Roman" w:hAnsi="Times New Roman"/>
                <w:lang w:val="en-GB" w:eastAsia="x-none"/>
              </w:rPr>
            </w:pPr>
            <w:r>
              <w:rPr>
                <w:rFonts w:ascii="Times New Roman" w:hAnsi="Times New Roman"/>
                <w:lang w:val="en-GB" w:eastAsia="x-none"/>
              </w:rPr>
              <w:t>Frame duration (ms)</w:t>
            </w:r>
          </w:p>
        </w:tc>
        <w:tc>
          <w:tcPr>
            <w:tcW w:w="2488" w:type="dxa"/>
            <w:shd w:val="clear" w:color="auto" w:fill="auto"/>
          </w:tcPr>
          <w:p w14:paraId="2D112F72" w14:textId="162CEA64" w:rsidR="00D777F4" w:rsidRPr="00465AC3" w:rsidRDefault="00D777F4" w:rsidP="00465AC3">
            <w:pPr>
              <w:spacing w:before="120"/>
              <w:jc w:val="both"/>
              <w:rPr>
                <w:rFonts w:ascii="Times New Roman" w:hAnsi="Times New Roman"/>
                <w:lang w:val="en-GB" w:eastAsia="x-none"/>
              </w:rPr>
            </w:pPr>
            <w:r>
              <w:rPr>
                <w:rFonts w:ascii="Times New Roman" w:hAnsi="Times New Roman"/>
                <w:lang w:val="en-GB" w:eastAsia="x-none"/>
              </w:rPr>
              <w:t>10</w:t>
            </w:r>
          </w:p>
        </w:tc>
        <w:tc>
          <w:tcPr>
            <w:tcW w:w="2488" w:type="dxa"/>
            <w:shd w:val="clear" w:color="auto" w:fill="auto"/>
          </w:tcPr>
          <w:p w14:paraId="0755F080" w14:textId="5428B639" w:rsidR="00D777F4" w:rsidRPr="00465AC3" w:rsidRDefault="00D777F4" w:rsidP="00465AC3">
            <w:pPr>
              <w:spacing w:before="120"/>
              <w:jc w:val="both"/>
              <w:rPr>
                <w:rFonts w:ascii="Times New Roman" w:hAnsi="Times New Roman"/>
                <w:lang w:val="en-GB" w:eastAsia="x-none"/>
              </w:rPr>
            </w:pPr>
            <w:r>
              <w:rPr>
                <w:rFonts w:ascii="Times New Roman" w:hAnsi="Times New Roman"/>
                <w:lang w:val="en-GB" w:eastAsia="x-none"/>
              </w:rPr>
              <w:t xml:space="preserve">10 </w:t>
            </w:r>
          </w:p>
        </w:tc>
        <w:tc>
          <w:tcPr>
            <w:tcW w:w="2486" w:type="dxa"/>
            <w:shd w:val="clear" w:color="auto" w:fill="auto"/>
          </w:tcPr>
          <w:p w14:paraId="06F807F0" w14:textId="38E395E1" w:rsidR="00D777F4" w:rsidRPr="00465AC3" w:rsidRDefault="00D777F4" w:rsidP="00465AC3">
            <w:pPr>
              <w:spacing w:before="120"/>
              <w:jc w:val="both"/>
              <w:rPr>
                <w:rFonts w:ascii="Times New Roman" w:hAnsi="Times New Roman"/>
                <w:lang w:val="en-GB" w:eastAsia="x-none"/>
              </w:rPr>
            </w:pPr>
            <w:r>
              <w:rPr>
                <w:rFonts w:ascii="Times New Roman" w:hAnsi="Times New Roman"/>
                <w:lang w:val="en-GB" w:eastAsia="x-none"/>
              </w:rPr>
              <w:t>10</w:t>
            </w:r>
          </w:p>
        </w:tc>
      </w:tr>
    </w:tbl>
    <w:p w14:paraId="1C02AA2A" w14:textId="77777777" w:rsidR="007252C5" w:rsidRDefault="007252C5" w:rsidP="007252C5">
      <w:pPr>
        <w:rPr>
          <w:rFonts w:ascii="Times New Roman" w:hAnsi="Times New Roman"/>
          <w:lang w:val="en-GB" w:eastAsia="x-none"/>
        </w:rPr>
      </w:pPr>
    </w:p>
    <w:p w14:paraId="069F0C67" w14:textId="2F02EC4B" w:rsidR="004F6E87" w:rsidRDefault="004D3C12" w:rsidP="004D3C12">
      <w:pPr>
        <w:jc w:val="both"/>
        <w:rPr>
          <w:rFonts w:ascii="Times New Roman" w:hAnsi="Times New Roman"/>
          <w:lang w:val="en-GB" w:eastAsia="x-none"/>
        </w:rPr>
      </w:pPr>
      <w:r>
        <w:rPr>
          <w:rFonts w:ascii="Times New Roman" w:hAnsi="Times New Roman"/>
          <w:lang w:val="en-GB" w:eastAsia="x-none"/>
        </w:rPr>
        <w:t xml:space="preserve">As discussed in the previous section, for high frequency bands (e.g., &gt;=40 GHz) because of phase noise considerations, use of higher subcarrier spacing (e.g., 375 kHz) is preferred. When using high subcarrier spacing, the overhead from CP can be high. </w:t>
      </w:r>
      <w:r w:rsidR="00C240C3">
        <w:rPr>
          <w:rFonts w:ascii="Times New Roman" w:hAnsi="Times New Roman"/>
          <w:lang w:val="en-GB" w:eastAsia="x-none"/>
        </w:rPr>
        <w:t>The</w:t>
      </w:r>
      <w:r w:rsidRPr="004D3C12">
        <w:rPr>
          <w:rFonts w:ascii="Times New Roman" w:hAnsi="Times New Roman"/>
          <w:lang w:val="en-GB" w:eastAsia="x-none"/>
        </w:rPr>
        <w:t xml:space="preserve"> propagation channels at </w:t>
      </w:r>
      <w:r w:rsidR="009D73D3">
        <w:rPr>
          <w:rFonts w:ascii="Times New Roman" w:hAnsi="Times New Roman"/>
          <w:lang w:val="en-GB" w:eastAsia="x-none"/>
        </w:rPr>
        <w:t>high frequency bands</w:t>
      </w:r>
      <w:r w:rsidRPr="004D3C12">
        <w:rPr>
          <w:rFonts w:ascii="Times New Roman" w:hAnsi="Times New Roman"/>
          <w:lang w:val="en-GB" w:eastAsia="x-none"/>
        </w:rPr>
        <w:t xml:space="preserve"> show</w:t>
      </w:r>
      <w:r>
        <w:rPr>
          <w:rFonts w:ascii="Times New Roman" w:hAnsi="Times New Roman"/>
          <w:lang w:val="en-GB" w:eastAsia="x-none"/>
        </w:rPr>
        <w:t xml:space="preserve"> </w:t>
      </w:r>
      <w:r w:rsidRPr="004D3C12">
        <w:rPr>
          <w:rFonts w:ascii="Times New Roman" w:hAnsi="Times New Roman"/>
          <w:lang w:val="en-GB" w:eastAsia="x-none"/>
        </w:rPr>
        <w:t>a high degree of variabili</w:t>
      </w:r>
      <w:r>
        <w:rPr>
          <w:rFonts w:ascii="Times New Roman" w:hAnsi="Times New Roman"/>
          <w:lang w:val="en-GB" w:eastAsia="x-none"/>
        </w:rPr>
        <w:t>ty in multi path delay spread [7</w:t>
      </w:r>
      <w:r w:rsidRPr="004D3C12">
        <w:rPr>
          <w:rFonts w:ascii="Times New Roman" w:hAnsi="Times New Roman"/>
          <w:lang w:val="en-GB" w:eastAsia="x-none"/>
        </w:rPr>
        <w:t>].</w:t>
      </w:r>
      <w:r>
        <w:rPr>
          <w:rFonts w:ascii="Times New Roman" w:hAnsi="Times New Roman"/>
          <w:lang w:val="en-GB" w:eastAsia="x-none"/>
        </w:rPr>
        <w:t xml:space="preserve"> </w:t>
      </w:r>
      <w:r w:rsidRPr="004D3C12">
        <w:rPr>
          <w:rFonts w:ascii="Times New Roman" w:hAnsi="Times New Roman"/>
          <w:lang w:val="en-GB" w:eastAsia="x-none"/>
        </w:rPr>
        <w:t>Unlike conventional microwave system design, where the</w:t>
      </w:r>
      <w:r>
        <w:rPr>
          <w:rFonts w:ascii="Times New Roman" w:hAnsi="Times New Roman"/>
          <w:lang w:val="en-GB" w:eastAsia="x-none"/>
        </w:rPr>
        <w:t xml:space="preserve"> </w:t>
      </w:r>
      <w:r w:rsidRPr="004D3C12">
        <w:rPr>
          <w:rFonts w:ascii="Times New Roman" w:hAnsi="Times New Roman"/>
          <w:lang w:val="en-GB" w:eastAsia="x-none"/>
        </w:rPr>
        <w:t>delay spread is mainly determined by the environment</w:t>
      </w:r>
      <w:r>
        <w:rPr>
          <w:rFonts w:ascii="Times New Roman" w:hAnsi="Times New Roman"/>
          <w:lang w:val="en-GB" w:eastAsia="x-none"/>
        </w:rPr>
        <w:t xml:space="preserve"> </w:t>
      </w:r>
      <w:r w:rsidRPr="004D3C12">
        <w:rPr>
          <w:rFonts w:ascii="Times New Roman" w:hAnsi="Times New Roman"/>
          <w:lang w:val="en-GB" w:eastAsia="x-none"/>
        </w:rPr>
        <w:t>itself,</w:t>
      </w:r>
      <w:r w:rsidR="009D73D3">
        <w:rPr>
          <w:rFonts w:ascii="Times New Roman" w:hAnsi="Times New Roman"/>
          <w:lang w:val="en-GB" w:eastAsia="x-none"/>
        </w:rPr>
        <w:t xml:space="preserve"> </w:t>
      </w:r>
      <w:r w:rsidRPr="004D3C12">
        <w:rPr>
          <w:rFonts w:ascii="Times New Roman" w:hAnsi="Times New Roman"/>
          <w:lang w:val="en-GB" w:eastAsia="x-none"/>
        </w:rPr>
        <w:t>channel delay spread is very sensitive</w:t>
      </w:r>
      <w:r>
        <w:rPr>
          <w:rFonts w:ascii="Times New Roman" w:hAnsi="Times New Roman"/>
          <w:lang w:val="en-GB" w:eastAsia="x-none"/>
        </w:rPr>
        <w:t xml:space="preserve"> </w:t>
      </w:r>
      <w:r w:rsidRPr="004D3C12">
        <w:rPr>
          <w:rFonts w:ascii="Times New Roman" w:hAnsi="Times New Roman"/>
          <w:lang w:val="en-GB" w:eastAsia="x-none"/>
        </w:rPr>
        <w:t>to beamforming. Designing a system targeting</w:t>
      </w:r>
      <w:r>
        <w:rPr>
          <w:rFonts w:ascii="Times New Roman" w:hAnsi="Times New Roman"/>
          <w:lang w:val="en-GB" w:eastAsia="x-none"/>
        </w:rPr>
        <w:t xml:space="preserve"> </w:t>
      </w:r>
      <w:r w:rsidRPr="004D3C12">
        <w:rPr>
          <w:rFonts w:ascii="Times New Roman" w:hAnsi="Times New Roman"/>
          <w:lang w:val="en-GB" w:eastAsia="x-none"/>
        </w:rPr>
        <w:t>the delay spread of the omnidirectional channel</w:t>
      </w:r>
      <w:r>
        <w:rPr>
          <w:rFonts w:ascii="Times New Roman" w:hAnsi="Times New Roman"/>
          <w:lang w:val="en-GB" w:eastAsia="x-none"/>
        </w:rPr>
        <w:t xml:space="preserve"> </w:t>
      </w:r>
      <w:r w:rsidRPr="004D3C12">
        <w:rPr>
          <w:rFonts w:ascii="Times New Roman" w:hAnsi="Times New Roman"/>
          <w:lang w:val="en-GB" w:eastAsia="x-none"/>
        </w:rPr>
        <w:t>using the typical case of microwave design can result</w:t>
      </w:r>
      <w:r>
        <w:rPr>
          <w:rFonts w:ascii="Times New Roman" w:hAnsi="Times New Roman"/>
          <w:lang w:val="en-GB" w:eastAsia="x-none"/>
        </w:rPr>
        <w:t xml:space="preserve"> </w:t>
      </w:r>
      <w:r w:rsidRPr="004D3C12">
        <w:rPr>
          <w:rFonts w:ascii="Times New Roman" w:hAnsi="Times New Roman"/>
          <w:lang w:val="en-GB" w:eastAsia="x-none"/>
        </w:rPr>
        <w:t>in significant overheads. Re-configurable CP can</w:t>
      </w:r>
      <w:r>
        <w:rPr>
          <w:rFonts w:ascii="Times New Roman" w:hAnsi="Times New Roman"/>
          <w:lang w:val="en-GB" w:eastAsia="x-none"/>
        </w:rPr>
        <w:t xml:space="preserve"> </w:t>
      </w:r>
      <w:r w:rsidRPr="004D3C12">
        <w:rPr>
          <w:rFonts w:ascii="Times New Roman" w:hAnsi="Times New Roman"/>
          <w:lang w:val="en-GB" w:eastAsia="x-none"/>
        </w:rPr>
        <w:t>reduce the overhead and improve spectral efficiency</w:t>
      </w:r>
      <w:r w:rsidR="009D73D3">
        <w:rPr>
          <w:rFonts w:ascii="Times New Roman" w:hAnsi="Times New Roman"/>
          <w:lang w:val="en-GB" w:eastAsia="x-none"/>
        </w:rPr>
        <w:t xml:space="preserve"> for such cases</w:t>
      </w:r>
      <w:r>
        <w:rPr>
          <w:rFonts w:ascii="Times New Roman" w:hAnsi="Times New Roman"/>
          <w:lang w:val="en-GB" w:eastAsia="x-none"/>
        </w:rPr>
        <w:t>.</w:t>
      </w:r>
      <w:r w:rsidR="00262158">
        <w:rPr>
          <w:rFonts w:ascii="Times New Roman" w:hAnsi="Times New Roman"/>
          <w:lang w:val="en-GB" w:eastAsia="x-none"/>
        </w:rPr>
        <w:t xml:space="preserve"> Waveform options for enabling such an adaptation is discussed in our companion contribution [3].</w:t>
      </w:r>
    </w:p>
    <w:p w14:paraId="7FD3E9C0" w14:textId="5C8AD304" w:rsidR="006B3AED" w:rsidRPr="00AF7BA4" w:rsidRDefault="006B3AED" w:rsidP="004D3C12">
      <w:pPr>
        <w:jc w:val="both"/>
        <w:rPr>
          <w:rFonts w:ascii="Times New Roman" w:hAnsi="Times New Roman"/>
          <w:b/>
          <w:i/>
          <w:lang w:val="en-GB" w:eastAsia="x-none"/>
        </w:rPr>
      </w:pPr>
      <w:r w:rsidRPr="00AF7BA4">
        <w:rPr>
          <w:rFonts w:ascii="Times New Roman" w:hAnsi="Times New Roman"/>
          <w:b/>
          <w:i/>
          <w:lang w:val="en-GB" w:eastAsia="x-none"/>
        </w:rPr>
        <w:t>Observation 2: The channel delay spread in high frequency bands depends on beamforming in addition to propagation environment, cell radius and frequency band.</w:t>
      </w:r>
    </w:p>
    <w:p w14:paraId="54DA7A18" w14:textId="76519E63" w:rsidR="006B3AED" w:rsidRPr="00AF7BA4" w:rsidRDefault="006B3AED" w:rsidP="004D3C12">
      <w:pPr>
        <w:jc w:val="both"/>
        <w:rPr>
          <w:rFonts w:ascii="Times New Roman" w:hAnsi="Times New Roman"/>
          <w:b/>
          <w:i/>
          <w:lang w:val="en-GB" w:eastAsia="x-none"/>
        </w:rPr>
      </w:pPr>
      <w:r w:rsidRPr="00AF7BA4">
        <w:rPr>
          <w:rFonts w:ascii="Times New Roman" w:hAnsi="Times New Roman"/>
          <w:b/>
          <w:i/>
          <w:lang w:val="en-GB" w:eastAsia="x-none"/>
        </w:rPr>
        <w:t>Proposal 4: For high frequency bands (e.g., &gt;=40 GHz), designing a system targeting delay spread of omnidirectional channel can result in high overheads, thus re-configurable CP lengths can be considered as an option to reduce overheads and improve spectral efficiency.</w:t>
      </w:r>
    </w:p>
    <w:p w14:paraId="695FF4B1" w14:textId="213B1154" w:rsidR="006B3AED" w:rsidRDefault="006B3AED" w:rsidP="004D3C12">
      <w:pPr>
        <w:jc w:val="both"/>
        <w:rPr>
          <w:rFonts w:ascii="Times New Roman" w:hAnsi="Times New Roman"/>
          <w:lang w:val="en-GB" w:eastAsia="x-none"/>
        </w:rPr>
      </w:pPr>
    </w:p>
    <w:p w14:paraId="15AFE087" w14:textId="5B7FD7DB" w:rsidR="004F6E87" w:rsidRDefault="004F6E87" w:rsidP="007252C5">
      <w:pPr>
        <w:rPr>
          <w:rFonts w:ascii="Times New Roman" w:hAnsi="Times New Roman"/>
          <w:lang w:val="en-GB" w:eastAsia="x-none"/>
        </w:rPr>
      </w:pPr>
    </w:p>
    <w:p w14:paraId="56A83755" w14:textId="4CBCEB1D" w:rsidR="004F6E87" w:rsidRPr="003E4BAC" w:rsidRDefault="004F6E87" w:rsidP="004F6E87">
      <w:pPr>
        <w:pStyle w:val="Heading2"/>
      </w:pPr>
      <w:r>
        <w:t>TTI</w:t>
      </w:r>
      <w:r w:rsidR="00D23FA3">
        <w:t xml:space="preserve"> length</w:t>
      </w:r>
    </w:p>
    <w:p w14:paraId="0E5FA73A" w14:textId="49A6E7EA" w:rsidR="004F6E87" w:rsidRPr="00F60637" w:rsidRDefault="004F6E87" w:rsidP="004F6E87">
      <w:pPr>
        <w:jc w:val="both"/>
        <w:rPr>
          <w:rFonts w:ascii="Times New Roman" w:hAnsi="Times New Roman" w:cs="Times New Roman"/>
          <w:lang w:val="en-GB" w:eastAsia="x-none"/>
        </w:rPr>
      </w:pPr>
      <w:r w:rsidRPr="00F60637">
        <w:rPr>
          <w:rFonts w:ascii="Times New Roman" w:hAnsi="Times New Roman" w:cs="Times New Roman"/>
          <w:lang w:val="en-GB" w:eastAsia="x-none"/>
        </w:rPr>
        <w:t xml:space="preserve">The </w:t>
      </w:r>
      <w:r w:rsidR="00B451EE" w:rsidRPr="00F60637">
        <w:rPr>
          <w:rFonts w:ascii="Times New Roman" w:hAnsi="Times New Roman" w:cs="Times New Roman"/>
          <w:lang w:val="en-GB" w:eastAsia="x-none"/>
        </w:rPr>
        <w:t xml:space="preserve">TTI length and </w:t>
      </w:r>
      <w:r w:rsidRPr="00F60637">
        <w:rPr>
          <w:rFonts w:ascii="Times New Roman" w:hAnsi="Times New Roman" w:cs="Times New Roman"/>
          <w:lang w:val="en-GB" w:eastAsia="x-none"/>
        </w:rPr>
        <w:t xml:space="preserve">number of symbols per TTI is also a very important design constraint. Lesser number of symbols per TTI helps in reducing latency, however, also causes loss of spectral efficiency because of high control overheads (e.g., PDCCH, PCFICH, etc.). Using a higher number of symbols per TTI causes low control-related overheads, but increases the latency as well, thus finding </w:t>
      </w:r>
      <w:r w:rsidR="005D772B" w:rsidRPr="00F60637">
        <w:rPr>
          <w:rFonts w:ascii="Times New Roman" w:hAnsi="Times New Roman" w:cs="Times New Roman"/>
          <w:lang w:val="en-GB" w:eastAsia="x-none"/>
        </w:rPr>
        <w:t>a right balance between overhead and latency is required</w:t>
      </w:r>
      <w:r w:rsidRPr="00F60637">
        <w:rPr>
          <w:rFonts w:ascii="Times New Roman" w:hAnsi="Times New Roman" w:cs="Times New Roman"/>
          <w:lang w:val="en-GB" w:eastAsia="x-none"/>
        </w:rPr>
        <w:t xml:space="preserve">. </w:t>
      </w:r>
      <w:r w:rsidR="005244F5" w:rsidRPr="00F60637">
        <w:rPr>
          <w:rFonts w:ascii="Times New Roman" w:hAnsi="Times New Roman" w:cs="Times New Roman"/>
          <w:lang w:val="en-GB" w:eastAsia="x-none"/>
        </w:rPr>
        <w:t>A TTI of 0.2 ms consisting of 14 symbols</w:t>
      </w:r>
      <w:r w:rsidR="006330C1" w:rsidRPr="00F60637">
        <w:rPr>
          <w:rFonts w:ascii="Times New Roman" w:hAnsi="Times New Roman" w:cs="Times New Roman"/>
          <w:lang w:val="en-GB" w:eastAsia="x-none"/>
        </w:rPr>
        <w:t xml:space="preserve"> when 75 kHz subcarrier spacing is used strikes the right balance between latency and overhead reduction</w:t>
      </w:r>
      <w:r w:rsidR="00415E4C" w:rsidRPr="00F60637">
        <w:rPr>
          <w:rFonts w:ascii="Times New Roman" w:hAnsi="Times New Roman" w:cs="Times New Roman"/>
          <w:lang w:val="en-GB" w:eastAsia="x-none"/>
        </w:rPr>
        <w:t xml:space="preserve"> for low-to-mid </w:t>
      </w:r>
      <w:r w:rsidR="00BB570F" w:rsidRPr="00F60637">
        <w:rPr>
          <w:rFonts w:ascii="Times New Roman" w:hAnsi="Times New Roman" w:cs="Times New Roman"/>
        </w:rPr>
        <w:t>frequenc</w:t>
      </w:r>
      <w:r w:rsidR="002622BD" w:rsidRPr="00F60637">
        <w:rPr>
          <w:rFonts w:ascii="Times New Roman" w:hAnsi="Times New Roman" w:cs="Times New Roman"/>
        </w:rPr>
        <w:t>y</w:t>
      </w:r>
      <w:r w:rsidR="00D22F1D" w:rsidRPr="00F60637">
        <w:rPr>
          <w:rFonts w:ascii="Times New Roman" w:hAnsi="Times New Roman" w:cs="Times New Roman"/>
        </w:rPr>
        <w:t xml:space="preserve"> </w:t>
      </w:r>
      <w:r w:rsidR="00415E4C" w:rsidRPr="00F60637">
        <w:rPr>
          <w:rFonts w:ascii="Times New Roman" w:hAnsi="Times New Roman" w:cs="Times New Roman"/>
        </w:rPr>
        <w:t>band</w:t>
      </w:r>
      <w:r w:rsidR="00897945" w:rsidRPr="00F60637">
        <w:rPr>
          <w:rFonts w:ascii="Times New Roman" w:hAnsi="Times New Roman" w:cs="Times New Roman"/>
        </w:rPr>
        <w:t xml:space="preserve"> (&gt; 6 GHz and ~40)</w:t>
      </w:r>
      <w:r w:rsidR="006330C1" w:rsidRPr="00F60637">
        <w:rPr>
          <w:rFonts w:ascii="Times New Roman" w:hAnsi="Times New Roman" w:cs="Times New Roman"/>
          <w:lang w:val="en-GB" w:eastAsia="x-none"/>
        </w:rPr>
        <w:t>.</w:t>
      </w:r>
      <w:r w:rsidR="00F60637">
        <w:rPr>
          <w:rFonts w:ascii="Times New Roman" w:hAnsi="Times New Roman" w:cs="Times New Roman"/>
          <w:lang w:val="en-GB" w:eastAsia="x-none"/>
        </w:rPr>
        <w:t xml:space="preserve"> A TTI of 0.2 ms </w:t>
      </w:r>
      <w:r w:rsidR="00F60637" w:rsidRPr="00F60637">
        <w:rPr>
          <w:rFonts w:ascii="Times New Roman" w:hAnsi="Times New Roman" w:cs="Times New Roman"/>
          <w:lang w:val="en-GB" w:eastAsia="x-none"/>
        </w:rPr>
        <w:t>can satisfy newer and stringent latency requirements.</w:t>
      </w:r>
    </w:p>
    <w:p w14:paraId="3F63A04E" w14:textId="02058D7D" w:rsidR="005244F5" w:rsidRPr="00AF7BA4" w:rsidRDefault="005244F5" w:rsidP="004F6E87">
      <w:pPr>
        <w:jc w:val="both"/>
        <w:rPr>
          <w:rFonts w:ascii="Times New Roman" w:hAnsi="Times New Roman"/>
          <w:b/>
          <w:i/>
          <w:lang w:val="en-GB" w:eastAsia="x-none"/>
        </w:rPr>
      </w:pPr>
      <w:r w:rsidRPr="00AF7BA4">
        <w:rPr>
          <w:rFonts w:ascii="Times New Roman" w:hAnsi="Times New Roman"/>
          <w:b/>
          <w:i/>
          <w:lang w:val="en-GB" w:eastAsia="x-none"/>
        </w:rPr>
        <w:t xml:space="preserve">Proposal 5: </w:t>
      </w:r>
      <w:r w:rsidR="00415E4C" w:rsidRPr="00AF7BA4">
        <w:rPr>
          <w:rFonts w:ascii="Times New Roman" w:hAnsi="Times New Roman"/>
          <w:b/>
          <w:i/>
          <w:lang w:val="en-GB" w:eastAsia="x-none"/>
        </w:rPr>
        <w:t xml:space="preserve">A TTI of 0.2 ms consisting of 14 symbols when 75 kHz subcarrier spacing </w:t>
      </w:r>
      <w:r w:rsidR="00897945" w:rsidRPr="00AF7BA4">
        <w:rPr>
          <w:rFonts w:ascii="Times New Roman" w:hAnsi="Times New Roman"/>
          <w:b/>
          <w:i/>
          <w:lang w:val="en-GB" w:eastAsia="x-none"/>
        </w:rPr>
        <w:t>is used should be considered for NR for low-to-mid frequency band</w:t>
      </w:r>
      <w:r w:rsidR="005D772B">
        <w:rPr>
          <w:rFonts w:ascii="Times New Roman" w:hAnsi="Times New Roman"/>
          <w:b/>
          <w:i/>
          <w:lang w:val="en-GB" w:eastAsia="x-none"/>
        </w:rPr>
        <w:t>s (</w:t>
      </w:r>
      <w:r w:rsidR="005D772B" w:rsidRPr="008540BC">
        <w:rPr>
          <w:rFonts w:ascii="Times New Roman" w:hAnsi="Times New Roman"/>
          <w:b/>
          <w:i/>
          <w:lang w:val="en-GB" w:eastAsia="x-none"/>
        </w:rPr>
        <w:t>for e.g., &gt; 6 GHz and &lt; 40 GHz</w:t>
      </w:r>
      <w:r w:rsidR="005D772B">
        <w:rPr>
          <w:rFonts w:ascii="Times New Roman" w:hAnsi="Times New Roman"/>
          <w:b/>
          <w:i/>
          <w:lang w:val="en-GB" w:eastAsia="x-none"/>
        </w:rPr>
        <w:t>)</w:t>
      </w:r>
      <w:r w:rsidR="00897945" w:rsidRPr="00AF7BA4">
        <w:rPr>
          <w:rFonts w:ascii="Times New Roman" w:hAnsi="Times New Roman"/>
          <w:b/>
          <w:i/>
          <w:lang w:val="en-GB" w:eastAsia="x-none"/>
        </w:rPr>
        <w:t>.</w:t>
      </w:r>
    </w:p>
    <w:p w14:paraId="1B0297A1" w14:textId="77777777" w:rsidR="007252C5" w:rsidRDefault="007252C5" w:rsidP="00741E14">
      <w:pPr>
        <w:jc w:val="both"/>
        <w:rPr>
          <w:rFonts w:ascii="Times New Roman" w:hAnsi="Times New Roman"/>
          <w:lang w:val="en-GB" w:eastAsia="x-none"/>
        </w:rPr>
      </w:pPr>
    </w:p>
    <w:p w14:paraId="3A994867" w14:textId="77777777" w:rsidR="00D3174D" w:rsidRPr="006F46C1" w:rsidRDefault="00D3174D" w:rsidP="00741E14">
      <w:pPr>
        <w:jc w:val="both"/>
        <w:rPr>
          <w:rFonts w:ascii="Times New Roman" w:hAnsi="Times New Roman"/>
          <w:lang w:val="en-GB" w:eastAsia="x-none"/>
        </w:rPr>
      </w:pPr>
    </w:p>
    <w:p w14:paraId="790AEED1" w14:textId="77777777" w:rsidR="00DE588B" w:rsidRDefault="00DE588B" w:rsidP="00DE588B">
      <w:pPr>
        <w:pStyle w:val="Heading1"/>
        <w:textAlignment w:val="auto"/>
        <w:rPr>
          <w:lang w:val="en-US"/>
        </w:rPr>
      </w:pPr>
      <w:r w:rsidRPr="00FB51DD">
        <w:rPr>
          <w:lang w:val="en-US"/>
        </w:rPr>
        <w:t>Conclusion</w:t>
      </w:r>
    </w:p>
    <w:p w14:paraId="5B7F8572" w14:textId="12AD2D43" w:rsidR="006B3AED" w:rsidRDefault="00EF4217" w:rsidP="00AF7BA4">
      <w:pPr>
        <w:jc w:val="both"/>
        <w:rPr>
          <w:rFonts w:ascii="Times New Roman" w:hAnsi="Times New Roman"/>
        </w:rPr>
      </w:pPr>
      <w:r>
        <w:rPr>
          <w:rFonts w:ascii="Times New Roman" w:hAnsi="Times New Roman" w:cs="Times New Roman"/>
          <w:lang w:eastAsia="zh-CN"/>
        </w:rPr>
        <w:t xml:space="preserve">In this document, we provided our views on the numerology options </w:t>
      </w:r>
      <w:r>
        <w:rPr>
          <w:rFonts w:ascii="Times New Roman" w:hAnsi="Times New Roman"/>
        </w:rPr>
        <w:t>for the new RAT with considerations for different applications, use cases and requirements.</w:t>
      </w:r>
      <w:r w:rsidR="00141D77">
        <w:rPr>
          <w:rFonts w:ascii="Times New Roman" w:hAnsi="Times New Roman"/>
        </w:rPr>
        <w:t xml:space="preserve"> </w:t>
      </w:r>
      <w:r w:rsidR="006B3AED">
        <w:rPr>
          <w:rFonts w:ascii="Times New Roman" w:hAnsi="Times New Roman"/>
        </w:rPr>
        <w:t>The observations and conclusions are copied below.</w:t>
      </w:r>
    </w:p>
    <w:p w14:paraId="61528420" w14:textId="77777777" w:rsidR="00AF7BA4" w:rsidRPr="009F5402" w:rsidRDefault="00AF7BA4" w:rsidP="00AF7BA4">
      <w:pPr>
        <w:jc w:val="both"/>
        <w:rPr>
          <w:rFonts w:ascii="Times New Roman" w:hAnsi="Times New Roman"/>
          <w:b/>
          <w:i/>
          <w:lang w:val="en-GB" w:eastAsia="x-none"/>
        </w:rPr>
      </w:pPr>
      <w:r w:rsidRPr="009F5402">
        <w:rPr>
          <w:rFonts w:ascii="Times New Roman" w:hAnsi="Times New Roman"/>
          <w:b/>
          <w:i/>
          <w:lang w:val="en-GB" w:eastAsia="x-none"/>
        </w:rPr>
        <w:t xml:space="preserve">Observation 1: The phase noise induced ICI in </w:t>
      </w:r>
      <w:r>
        <w:rPr>
          <w:rFonts w:ascii="Times New Roman" w:hAnsi="Times New Roman"/>
          <w:b/>
          <w:i/>
          <w:lang w:val="en-GB" w:eastAsia="x-none"/>
        </w:rPr>
        <w:t>high</w:t>
      </w:r>
      <w:r w:rsidRPr="009F5402">
        <w:rPr>
          <w:rFonts w:ascii="Times New Roman" w:hAnsi="Times New Roman"/>
          <w:b/>
          <w:i/>
          <w:lang w:val="en-GB" w:eastAsia="x-none"/>
        </w:rPr>
        <w:t xml:space="preserve"> frequency bands is high and thus, a larger subcarrier spacing is needed to mitigate the interference resulting from phase noise.</w:t>
      </w:r>
    </w:p>
    <w:p w14:paraId="320A62D9" w14:textId="77777777" w:rsidR="00125383" w:rsidRPr="008540BC" w:rsidRDefault="00125383" w:rsidP="00125383">
      <w:pPr>
        <w:jc w:val="both"/>
        <w:rPr>
          <w:rFonts w:ascii="Times New Roman" w:hAnsi="Times New Roman"/>
          <w:b/>
          <w:i/>
          <w:lang w:val="en-GB" w:eastAsia="x-none"/>
        </w:rPr>
      </w:pPr>
      <w:r w:rsidRPr="008540BC">
        <w:rPr>
          <w:rFonts w:ascii="Times New Roman" w:hAnsi="Times New Roman"/>
          <w:b/>
          <w:i/>
          <w:lang w:val="en-GB" w:eastAsia="x-none"/>
        </w:rPr>
        <w:t>Observation 2: The channel delay spread in high frequency bands depends on beamforming in addition to propagation environment, cell radius and frequency band.</w:t>
      </w:r>
    </w:p>
    <w:p w14:paraId="4971E927" w14:textId="77777777" w:rsidR="00125383" w:rsidRPr="008540BC" w:rsidRDefault="00125383" w:rsidP="006B3AED">
      <w:pPr>
        <w:jc w:val="both"/>
        <w:rPr>
          <w:rFonts w:ascii="Times New Roman" w:hAnsi="Times New Roman"/>
          <w:b/>
          <w:i/>
          <w:lang w:val="en-GB" w:eastAsia="x-none"/>
        </w:rPr>
      </w:pPr>
    </w:p>
    <w:p w14:paraId="65AD37DF" w14:textId="6B323023" w:rsidR="006B3AED" w:rsidRDefault="006B3AED" w:rsidP="006B3AED">
      <w:pPr>
        <w:jc w:val="both"/>
        <w:rPr>
          <w:rFonts w:ascii="Times New Roman" w:hAnsi="Times New Roman"/>
          <w:b/>
          <w:i/>
          <w:lang w:val="en-GB" w:eastAsia="x-none"/>
        </w:rPr>
      </w:pPr>
      <w:r w:rsidRPr="008540BC">
        <w:rPr>
          <w:rFonts w:ascii="Times New Roman" w:hAnsi="Times New Roman"/>
          <w:b/>
          <w:i/>
          <w:lang w:val="en-GB" w:eastAsia="x-none"/>
        </w:rPr>
        <w:t xml:space="preserve">Proposal 1: For operating frequencies in </w:t>
      </w:r>
      <w:r w:rsidR="00E75C2A">
        <w:rPr>
          <w:rFonts w:ascii="Times New Roman" w:hAnsi="Times New Roman"/>
          <w:b/>
          <w:i/>
          <w:lang w:val="en-GB" w:eastAsia="x-none"/>
        </w:rPr>
        <w:t>low-to-mid</w:t>
      </w:r>
      <w:r w:rsidRPr="008540BC">
        <w:rPr>
          <w:rFonts w:ascii="Times New Roman" w:hAnsi="Times New Roman"/>
          <w:b/>
          <w:i/>
          <w:lang w:val="en-GB" w:eastAsia="x-none"/>
        </w:rPr>
        <w:t xml:space="preserve"> frequency bands (for e.g., &gt; 6 GHz and &lt; 40 GHz), 75 kHz subcarrier spacing is preferred because of frequency drift and phase noise considerations.</w:t>
      </w:r>
    </w:p>
    <w:p w14:paraId="06C19556" w14:textId="2B149938" w:rsidR="006B3AED" w:rsidRDefault="006B3AED" w:rsidP="006B3AED">
      <w:pPr>
        <w:jc w:val="both"/>
        <w:rPr>
          <w:rFonts w:ascii="Times New Roman" w:hAnsi="Times New Roman"/>
          <w:b/>
          <w:i/>
          <w:lang w:val="en-GB" w:eastAsia="x-none"/>
        </w:rPr>
      </w:pPr>
      <w:r w:rsidRPr="008540BC">
        <w:rPr>
          <w:rFonts w:ascii="Times New Roman" w:hAnsi="Times New Roman"/>
          <w:b/>
          <w:i/>
          <w:lang w:val="en-GB" w:eastAsia="x-none"/>
        </w:rPr>
        <w:t xml:space="preserve">Proposal 2: For high frequency bands (e.g., &gt;=40 GHz), </w:t>
      </w:r>
      <w:r>
        <w:rPr>
          <w:rFonts w:ascii="Times New Roman" w:hAnsi="Times New Roman"/>
          <w:b/>
          <w:i/>
          <w:lang w:val="en-GB" w:eastAsia="x-none"/>
        </w:rPr>
        <w:t xml:space="preserve">a </w:t>
      </w:r>
      <w:r w:rsidRPr="008540BC">
        <w:rPr>
          <w:rFonts w:ascii="Times New Roman" w:hAnsi="Times New Roman"/>
          <w:b/>
          <w:i/>
          <w:lang w:val="en-GB" w:eastAsia="x-none"/>
        </w:rPr>
        <w:t>much higher subcarrier spacing (e.g., 375 kHz) can be considered.</w:t>
      </w:r>
    </w:p>
    <w:p w14:paraId="27CA8610" w14:textId="77777777" w:rsidR="006B3AED" w:rsidRDefault="006B3AED" w:rsidP="006B3AED">
      <w:pPr>
        <w:jc w:val="both"/>
        <w:rPr>
          <w:rFonts w:ascii="Times New Roman" w:hAnsi="Times New Roman"/>
          <w:b/>
          <w:i/>
          <w:lang w:val="en-GB" w:eastAsia="x-none"/>
        </w:rPr>
      </w:pPr>
      <w:r w:rsidRPr="006B3AED">
        <w:rPr>
          <w:rFonts w:ascii="Times New Roman" w:hAnsi="Times New Roman"/>
          <w:b/>
          <w:i/>
          <w:lang w:val="en-GB" w:eastAsia="x-none"/>
        </w:rPr>
        <w:t xml:space="preserve">Proposal </w:t>
      </w:r>
      <w:r>
        <w:rPr>
          <w:rFonts w:ascii="Times New Roman" w:hAnsi="Times New Roman"/>
          <w:b/>
          <w:i/>
          <w:lang w:val="en-GB" w:eastAsia="x-none"/>
        </w:rPr>
        <w:t>3</w:t>
      </w:r>
      <w:r w:rsidRPr="008540BC">
        <w:rPr>
          <w:rFonts w:ascii="Times New Roman" w:hAnsi="Times New Roman"/>
          <w:b/>
          <w:i/>
          <w:lang w:val="en-GB" w:eastAsia="x-none"/>
        </w:rPr>
        <w:t xml:space="preserve">: </w:t>
      </w:r>
      <w:r>
        <w:rPr>
          <w:rFonts w:ascii="Times New Roman" w:hAnsi="Times New Roman"/>
          <w:b/>
          <w:i/>
          <w:lang w:val="en-GB" w:eastAsia="x-none"/>
        </w:rPr>
        <w:t>The radio</w:t>
      </w:r>
      <w:r w:rsidRPr="008540BC">
        <w:rPr>
          <w:rFonts w:ascii="Times New Roman" w:hAnsi="Times New Roman"/>
          <w:b/>
          <w:i/>
          <w:lang w:val="en-GB" w:eastAsia="x-none"/>
        </w:rPr>
        <w:t xml:space="preserve"> frame length is recommended to be kept as 10 ms, regardless of subcarrier spacing for efficient inter operations between LTE and NR-Phase 1 and NR-Phase 2.</w:t>
      </w:r>
    </w:p>
    <w:p w14:paraId="3C19FEAD" w14:textId="77777777" w:rsidR="00125383" w:rsidRDefault="00125383" w:rsidP="00125383">
      <w:pPr>
        <w:jc w:val="both"/>
        <w:rPr>
          <w:rFonts w:ascii="Times New Roman" w:hAnsi="Times New Roman"/>
          <w:b/>
          <w:i/>
          <w:lang w:val="en-GB" w:eastAsia="x-none"/>
        </w:rPr>
      </w:pPr>
      <w:r w:rsidRPr="008540BC">
        <w:rPr>
          <w:rFonts w:ascii="Times New Roman" w:hAnsi="Times New Roman"/>
          <w:b/>
          <w:i/>
          <w:lang w:val="en-GB" w:eastAsia="x-none"/>
        </w:rPr>
        <w:t>Proposal 4: For high frequency bands (e.g., &gt;=40 GHz), designing a system targeting delay spread of omnidirectional channel can result in high overheads, thus re-configurable CP lengths can be considered as an option to reduce overheads and improve spectral efficiency.</w:t>
      </w:r>
    </w:p>
    <w:p w14:paraId="1D95CC86" w14:textId="25F401F8" w:rsidR="00EF4217" w:rsidRPr="00AF7BA4" w:rsidRDefault="0037231D" w:rsidP="00AF7BA4">
      <w:pPr>
        <w:jc w:val="both"/>
        <w:rPr>
          <w:rFonts w:ascii="Times New Roman" w:hAnsi="Times New Roman" w:cs="Times New Roman"/>
          <w:lang w:eastAsia="zh-CN"/>
        </w:rPr>
      </w:pPr>
      <w:r w:rsidRPr="008540BC">
        <w:rPr>
          <w:rFonts w:ascii="Times New Roman" w:hAnsi="Times New Roman"/>
          <w:b/>
          <w:i/>
          <w:lang w:val="en-GB" w:eastAsia="x-none"/>
        </w:rPr>
        <w:t>Proposal 5: A TTI of 0.2 ms consisting of 14 symbols when 75 kHz subcarrier spacing is used should be considered for NR for low-to-mid frequency band</w:t>
      </w:r>
      <w:r>
        <w:rPr>
          <w:rFonts w:ascii="Times New Roman" w:hAnsi="Times New Roman"/>
          <w:b/>
          <w:i/>
          <w:lang w:val="en-GB" w:eastAsia="x-none"/>
        </w:rPr>
        <w:t>s (</w:t>
      </w:r>
      <w:r w:rsidRPr="008540BC">
        <w:rPr>
          <w:rFonts w:ascii="Times New Roman" w:hAnsi="Times New Roman"/>
          <w:b/>
          <w:i/>
          <w:lang w:val="en-GB" w:eastAsia="x-none"/>
        </w:rPr>
        <w:t>for e.g., &gt; 6 GHz and &lt; 40 GHz</w:t>
      </w:r>
      <w:r>
        <w:rPr>
          <w:rFonts w:ascii="Times New Roman" w:hAnsi="Times New Roman"/>
          <w:b/>
          <w:i/>
          <w:lang w:val="en-GB" w:eastAsia="x-none"/>
        </w:rPr>
        <w:t>)</w:t>
      </w:r>
      <w:r w:rsidRPr="008540BC">
        <w:rPr>
          <w:rFonts w:ascii="Times New Roman" w:hAnsi="Times New Roman"/>
          <w:b/>
          <w:i/>
          <w:lang w:val="en-GB" w:eastAsia="x-none"/>
        </w:rPr>
        <w:t>.</w:t>
      </w:r>
    </w:p>
    <w:p w14:paraId="3378CBA7" w14:textId="2F58E866" w:rsidR="004472D0" w:rsidRPr="00193733" w:rsidRDefault="004472D0" w:rsidP="00193733">
      <w:pPr>
        <w:spacing w:before="240"/>
        <w:jc w:val="both"/>
        <w:rPr>
          <w:rFonts w:ascii="Times New Roman" w:hAnsi="Times New Roman"/>
          <w:sz w:val="20"/>
        </w:rPr>
      </w:pPr>
    </w:p>
    <w:p w14:paraId="3C2985BB" w14:textId="77777777" w:rsidR="00BF3298" w:rsidRPr="00443753" w:rsidRDefault="00BF3298" w:rsidP="00BF3298">
      <w:pPr>
        <w:pStyle w:val="Heading1"/>
        <w:numPr>
          <w:ilvl w:val="0"/>
          <w:numId w:val="0"/>
        </w:numPr>
        <w:rPr>
          <w:lang w:val="en-US"/>
        </w:rPr>
      </w:pPr>
      <w:r w:rsidRPr="00443753">
        <w:rPr>
          <w:lang w:val="en-US"/>
        </w:rPr>
        <w:t>References</w:t>
      </w:r>
    </w:p>
    <w:p w14:paraId="0F4CBA70" w14:textId="77777777" w:rsidR="00D55668" w:rsidRPr="00AF7BA4" w:rsidRDefault="00D55668" w:rsidP="00D55668">
      <w:pPr>
        <w:pStyle w:val="References"/>
        <w:numPr>
          <w:ilvl w:val="0"/>
          <w:numId w:val="4"/>
        </w:numPr>
        <w:spacing w:before="60"/>
        <w:rPr>
          <w:color w:val="000000"/>
          <w:sz w:val="22"/>
          <w:szCs w:val="22"/>
          <w:lang w:eastAsia="zh-CN"/>
        </w:rPr>
      </w:pPr>
      <w:bookmarkStart w:id="3" w:name="_Ref446622356"/>
      <w:r w:rsidRPr="00AF7BA4">
        <w:rPr>
          <w:color w:val="000000"/>
          <w:sz w:val="22"/>
          <w:szCs w:val="22"/>
          <w:lang w:eastAsia="zh-CN"/>
        </w:rPr>
        <w:t>RP-160671, “New SID Proposal: Study on New Radio Access Technology”, NTT Docomo</w:t>
      </w:r>
      <w:bookmarkEnd w:id="3"/>
      <w:r w:rsidRPr="00AF7BA4">
        <w:rPr>
          <w:color w:val="000000"/>
          <w:sz w:val="22"/>
          <w:szCs w:val="22"/>
          <w:lang w:eastAsia="zh-CN"/>
        </w:rPr>
        <w:t>.</w:t>
      </w:r>
    </w:p>
    <w:p w14:paraId="448F53F2" w14:textId="14E3C710" w:rsidR="006A6716" w:rsidRPr="00AF7BA4" w:rsidRDefault="006B1020" w:rsidP="006A6716">
      <w:pPr>
        <w:pStyle w:val="References"/>
        <w:numPr>
          <w:ilvl w:val="0"/>
          <w:numId w:val="4"/>
        </w:numPr>
        <w:spacing w:before="60"/>
        <w:rPr>
          <w:color w:val="000000"/>
          <w:sz w:val="22"/>
          <w:szCs w:val="22"/>
          <w:lang w:eastAsia="zh-CN"/>
        </w:rPr>
      </w:pPr>
      <w:r w:rsidRPr="00AF7BA4">
        <w:rPr>
          <w:color w:val="000000"/>
          <w:sz w:val="22"/>
          <w:szCs w:val="22"/>
          <w:lang w:eastAsia="zh-CN"/>
        </w:rPr>
        <w:lastRenderedPageBreak/>
        <w:t>R1-162726, “Frame structure for new radio interface”, Intel Corporation.</w:t>
      </w:r>
    </w:p>
    <w:p w14:paraId="4CE938E7" w14:textId="7F45AE5E" w:rsidR="006B1020" w:rsidRPr="00AF7BA4" w:rsidRDefault="006B1020" w:rsidP="006B1020">
      <w:pPr>
        <w:widowControl w:val="0"/>
        <w:numPr>
          <w:ilvl w:val="0"/>
          <w:numId w:val="4"/>
        </w:numPr>
        <w:spacing w:after="120"/>
        <w:jc w:val="both"/>
        <w:rPr>
          <w:rFonts w:ascii="Times New Roman" w:hAnsi="Times New Roman" w:cs="Times New Roman"/>
          <w:lang w:eastAsia="zh-CN"/>
        </w:rPr>
      </w:pPr>
      <w:bookmarkStart w:id="4" w:name="_Ref447201387"/>
      <w:r w:rsidRPr="00AF7BA4">
        <w:rPr>
          <w:rFonts w:ascii="Times New Roman" w:hAnsi="Times New Roman" w:cs="Times New Roman"/>
          <w:lang w:eastAsia="zh-CN"/>
        </w:rPr>
        <w:t>R1-162384, “Considerations on waveform selection for new radio interface”, Intel Corporation</w:t>
      </w:r>
      <w:bookmarkEnd w:id="4"/>
      <w:r w:rsidRPr="00AF7BA4">
        <w:rPr>
          <w:rFonts w:ascii="Times New Roman" w:hAnsi="Times New Roman" w:cs="Times New Roman"/>
          <w:lang w:eastAsia="zh-CN"/>
        </w:rPr>
        <w:t>.</w:t>
      </w:r>
    </w:p>
    <w:p w14:paraId="71F130C7" w14:textId="2F3F4276" w:rsidR="006B1020" w:rsidRPr="00AF7BA4" w:rsidRDefault="006B1020" w:rsidP="006B1020">
      <w:pPr>
        <w:widowControl w:val="0"/>
        <w:numPr>
          <w:ilvl w:val="0"/>
          <w:numId w:val="4"/>
        </w:numPr>
        <w:spacing w:after="120"/>
        <w:jc w:val="both"/>
        <w:rPr>
          <w:rFonts w:ascii="Times New Roman" w:hAnsi="Times New Roman" w:cs="Times New Roman"/>
          <w:lang w:eastAsia="zh-CN"/>
        </w:rPr>
      </w:pPr>
      <w:bookmarkStart w:id="5" w:name="_Ref447201389"/>
      <w:r w:rsidRPr="00AF7BA4">
        <w:rPr>
          <w:rFonts w:ascii="Times New Roman" w:hAnsi="Times New Roman" w:cs="Times New Roman"/>
          <w:lang w:eastAsia="zh-CN"/>
        </w:rPr>
        <w:t>R1-162385, “Multiple access schemes for new radio interface”, Intel Corporation</w:t>
      </w:r>
      <w:bookmarkEnd w:id="5"/>
      <w:r w:rsidRPr="00AF7BA4">
        <w:rPr>
          <w:rFonts w:ascii="Times New Roman" w:hAnsi="Times New Roman" w:cs="Times New Roman"/>
          <w:lang w:eastAsia="zh-CN"/>
        </w:rPr>
        <w:t>,</w:t>
      </w:r>
    </w:p>
    <w:p w14:paraId="0D9909AC" w14:textId="77777777" w:rsidR="00D55668" w:rsidRPr="006A6716" w:rsidRDefault="00D55668" w:rsidP="00D55668">
      <w:pPr>
        <w:numPr>
          <w:ilvl w:val="0"/>
          <w:numId w:val="4"/>
        </w:numPr>
        <w:rPr>
          <w:rFonts w:ascii="Times New Roman" w:hAnsi="Times New Roman" w:cs="Times New Roman"/>
        </w:rPr>
      </w:pPr>
      <w:r w:rsidRPr="006A6716">
        <w:rPr>
          <w:rFonts w:ascii="Times New Roman" w:hAnsi="Times New Roman" w:cs="Times New Roman"/>
        </w:rPr>
        <w:t xml:space="preserve">S. Wu, Y. Ber-Ness, “OFDM Systems in the Presence of Phase Noise: Consequences and Solutions”, IEEE Transactions on communications, pp 1988-1997, Vol. 52, No. 11, Nov 2004.  </w:t>
      </w:r>
    </w:p>
    <w:p w14:paraId="1FFC3C64" w14:textId="58E9DC76" w:rsidR="006763BE" w:rsidRPr="006A6716" w:rsidRDefault="001A5A3A" w:rsidP="001A5A3A">
      <w:pPr>
        <w:widowControl w:val="0"/>
        <w:numPr>
          <w:ilvl w:val="0"/>
          <w:numId w:val="4"/>
        </w:numPr>
        <w:spacing w:after="120"/>
        <w:jc w:val="both"/>
        <w:rPr>
          <w:rFonts w:ascii="Times New Roman" w:hAnsi="Times New Roman" w:cs="Times New Roman"/>
          <w:lang w:eastAsia="zh-CN"/>
        </w:rPr>
      </w:pPr>
      <w:r w:rsidRPr="006A6716">
        <w:rPr>
          <w:rFonts w:ascii="Times New Roman" w:hAnsi="Times New Roman" w:cs="Times New Roman"/>
          <w:lang w:eastAsia="zh-CN"/>
        </w:rPr>
        <w:t>Performance aspects of OFDM PHY proposal, IEEE 802.16.3c-01/49</w:t>
      </w:r>
      <w:r w:rsidR="004D3C12" w:rsidRPr="006A6716">
        <w:rPr>
          <w:rFonts w:ascii="Times New Roman" w:hAnsi="Times New Roman" w:cs="Times New Roman"/>
          <w:lang w:eastAsia="zh-CN"/>
        </w:rPr>
        <w:t>.</w:t>
      </w:r>
    </w:p>
    <w:p w14:paraId="47CE85A5" w14:textId="60FA0999" w:rsidR="004D3C12" w:rsidRPr="006A6716" w:rsidRDefault="004D3C12" w:rsidP="004D3C12">
      <w:pPr>
        <w:widowControl w:val="0"/>
        <w:numPr>
          <w:ilvl w:val="0"/>
          <w:numId w:val="4"/>
        </w:numPr>
        <w:spacing w:after="120"/>
        <w:jc w:val="both"/>
        <w:rPr>
          <w:rFonts w:ascii="Times New Roman" w:hAnsi="Times New Roman" w:cs="Times New Roman"/>
          <w:lang w:eastAsia="zh-CN"/>
        </w:rPr>
      </w:pPr>
      <w:r w:rsidRPr="006A6716">
        <w:rPr>
          <w:rFonts w:ascii="Times New Roman" w:hAnsi="Times New Roman" w:cs="Times New Roman"/>
          <w:lang w:eastAsia="zh-CN"/>
        </w:rPr>
        <w:t>Q. Li, et al., “Millimeter wave channel model and its implications on system design,” IEEE International Conference on Communications, Jun. 2015.</w:t>
      </w:r>
    </w:p>
    <w:p w14:paraId="2AA5798F" w14:textId="77777777" w:rsidR="006763BE" w:rsidRDefault="006763BE" w:rsidP="00AD1A15">
      <w:pPr>
        <w:widowControl w:val="0"/>
        <w:spacing w:after="120"/>
        <w:jc w:val="both"/>
        <w:rPr>
          <w:lang w:eastAsia="zh-CN"/>
        </w:rPr>
      </w:pPr>
    </w:p>
    <w:sectPr w:rsidR="006763BE" w:rsidSect="006721B4">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9B8B1" w14:textId="77777777" w:rsidR="009B4A6A" w:rsidRDefault="009B4A6A">
      <w:r>
        <w:separator/>
      </w:r>
    </w:p>
  </w:endnote>
  <w:endnote w:type="continuationSeparator" w:id="0">
    <w:p w14:paraId="7E6B1470" w14:textId="77777777" w:rsidR="009B4A6A" w:rsidRDefault="009B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5BF" w14:textId="77777777" w:rsidR="002C7E39" w:rsidRPr="00194F61" w:rsidRDefault="002C7E39" w:rsidP="00194F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ADAA" w14:textId="77777777" w:rsidR="002C7E39" w:rsidRPr="00194F61" w:rsidRDefault="002C7E39" w:rsidP="00194F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2DC27" w14:textId="77777777" w:rsidR="002C7E39" w:rsidRDefault="002C7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38FD2" w14:textId="77777777" w:rsidR="009B4A6A" w:rsidRDefault="009B4A6A">
      <w:r>
        <w:separator/>
      </w:r>
    </w:p>
  </w:footnote>
  <w:footnote w:type="continuationSeparator" w:id="0">
    <w:p w14:paraId="35572A97" w14:textId="77777777" w:rsidR="009B4A6A" w:rsidRDefault="009B4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D35B0" w14:textId="77777777" w:rsidR="002C7E39" w:rsidRPr="00194F61" w:rsidRDefault="002C7E39" w:rsidP="00194F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BDB1F" w14:textId="77777777" w:rsidR="002C7E39" w:rsidRDefault="002C7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F00BE" w14:textId="77777777" w:rsidR="002C7E39" w:rsidRDefault="002C7E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B7BD8"/>
    <w:multiLevelType w:val="hybridMultilevel"/>
    <w:tmpl w:val="D874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11F7F"/>
    <w:multiLevelType w:val="hybridMultilevel"/>
    <w:tmpl w:val="0DC45810"/>
    <w:lvl w:ilvl="0" w:tplc="C8A63DA0">
      <w:start w:val="1"/>
      <w:numFmt w:val="bullet"/>
      <w:lvlText w:val=""/>
      <w:lvlJc w:val="left"/>
      <w:pPr>
        <w:tabs>
          <w:tab w:val="num" w:pos="720"/>
        </w:tabs>
        <w:ind w:left="720" w:hanging="360"/>
      </w:pPr>
      <w:rPr>
        <w:rFonts w:ascii="Wingdings" w:hAnsi="Wingdings" w:hint="default"/>
      </w:rPr>
    </w:lvl>
    <w:lvl w:ilvl="1" w:tplc="9EDA7C24">
      <w:start w:val="1"/>
      <w:numFmt w:val="bullet"/>
      <w:lvlText w:val=""/>
      <w:lvlJc w:val="left"/>
      <w:pPr>
        <w:tabs>
          <w:tab w:val="num" w:pos="1440"/>
        </w:tabs>
        <w:ind w:left="1440" w:hanging="360"/>
      </w:pPr>
      <w:rPr>
        <w:rFonts w:ascii="Wingdings" w:hAnsi="Wingdings" w:hint="default"/>
      </w:rPr>
    </w:lvl>
    <w:lvl w:ilvl="2" w:tplc="DF16E2E6" w:tentative="1">
      <w:start w:val="1"/>
      <w:numFmt w:val="bullet"/>
      <w:lvlText w:val=""/>
      <w:lvlJc w:val="left"/>
      <w:pPr>
        <w:tabs>
          <w:tab w:val="num" w:pos="2160"/>
        </w:tabs>
        <w:ind w:left="2160" w:hanging="360"/>
      </w:pPr>
      <w:rPr>
        <w:rFonts w:ascii="Wingdings" w:hAnsi="Wingdings" w:hint="default"/>
      </w:rPr>
    </w:lvl>
    <w:lvl w:ilvl="3" w:tplc="33743EE2" w:tentative="1">
      <w:start w:val="1"/>
      <w:numFmt w:val="bullet"/>
      <w:lvlText w:val=""/>
      <w:lvlJc w:val="left"/>
      <w:pPr>
        <w:tabs>
          <w:tab w:val="num" w:pos="2880"/>
        </w:tabs>
        <w:ind w:left="2880" w:hanging="360"/>
      </w:pPr>
      <w:rPr>
        <w:rFonts w:ascii="Wingdings" w:hAnsi="Wingdings" w:hint="default"/>
      </w:rPr>
    </w:lvl>
    <w:lvl w:ilvl="4" w:tplc="B66E18B2" w:tentative="1">
      <w:start w:val="1"/>
      <w:numFmt w:val="bullet"/>
      <w:lvlText w:val=""/>
      <w:lvlJc w:val="left"/>
      <w:pPr>
        <w:tabs>
          <w:tab w:val="num" w:pos="3600"/>
        </w:tabs>
        <w:ind w:left="3600" w:hanging="360"/>
      </w:pPr>
      <w:rPr>
        <w:rFonts w:ascii="Wingdings" w:hAnsi="Wingdings" w:hint="default"/>
      </w:rPr>
    </w:lvl>
    <w:lvl w:ilvl="5" w:tplc="DAA6C2F0" w:tentative="1">
      <w:start w:val="1"/>
      <w:numFmt w:val="bullet"/>
      <w:lvlText w:val=""/>
      <w:lvlJc w:val="left"/>
      <w:pPr>
        <w:tabs>
          <w:tab w:val="num" w:pos="4320"/>
        </w:tabs>
        <w:ind w:left="4320" w:hanging="360"/>
      </w:pPr>
      <w:rPr>
        <w:rFonts w:ascii="Wingdings" w:hAnsi="Wingdings" w:hint="default"/>
      </w:rPr>
    </w:lvl>
    <w:lvl w:ilvl="6" w:tplc="F55C54A0" w:tentative="1">
      <w:start w:val="1"/>
      <w:numFmt w:val="bullet"/>
      <w:lvlText w:val=""/>
      <w:lvlJc w:val="left"/>
      <w:pPr>
        <w:tabs>
          <w:tab w:val="num" w:pos="5040"/>
        </w:tabs>
        <w:ind w:left="5040" w:hanging="360"/>
      </w:pPr>
      <w:rPr>
        <w:rFonts w:ascii="Wingdings" w:hAnsi="Wingdings" w:hint="default"/>
      </w:rPr>
    </w:lvl>
    <w:lvl w:ilvl="7" w:tplc="0898F886" w:tentative="1">
      <w:start w:val="1"/>
      <w:numFmt w:val="bullet"/>
      <w:lvlText w:val=""/>
      <w:lvlJc w:val="left"/>
      <w:pPr>
        <w:tabs>
          <w:tab w:val="num" w:pos="5760"/>
        </w:tabs>
        <w:ind w:left="5760" w:hanging="360"/>
      </w:pPr>
      <w:rPr>
        <w:rFonts w:ascii="Wingdings" w:hAnsi="Wingdings" w:hint="default"/>
      </w:rPr>
    </w:lvl>
    <w:lvl w:ilvl="8" w:tplc="BB923F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E67C9"/>
    <w:multiLevelType w:val="hybridMultilevel"/>
    <w:tmpl w:val="CB1A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4408"/>
    <w:multiLevelType w:val="hybridMultilevel"/>
    <w:tmpl w:val="300ED9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7B6564"/>
    <w:multiLevelType w:val="hybridMultilevel"/>
    <w:tmpl w:val="0148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F7469"/>
    <w:multiLevelType w:val="hybridMultilevel"/>
    <w:tmpl w:val="88B06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8803CB"/>
    <w:multiLevelType w:val="hybridMultilevel"/>
    <w:tmpl w:val="51B60AA0"/>
    <w:lvl w:ilvl="0" w:tplc="3F3C2C28">
      <w:start w:val="550"/>
      <w:numFmt w:val="bullet"/>
      <w:lvlText w:val="-"/>
      <w:lvlJc w:val="left"/>
      <w:pPr>
        <w:ind w:left="720" w:hanging="360"/>
      </w:pPr>
      <w:rPr>
        <w:rFonts w:ascii="Calibri" w:eastAsia="Calibri"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160F9"/>
    <w:multiLevelType w:val="hybridMultilevel"/>
    <w:tmpl w:val="FFE6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01C20"/>
    <w:multiLevelType w:val="hybridMultilevel"/>
    <w:tmpl w:val="3EC4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20535"/>
    <w:multiLevelType w:val="hybridMultilevel"/>
    <w:tmpl w:val="E2EAB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45AA5F13"/>
    <w:multiLevelType w:val="hybridMultilevel"/>
    <w:tmpl w:val="30D0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BC5E017E"/>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1A65F0"/>
    <w:multiLevelType w:val="hybridMultilevel"/>
    <w:tmpl w:val="D772BF0C"/>
    <w:lvl w:ilvl="0" w:tplc="BE20558A">
      <w:start w:val="1"/>
      <w:numFmt w:val="bullet"/>
      <w:lvlText w:val=""/>
      <w:lvlJc w:val="left"/>
      <w:pPr>
        <w:tabs>
          <w:tab w:val="num" w:pos="720"/>
        </w:tabs>
        <w:ind w:left="720" w:hanging="360"/>
      </w:pPr>
      <w:rPr>
        <w:rFonts w:ascii="Wingdings" w:hAnsi="Wingdings" w:hint="default"/>
      </w:rPr>
    </w:lvl>
    <w:lvl w:ilvl="1" w:tplc="15223E40">
      <w:start w:val="1"/>
      <w:numFmt w:val="bullet"/>
      <w:lvlText w:val=""/>
      <w:lvlJc w:val="left"/>
      <w:pPr>
        <w:tabs>
          <w:tab w:val="num" w:pos="1440"/>
        </w:tabs>
        <w:ind w:left="1440" w:hanging="360"/>
      </w:pPr>
      <w:rPr>
        <w:rFonts w:ascii="Wingdings" w:hAnsi="Wingdings" w:hint="default"/>
      </w:rPr>
    </w:lvl>
    <w:lvl w:ilvl="2" w:tplc="6D245BFC">
      <w:start w:val="223"/>
      <w:numFmt w:val="bullet"/>
      <w:lvlText w:val=""/>
      <w:lvlJc w:val="left"/>
      <w:pPr>
        <w:tabs>
          <w:tab w:val="num" w:pos="2160"/>
        </w:tabs>
        <w:ind w:left="2160" w:hanging="360"/>
      </w:pPr>
      <w:rPr>
        <w:rFonts w:ascii="Wingdings" w:hAnsi="Wingdings" w:hint="default"/>
      </w:rPr>
    </w:lvl>
    <w:lvl w:ilvl="3" w:tplc="653AF4EC" w:tentative="1">
      <w:start w:val="1"/>
      <w:numFmt w:val="bullet"/>
      <w:lvlText w:val=""/>
      <w:lvlJc w:val="left"/>
      <w:pPr>
        <w:tabs>
          <w:tab w:val="num" w:pos="2880"/>
        </w:tabs>
        <w:ind w:left="2880" w:hanging="360"/>
      </w:pPr>
      <w:rPr>
        <w:rFonts w:ascii="Wingdings" w:hAnsi="Wingdings" w:hint="default"/>
      </w:rPr>
    </w:lvl>
    <w:lvl w:ilvl="4" w:tplc="9656D836" w:tentative="1">
      <w:start w:val="1"/>
      <w:numFmt w:val="bullet"/>
      <w:lvlText w:val=""/>
      <w:lvlJc w:val="left"/>
      <w:pPr>
        <w:tabs>
          <w:tab w:val="num" w:pos="3600"/>
        </w:tabs>
        <w:ind w:left="3600" w:hanging="360"/>
      </w:pPr>
      <w:rPr>
        <w:rFonts w:ascii="Wingdings" w:hAnsi="Wingdings" w:hint="default"/>
      </w:rPr>
    </w:lvl>
    <w:lvl w:ilvl="5" w:tplc="138C5EC2" w:tentative="1">
      <w:start w:val="1"/>
      <w:numFmt w:val="bullet"/>
      <w:lvlText w:val=""/>
      <w:lvlJc w:val="left"/>
      <w:pPr>
        <w:tabs>
          <w:tab w:val="num" w:pos="4320"/>
        </w:tabs>
        <w:ind w:left="4320" w:hanging="360"/>
      </w:pPr>
      <w:rPr>
        <w:rFonts w:ascii="Wingdings" w:hAnsi="Wingdings" w:hint="default"/>
      </w:rPr>
    </w:lvl>
    <w:lvl w:ilvl="6" w:tplc="D0CEEC8E" w:tentative="1">
      <w:start w:val="1"/>
      <w:numFmt w:val="bullet"/>
      <w:lvlText w:val=""/>
      <w:lvlJc w:val="left"/>
      <w:pPr>
        <w:tabs>
          <w:tab w:val="num" w:pos="5040"/>
        </w:tabs>
        <w:ind w:left="5040" w:hanging="360"/>
      </w:pPr>
      <w:rPr>
        <w:rFonts w:ascii="Wingdings" w:hAnsi="Wingdings" w:hint="default"/>
      </w:rPr>
    </w:lvl>
    <w:lvl w:ilvl="7" w:tplc="94CCBB54" w:tentative="1">
      <w:start w:val="1"/>
      <w:numFmt w:val="bullet"/>
      <w:lvlText w:val=""/>
      <w:lvlJc w:val="left"/>
      <w:pPr>
        <w:tabs>
          <w:tab w:val="num" w:pos="5760"/>
        </w:tabs>
        <w:ind w:left="5760" w:hanging="360"/>
      </w:pPr>
      <w:rPr>
        <w:rFonts w:ascii="Wingdings" w:hAnsi="Wingdings" w:hint="default"/>
      </w:rPr>
    </w:lvl>
    <w:lvl w:ilvl="8" w:tplc="FE64F5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B3103"/>
    <w:multiLevelType w:val="hybridMultilevel"/>
    <w:tmpl w:val="E510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126D3D"/>
    <w:multiLevelType w:val="hybridMultilevel"/>
    <w:tmpl w:val="15862B1E"/>
    <w:lvl w:ilvl="0" w:tplc="8A544E40">
      <w:start w:val="1"/>
      <w:numFmt w:val="bullet"/>
      <w:lvlText w:val=""/>
      <w:lvlJc w:val="left"/>
      <w:pPr>
        <w:tabs>
          <w:tab w:val="num" w:pos="720"/>
        </w:tabs>
        <w:ind w:left="720" w:hanging="360"/>
      </w:pPr>
      <w:rPr>
        <w:rFonts w:ascii="Wingdings" w:hAnsi="Wingdings" w:hint="default"/>
      </w:rPr>
    </w:lvl>
    <w:lvl w:ilvl="1" w:tplc="713803B2">
      <w:start w:val="1"/>
      <w:numFmt w:val="bullet"/>
      <w:lvlText w:val=""/>
      <w:lvlJc w:val="left"/>
      <w:pPr>
        <w:tabs>
          <w:tab w:val="num" w:pos="1440"/>
        </w:tabs>
        <w:ind w:left="1440" w:hanging="360"/>
      </w:pPr>
      <w:rPr>
        <w:rFonts w:ascii="Wingdings" w:hAnsi="Wingdings" w:hint="default"/>
      </w:rPr>
    </w:lvl>
    <w:lvl w:ilvl="2" w:tplc="19C85DD6" w:tentative="1">
      <w:start w:val="1"/>
      <w:numFmt w:val="bullet"/>
      <w:lvlText w:val=""/>
      <w:lvlJc w:val="left"/>
      <w:pPr>
        <w:tabs>
          <w:tab w:val="num" w:pos="2160"/>
        </w:tabs>
        <w:ind w:left="2160" w:hanging="360"/>
      </w:pPr>
      <w:rPr>
        <w:rFonts w:ascii="Wingdings" w:hAnsi="Wingdings" w:hint="default"/>
      </w:rPr>
    </w:lvl>
    <w:lvl w:ilvl="3" w:tplc="38EAF98A" w:tentative="1">
      <w:start w:val="1"/>
      <w:numFmt w:val="bullet"/>
      <w:lvlText w:val=""/>
      <w:lvlJc w:val="left"/>
      <w:pPr>
        <w:tabs>
          <w:tab w:val="num" w:pos="2880"/>
        </w:tabs>
        <w:ind w:left="2880" w:hanging="360"/>
      </w:pPr>
      <w:rPr>
        <w:rFonts w:ascii="Wingdings" w:hAnsi="Wingdings" w:hint="default"/>
      </w:rPr>
    </w:lvl>
    <w:lvl w:ilvl="4" w:tplc="D326DE74" w:tentative="1">
      <w:start w:val="1"/>
      <w:numFmt w:val="bullet"/>
      <w:lvlText w:val=""/>
      <w:lvlJc w:val="left"/>
      <w:pPr>
        <w:tabs>
          <w:tab w:val="num" w:pos="3600"/>
        </w:tabs>
        <w:ind w:left="3600" w:hanging="360"/>
      </w:pPr>
      <w:rPr>
        <w:rFonts w:ascii="Wingdings" w:hAnsi="Wingdings" w:hint="default"/>
      </w:rPr>
    </w:lvl>
    <w:lvl w:ilvl="5" w:tplc="B94C1C38" w:tentative="1">
      <w:start w:val="1"/>
      <w:numFmt w:val="bullet"/>
      <w:lvlText w:val=""/>
      <w:lvlJc w:val="left"/>
      <w:pPr>
        <w:tabs>
          <w:tab w:val="num" w:pos="4320"/>
        </w:tabs>
        <w:ind w:left="4320" w:hanging="360"/>
      </w:pPr>
      <w:rPr>
        <w:rFonts w:ascii="Wingdings" w:hAnsi="Wingdings" w:hint="default"/>
      </w:rPr>
    </w:lvl>
    <w:lvl w:ilvl="6" w:tplc="F3DCC118" w:tentative="1">
      <w:start w:val="1"/>
      <w:numFmt w:val="bullet"/>
      <w:lvlText w:val=""/>
      <w:lvlJc w:val="left"/>
      <w:pPr>
        <w:tabs>
          <w:tab w:val="num" w:pos="5040"/>
        </w:tabs>
        <w:ind w:left="5040" w:hanging="360"/>
      </w:pPr>
      <w:rPr>
        <w:rFonts w:ascii="Wingdings" w:hAnsi="Wingdings" w:hint="default"/>
      </w:rPr>
    </w:lvl>
    <w:lvl w:ilvl="7" w:tplc="50C2AB20" w:tentative="1">
      <w:start w:val="1"/>
      <w:numFmt w:val="bullet"/>
      <w:lvlText w:val=""/>
      <w:lvlJc w:val="left"/>
      <w:pPr>
        <w:tabs>
          <w:tab w:val="num" w:pos="5760"/>
        </w:tabs>
        <w:ind w:left="5760" w:hanging="360"/>
      </w:pPr>
      <w:rPr>
        <w:rFonts w:ascii="Wingdings" w:hAnsi="Wingdings" w:hint="default"/>
      </w:rPr>
    </w:lvl>
    <w:lvl w:ilvl="8" w:tplc="78ACC5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CA52A2"/>
    <w:multiLevelType w:val="hybridMultilevel"/>
    <w:tmpl w:val="EFCC2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B6625D"/>
    <w:multiLevelType w:val="hybridMultilevel"/>
    <w:tmpl w:val="CAA24BBE"/>
    <w:lvl w:ilvl="0" w:tplc="472E1F54">
      <w:start w:val="1"/>
      <w:numFmt w:val="bullet"/>
      <w:lvlText w:val="•"/>
      <w:lvlJc w:val="left"/>
      <w:pPr>
        <w:tabs>
          <w:tab w:val="num" w:pos="720"/>
        </w:tabs>
        <w:ind w:left="720" w:hanging="360"/>
      </w:pPr>
      <w:rPr>
        <w:rFonts w:ascii="Arial" w:hAnsi="Arial" w:hint="default"/>
      </w:rPr>
    </w:lvl>
    <w:lvl w:ilvl="1" w:tplc="32041B0A">
      <w:start w:val="2963"/>
      <w:numFmt w:val="bullet"/>
      <w:lvlText w:val="–"/>
      <w:lvlJc w:val="left"/>
      <w:pPr>
        <w:tabs>
          <w:tab w:val="num" w:pos="1440"/>
        </w:tabs>
        <w:ind w:left="1440" w:hanging="360"/>
      </w:pPr>
      <w:rPr>
        <w:rFonts w:ascii="Arial" w:hAnsi="Arial" w:hint="default"/>
      </w:rPr>
    </w:lvl>
    <w:lvl w:ilvl="2" w:tplc="C244661C">
      <w:start w:val="1"/>
      <w:numFmt w:val="bullet"/>
      <w:lvlText w:val="•"/>
      <w:lvlJc w:val="left"/>
      <w:pPr>
        <w:tabs>
          <w:tab w:val="num" w:pos="2160"/>
        </w:tabs>
        <w:ind w:left="2160" w:hanging="360"/>
      </w:pPr>
      <w:rPr>
        <w:rFonts w:ascii="Arial" w:hAnsi="Arial" w:hint="default"/>
      </w:rPr>
    </w:lvl>
    <w:lvl w:ilvl="3" w:tplc="BD3AEECE" w:tentative="1">
      <w:start w:val="1"/>
      <w:numFmt w:val="bullet"/>
      <w:lvlText w:val="•"/>
      <w:lvlJc w:val="left"/>
      <w:pPr>
        <w:tabs>
          <w:tab w:val="num" w:pos="2880"/>
        </w:tabs>
        <w:ind w:left="2880" w:hanging="360"/>
      </w:pPr>
      <w:rPr>
        <w:rFonts w:ascii="Arial" w:hAnsi="Arial" w:hint="default"/>
      </w:rPr>
    </w:lvl>
    <w:lvl w:ilvl="4" w:tplc="D73A7856" w:tentative="1">
      <w:start w:val="1"/>
      <w:numFmt w:val="bullet"/>
      <w:lvlText w:val="•"/>
      <w:lvlJc w:val="left"/>
      <w:pPr>
        <w:tabs>
          <w:tab w:val="num" w:pos="3600"/>
        </w:tabs>
        <w:ind w:left="3600" w:hanging="360"/>
      </w:pPr>
      <w:rPr>
        <w:rFonts w:ascii="Arial" w:hAnsi="Arial" w:hint="default"/>
      </w:rPr>
    </w:lvl>
    <w:lvl w:ilvl="5" w:tplc="19BA6ACA" w:tentative="1">
      <w:start w:val="1"/>
      <w:numFmt w:val="bullet"/>
      <w:lvlText w:val="•"/>
      <w:lvlJc w:val="left"/>
      <w:pPr>
        <w:tabs>
          <w:tab w:val="num" w:pos="4320"/>
        </w:tabs>
        <w:ind w:left="4320" w:hanging="360"/>
      </w:pPr>
      <w:rPr>
        <w:rFonts w:ascii="Arial" w:hAnsi="Arial" w:hint="default"/>
      </w:rPr>
    </w:lvl>
    <w:lvl w:ilvl="6" w:tplc="424CEF7A" w:tentative="1">
      <w:start w:val="1"/>
      <w:numFmt w:val="bullet"/>
      <w:lvlText w:val="•"/>
      <w:lvlJc w:val="left"/>
      <w:pPr>
        <w:tabs>
          <w:tab w:val="num" w:pos="5040"/>
        </w:tabs>
        <w:ind w:left="5040" w:hanging="360"/>
      </w:pPr>
      <w:rPr>
        <w:rFonts w:ascii="Arial" w:hAnsi="Arial" w:hint="default"/>
      </w:rPr>
    </w:lvl>
    <w:lvl w:ilvl="7" w:tplc="C316D6E4" w:tentative="1">
      <w:start w:val="1"/>
      <w:numFmt w:val="bullet"/>
      <w:lvlText w:val="•"/>
      <w:lvlJc w:val="left"/>
      <w:pPr>
        <w:tabs>
          <w:tab w:val="num" w:pos="5760"/>
        </w:tabs>
        <w:ind w:left="5760" w:hanging="360"/>
      </w:pPr>
      <w:rPr>
        <w:rFonts w:ascii="Arial" w:hAnsi="Arial" w:hint="default"/>
      </w:rPr>
    </w:lvl>
    <w:lvl w:ilvl="8" w:tplc="941A19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7E4F74"/>
    <w:multiLevelType w:val="hybridMultilevel"/>
    <w:tmpl w:val="08062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72BF2"/>
    <w:multiLevelType w:val="hybridMultilevel"/>
    <w:tmpl w:val="4586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D77F2"/>
    <w:multiLevelType w:val="hybridMultilevel"/>
    <w:tmpl w:val="BB1C9916"/>
    <w:lvl w:ilvl="0" w:tplc="4F88755E">
      <w:start w:val="1"/>
      <w:numFmt w:val="bullet"/>
      <w:lvlText w:val=""/>
      <w:lvlJc w:val="left"/>
      <w:pPr>
        <w:tabs>
          <w:tab w:val="num" w:pos="720"/>
        </w:tabs>
        <w:ind w:left="720" w:hanging="360"/>
      </w:pPr>
      <w:rPr>
        <w:rFonts w:ascii="Wingdings" w:hAnsi="Wingdings" w:hint="default"/>
      </w:rPr>
    </w:lvl>
    <w:lvl w:ilvl="1" w:tplc="01B00FA6">
      <w:start w:val="1"/>
      <w:numFmt w:val="bullet"/>
      <w:lvlText w:val=""/>
      <w:lvlJc w:val="left"/>
      <w:pPr>
        <w:tabs>
          <w:tab w:val="num" w:pos="1440"/>
        </w:tabs>
        <w:ind w:left="1440" w:hanging="360"/>
      </w:pPr>
      <w:rPr>
        <w:rFonts w:ascii="Wingdings" w:hAnsi="Wingdings" w:hint="default"/>
      </w:rPr>
    </w:lvl>
    <w:lvl w:ilvl="2" w:tplc="ACFA5FFC" w:tentative="1">
      <w:start w:val="1"/>
      <w:numFmt w:val="bullet"/>
      <w:lvlText w:val=""/>
      <w:lvlJc w:val="left"/>
      <w:pPr>
        <w:tabs>
          <w:tab w:val="num" w:pos="2160"/>
        </w:tabs>
        <w:ind w:left="2160" w:hanging="360"/>
      </w:pPr>
      <w:rPr>
        <w:rFonts w:ascii="Wingdings" w:hAnsi="Wingdings" w:hint="default"/>
      </w:rPr>
    </w:lvl>
    <w:lvl w:ilvl="3" w:tplc="D0109DC2" w:tentative="1">
      <w:start w:val="1"/>
      <w:numFmt w:val="bullet"/>
      <w:lvlText w:val=""/>
      <w:lvlJc w:val="left"/>
      <w:pPr>
        <w:tabs>
          <w:tab w:val="num" w:pos="2880"/>
        </w:tabs>
        <w:ind w:left="2880" w:hanging="360"/>
      </w:pPr>
      <w:rPr>
        <w:rFonts w:ascii="Wingdings" w:hAnsi="Wingdings" w:hint="default"/>
      </w:rPr>
    </w:lvl>
    <w:lvl w:ilvl="4" w:tplc="9C5C09A4" w:tentative="1">
      <w:start w:val="1"/>
      <w:numFmt w:val="bullet"/>
      <w:lvlText w:val=""/>
      <w:lvlJc w:val="left"/>
      <w:pPr>
        <w:tabs>
          <w:tab w:val="num" w:pos="3600"/>
        </w:tabs>
        <w:ind w:left="3600" w:hanging="360"/>
      </w:pPr>
      <w:rPr>
        <w:rFonts w:ascii="Wingdings" w:hAnsi="Wingdings" w:hint="default"/>
      </w:rPr>
    </w:lvl>
    <w:lvl w:ilvl="5" w:tplc="2CDC7FD0" w:tentative="1">
      <w:start w:val="1"/>
      <w:numFmt w:val="bullet"/>
      <w:lvlText w:val=""/>
      <w:lvlJc w:val="left"/>
      <w:pPr>
        <w:tabs>
          <w:tab w:val="num" w:pos="4320"/>
        </w:tabs>
        <w:ind w:left="4320" w:hanging="360"/>
      </w:pPr>
      <w:rPr>
        <w:rFonts w:ascii="Wingdings" w:hAnsi="Wingdings" w:hint="default"/>
      </w:rPr>
    </w:lvl>
    <w:lvl w:ilvl="6" w:tplc="D44AD0DE" w:tentative="1">
      <w:start w:val="1"/>
      <w:numFmt w:val="bullet"/>
      <w:lvlText w:val=""/>
      <w:lvlJc w:val="left"/>
      <w:pPr>
        <w:tabs>
          <w:tab w:val="num" w:pos="5040"/>
        </w:tabs>
        <w:ind w:left="5040" w:hanging="360"/>
      </w:pPr>
      <w:rPr>
        <w:rFonts w:ascii="Wingdings" w:hAnsi="Wingdings" w:hint="default"/>
      </w:rPr>
    </w:lvl>
    <w:lvl w:ilvl="7" w:tplc="58C03086" w:tentative="1">
      <w:start w:val="1"/>
      <w:numFmt w:val="bullet"/>
      <w:lvlText w:val=""/>
      <w:lvlJc w:val="left"/>
      <w:pPr>
        <w:tabs>
          <w:tab w:val="num" w:pos="5760"/>
        </w:tabs>
        <w:ind w:left="5760" w:hanging="360"/>
      </w:pPr>
      <w:rPr>
        <w:rFonts w:ascii="Wingdings" w:hAnsi="Wingdings" w:hint="default"/>
      </w:rPr>
    </w:lvl>
    <w:lvl w:ilvl="8" w:tplc="D0B2E8E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FE5E48"/>
    <w:multiLevelType w:val="hybridMultilevel"/>
    <w:tmpl w:val="964C4FE2"/>
    <w:lvl w:ilvl="0" w:tplc="F148EA3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3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20"/>
  </w:num>
  <w:num w:numId="8">
    <w:abstractNumId w:val="32"/>
  </w:num>
  <w:num w:numId="9">
    <w:abstractNumId w:val="39"/>
  </w:num>
  <w:num w:numId="10">
    <w:abstractNumId w:val="28"/>
  </w:num>
  <w:num w:numId="11">
    <w:abstractNumId w:val="6"/>
  </w:num>
  <w:num w:numId="12">
    <w:abstractNumId w:val="1"/>
  </w:num>
  <w:num w:numId="13">
    <w:abstractNumId w:val="9"/>
  </w:num>
  <w:num w:numId="14">
    <w:abstractNumId w:val="16"/>
  </w:num>
  <w:num w:numId="15">
    <w:abstractNumId w:val="2"/>
  </w:num>
  <w:num w:numId="16">
    <w:abstractNumId w:val="37"/>
  </w:num>
  <w:num w:numId="17">
    <w:abstractNumId w:val="15"/>
  </w:num>
  <w:num w:numId="18">
    <w:abstractNumId w:val="35"/>
  </w:num>
  <w:num w:numId="19">
    <w:abstractNumId w:val="17"/>
  </w:num>
  <w:num w:numId="20">
    <w:abstractNumId w:val="31"/>
  </w:num>
  <w:num w:numId="21">
    <w:abstractNumId w:val="5"/>
  </w:num>
  <w:num w:numId="22">
    <w:abstractNumId w:val="33"/>
  </w:num>
  <w:num w:numId="23">
    <w:abstractNumId w:val="13"/>
  </w:num>
  <w:num w:numId="24">
    <w:abstractNumId w:val="27"/>
  </w:num>
  <w:num w:numId="25">
    <w:abstractNumId w:val="26"/>
  </w:num>
  <w:num w:numId="26">
    <w:abstractNumId w:val="30"/>
  </w:num>
  <w:num w:numId="27">
    <w:abstractNumId w:val="23"/>
  </w:num>
  <w:num w:numId="28">
    <w:abstractNumId w:val="7"/>
  </w:num>
  <w:num w:numId="29">
    <w:abstractNumId w:val="38"/>
  </w:num>
  <w:num w:numId="30">
    <w:abstractNumId w:val="36"/>
  </w:num>
  <w:num w:numId="31">
    <w:abstractNumId w:val="14"/>
  </w:num>
  <w:num w:numId="32">
    <w:abstractNumId w:val="11"/>
  </w:num>
  <w:num w:numId="33">
    <w:abstractNumId w:val="21"/>
  </w:num>
  <w:num w:numId="34">
    <w:abstractNumId w:val="10"/>
  </w:num>
  <w:num w:numId="35">
    <w:abstractNumId w:val="3"/>
  </w:num>
  <w:num w:numId="36">
    <w:abstractNumId w:val="34"/>
  </w:num>
  <w:num w:numId="37">
    <w:abstractNumId w:val="25"/>
  </w:num>
  <w:num w:numId="38">
    <w:abstractNumId w:val="4"/>
  </w:num>
  <w:num w:numId="39">
    <w:abstractNumId w:val="19"/>
  </w:num>
  <w:num w:numId="4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285"/>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263"/>
    <w:rsid w:val="000124D1"/>
    <w:rsid w:val="0001282B"/>
    <w:rsid w:val="00012A11"/>
    <w:rsid w:val="00012D90"/>
    <w:rsid w:val="0001321B"/>
    <w:rsid w:val="00013587"/>
    <w:rsid w:val="000137FF"/>
    <w:rsid w:val="00013B63"/>
    <w:rsid w:val="000141F0"/>
    <w:rsid w:val="00014F81"/>
    <w:rsid w:val="0001537A"/>
    <w:rsid w:val="00015549"/>
    <w:rsid w:val="000157C4"/>
    <w:rsid w:val="00015BCB"/>
    <w:rsid w:val="00015E40"/>
    <w:rsid w:val="00015F43"/>
    <w:rsid w:val="000162B2"/>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692"/>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A0F"/>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C04"/>
    <w:rsid w:val="00034DC2"/>
    <w:rsid w:val="00034E53"/>
    <w:rsid w:val="000350B6"/>
    <w:rsid w:val="0003540B"/>
    <w:rsid w:val="00035CAB"/>
    <w:rsid w:val="00035D4F"/>
    <w:rsid w:val="000363A8"/>
    <w:rsid w:val="00036416"/>
    <w:rsid w:val="000366BD"/>
    <w:rsid w:val="00036A16"/>
    <w:rsid w:val="00036B6F"/>
    <w:rsid w:val="00036BE6"/>
    <w:rsid w:val="00036C45"/>
    <w:rsid w:val="00036CDD"/>
    <w:rsid w:val="00036D8F"/>
    <w:rsid w:val="00036D9D"/>
    <w:rsid w:val="00036FA7"/>
    <w:rsid w:val="00036FC6"/>
    <w:rsid w:val="000377E3"/>
    <w:rsid w:val="00037910"/>
    <w:rsid w:val="00037A21"/>
    <w:rsid w:val="00037F3F"/>
    <w:rsid w:val="000401C5"/>
    <w:rsid w:val="0004030B"/>
    <w:rsid w:val="00040316"/>
    <w:rsid w:val="000404F2"/>
    <w:rsid w:val="00040B0D"/>
    <w:rsid w:val="00040F7A"/>
    <w:rsid w:val="000412B7"/>
    <w:rsid w:val="000412DE"/>
    <w:rsid w:val="000413B8"/>
    <w:rsid w:val="0004182E"/>
    <w:rsid w:val="000418C8"/>
    <w:rsid w:val="00041BBF"/>
    <w:rsid w:val="00042522"/>
    <w:rsid w:val="000426B1"/>
    <w:rsid w:val="00042993"/>
    <w:rsid w:val="00042BFC"/>
    <w:rsid w:val="0004304B"/>
    <w:rsid w:val="000430CF"/>
    <w:rsid w:val="00043703"/>
    <w:rsid w:val="00043A9A"/>
    <w:rsid w:val="00043BE5"/>
    <w:rsid w:val="0004403C"/>
    <w:rsid w:val="00044225"/>
    <w:rsid w:val="00044359"/>
    <w:rsid w:val="00044576"/>
    <w:rsid w:val="00044CD4"/>
    <w:rsid w:val="00044E26"/>
    <w:rsid w:val="00044FC4"/>
    <w:rsid w:val="000451E5"/>
    <w:rsid w:val="000453F6"/>
    <w:rsid w:val="00045971"/>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07"/>
    <w:rsid w:val="0005094F"/>
    <w:rsid w:val="00050AEE"/>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92"/>
    <w:rsid w:val="00054DAB"/>
    <w:rsid w:val="0005504C"/>
    <w:rsid w:val="00055161"/>
    <w:rsid w:val="0005525F"/>
    <w:rsid w:val="0005539C"/>
    <w:rsid w:val="00055873"/>
    <w:rsid w:val="00055AFD"/>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1FB"/>
    <w:rsid w:val="000602FA"/>
    <w:rsid w:val="00060586"/>
    <w:rsid w:val="00060A88"/>
    <w:rsid w:val="00060ACD"/>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608F"/>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4DB0"/>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CDB"/>
    <w:rsid w:val="00082152"/>
    <w:rsid w:val="0008221F"/>
    <w:rsid w:val="00082607"/>
    <w:rsid w:val="000826FF"/>
    <w:rsid w:val="000827D8"/>
    <w:rsid w:val="00082A49"/>
    <w:rsid w:val="00082E14"/>
    <w:rsid w:val="00083322"/>
    <w:rsid w:val="000835E2"/>
    <w:rsid w:val="00083788"/>
    <w:rsid w:val="00084255"/>
    <w:rsid w:val="000844CD"/>
    <w:rsid w:val="00085239"/>
    <w:rsid w:val="000855AA"/>
    <w:rsid w:val="00085860"/>
    <w:rsid w:val="00085A20"/>
    <w:rsid w:val="000862BA"/>
    <w:rsid w:val="00086669"/>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70C"/>
    <w:rsid w:val="000979DA"/>
    <w:rsid w:val="000979F0"/>
    <w:rsid w:val="00097AE8"/>
    <w:rsid w:val="00097BFB"/>
    <w:rsid w:val="000A0026"/>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7DC"/>
    <w:rsid w:val="000A5AE2"/>
    <w:rsid w:val="000A5ED8"/>
    <w:rsid w:val="000A61CB"/>
    <w:rsid w:val="000A64B8"/>
    <w:rsid w:val="000A667F"/>
    <w:rsid w:val="000A6788"/>
    <w:rsid w:val="000A67DE"/>
    <w:rsid w:val="000A6AC6"/>
    <w:rsid w:val="000A6AD7"/>
    <w:rsid w:val="000A6CFE"/>
    <w:rsid w:val="000A739F"/>
    <w:rsid w:val="000A7422"/>
    <w:rsid w:val="000A75CE"/>
    <w:rsid w:val="000A7786"/>
    <w:rsid w:val="000A7C88"/>
    <w:rsid w:val="000A7E17"/>
    <w:rsid w:val="000A7F09"/>
    <w:rsid w:val="000B02C2"/>
    <w:rsid w:val="000B0424"/>
    <w:rsid w:val="000B081C"/>
    <w:rsid w:val="000B0A22"/>
    <w:rsid w:val="000B0DB5"/>
    <w:rsid w:val="000B10AB"/>
    <w:rsid w:val="000B1491"/>
    <w:rsid w:val="000B16A2"/>
    <w:rsid w:val="000B17A1"/>
    <w:rsid w:val="000B1B12"/>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A6A"/>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2CA"/>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853"/>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1C4"/>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08"/>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D8"/>
    <w:rsid w:val="001115C0"/>
    <w:rsid w:val="001115F4"/>
    <w:rsid w:val="001118AA"/>
    <w:rsid w:val="00111AD9"/>
    <w:rsid w:val="00111CAB"/>
    <w:rsid w:val="00111D5C"/>
    <w:rsid w:val="00111DC7"/>
    <w:rsid w:val="00111FBC"/>
    <w:rsid w:val="001124B2"/>
    <w:rsid w:val="001124C3"/>
    <w:rsid w:val="00112A64"/>
    <w:rsid w:val="00112B8F"/>
    <w:rsid w:val="00112D41"/>
    <w:rsid w:val="00112D87"/>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D24"/>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383"/>
    <w:rsid w:val="001255FD"/>
    <w:rsid w:val="001257E6"/>
    <w:rsid w:val="00125DAC"/>
    <w:rsid w:val="001274AC"/>
    <w:rsid w:val="001275E6"/>
    <w:rsid w:val="00127678"/>
    <w:rsid w:val="001278DC"/>
    <w:rsid w:val="00127DE2"/>
    <w:rsid w:val="00127F28"/>
    <w:rsid w:val="001301E5"/>
    <w:rsid w:val="00130607"/>
    <w:rsid w:val="00130714"/>
    <w:rsid w:val="00130953"/>
    <w:rsid w:val="00130E6A"/>
    <w:rsid w:val="0013109C"/>
    <w:rsid w:val="00131683"/>
    <w:rsid w:val="0013192F"/>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86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55C"/>
    <w:rsid w:val="00137637"/>
    <w:rsid w:val="001376F7"/>
    <w:rsid w:val="00137A97"/>
    <w:rsid w:val="00140118"/>
    <w:rsid w:val="00140413"/>
    <w:rsid w:val="001404B1"/>
    <w:rsid w:val="00140608"/>
    <w:rsid w:val="0014073C"/>
    <w:rsid w:val="00140762"/>
    <w:rsid w:val="00140782"/>
    <w:rsid w:val="00140C78"/>
    <w:rsid w:val="00140E5E"/>
    <w:rsid w:val="001410F1"/>
    <w:rsid w:val="00141164"/>
    <w:rsid w:val="001411F6"/>
    <w:rsid w:val="001418FE"/>
    <w:rsid w:val="00141D77"/>
    <w:rsid w:val="00141E46"/>
    <w:rsid w:val="0014206B"/>
    <w:rsid w:val="00142093"/>
    <w:rsid w:val="00142484"/>
    <w:rsid w:val="0014278F"/>
    <w:rsid w:val="00142D31"/>
    <w:rsid w:val="00142DE0"/>
    <w:rsid w:val="00142E42"/>
    <w:rsid w:val="001433C9"/>
    <w:rsid w:val="001434B3"/>
    <w:rsid w:val="001435F2"/>
    <w:rsid w:val="0014371C"/>
    <w:rsid w:val="001437F6"/>
    <w:rsid w:val="00143E78"/>
    <w:rsid w:val="00143FFE"/>
    <w:rsid w:val="0014471E"/>
    <w:rsid w:val="00144731"/>
    <w:rsid w:val="0014491B"/>
    <w:rsid w:val="00144B3F"/>
    <w:rsid w:val="00144BAC"/>
    <w:rsid w:val="00144E04"/>
    <w:rsid w:val="001454C4"/>
    <w:rsid w:val="00145545"/>
    <w:rsid w:val="00145E66"/>
    <w:rsid w:val="00146129"/>
    <w:rsid w:val="0014624C"/>
    <w:rsid w:val="0014646F"/>
    <w:rsid w:val="0014652F"/>
    <w:rsid w:val="00146AE8"/>
    <w:rsid w:val="00146BC8"/>
    <w:rsid w:val="0014706A"/>
    <w:rsid w:val="001471E2"/>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05"/>
    <w:rsid w:val="00155698"/>
    <w:rsid w:val="00155917"/>
    <w:rsid w:val="00155A10"/>
    <w:rsid w:val="00155E77"/>
    <w:rsid w:val="00155F7A"/>
    <w:rsid w:val="00156260"/>
    <w:rsid w:val="0015650F"/>
    <w:rsid w:val="001565E1"/>
    <w:rsid w:val="0015674F"/>
    <w:rsid w:val="00156B74"/>
    <w:rsid w:val="0015725F"/>
    <w:rsid w:val="001579CD"/>
    <w:rsid w:val="00157D69"/>
    <w:rsid w:val="0016019C"/>
    <w:rsid w:val="00160500"/>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BA7"/>
    <w:rsid w:val="00163D81"/>
    <w:rsid w:val="00164646"/>
    <w:rsid w:val="001647FA"/>
    <w:rsid w:val="001649D4"/>
    <w:rsid w:val="00165001"/>
    <w:rsid w:val="00165137"/>
    <w:rsid w:val="001659D4"/>
    <w:rsid w:val="00165B55"/>
    <w:rsid w:val="0016634F"/>
    <w:rsid w:val="00166377"/>
    <w:rsid w:val="001669F9"/>
    <w:rsid w:val="0016700E"/>
    <w:rsid w:val="0016711A"/>
    <w:rsid w:val="00167294"/>
    <w:rsid w:val="0016764C"/>
    <w:rsid w:val="00167709"/>
    <w:rsid w:val="00167FB7"/>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954"/>
    <w:rsid w:val="00181B3A"/>
    <w:rsid w:val="001820B2"/>
    <w:rsid w:val="001821E9"/>
    <w:rsid w:val="001824B9"/>
    <w:rsid w:val="00182608"/>
    <w:rsid w:val="00182755"/>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2B3"/>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669"/>
    <w:rsid w:val="00191727"/>
    <w:rsid w:val="0019189A"/>
    <w:rsid w:val="00191A2B"/>
    <w:rsid w:val="00191B41"/>
    <w:rsid w:val="00191EBF"/>
    <w:rsid w:val="0019213A"/>
    <w:rsid w:val="001925E5"/>
    <w:rsid w:val="001929C8"/>
    <w:rsid w:val="00192D98"/>
    <w:rsid w:val="0019350F"/>
    <w:rsid w:val="001935F1"/>
    <w:rsid w:val="00193733"/>
    <w:rsid w:val="00193987"/>
    <w:rsid w:val="00194059"/>
    <w:rsid w:val="001947A7"/>
    <w:rsid w:val="001947E7"/>
    <w:rsid w:val="00194F61"/>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A3A"/>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1BC"/>
    <w:rsid w:val="001B0251"/>
    <w:rsid w:val="001B08D8"/>
    <w:rsid w:val="001B0F1F"/>
    <w:rsid w:val="001B13BD"/>
    <w:rsid w:val="001B14C9"/>
    <w:rsid w:val="001B1565"/>
    <w:rsid w:val="001B17D9"/>
    <w:rsid w:val="001B199F"/>
    <w:rsid w:val="001B1A8E"/>
    <w:rsid w:val="001B1F17"/>
    <w:rsid w:val="001B1F29"/>
    <w:rsid w:val="001B2085"/>
    <w:rsid w:val="001B26EE"/>
    <w:rsid w:val="001B2993"/>
    <w:rsid w:val="001B3134"/>
    <w:rsid w:val="001B319F"/>
    <w:rsid w:val="001B3754"/>
    <w:rsid w:val="001B4BAB"/>
    <w:rsid w:val="001B5332"/>
    <w:rsid w:val="001B53B3"/>
    <w:rsid w:val="001B54E9"/>
    <w:rsid w:val="001B5EA5"/>
    <w:rsid w:val="001B5F63"/>
    <w:rsid w:val="001B5F67"/>
    <w:rsid w:val="001B6488"/>
    <w:rsid w:val="001B6C77"/>
    <w:rsid w:val="001B70CF"/>
    <w:rsid w:val="001B716B"/>
    <w:rsid w:val="001B748B"/>
    <w:rsid w:val="001C002C"/>
    <w:rsid w:val="001C0085"/>
    <w:rsid w:val="001C04E1"/>
    <w:rsid w:val="001C05AD"/>
    <w:rsid w:val="001C063F"/>
    <w:rsid w:val="001C0883"/>
    <w:rsid w:val="001C16A9"/>
    <w:rsid w:val="001C16FA"/>
    <w:rsid w:val="001C1A17"/>
    <w:rsid w:val="001C1A38"/>
    <w:rsid w:val="001C1E53"/>
    <w:rsid w:val="001C1EE3"/>
    <w:rsid w:val="001C211D"/>
    <w:rsid w:val="001C2E60"/>
    <w:rsid w:val="001C2EB7"/>
    <w:rsid w:val="001C2F38"/>
    <w:rsid w:val="001C3177"/>
    <w:rsid w:val="001C3474"/>
    <w:rsid w:val="001C3663"/>
    <w:rsid w:val="001C3DC6"/>
    <w:rsid w:val="001C3EAE"/>
    <w:rsid w:val="001C41BF"/>
    <w:rsid w:val="001C4F5F"/>
    <w:rsid w:val="001C518A"/>
    <w:rsid w:val="001C5514"/>
    <w:rsid w:val="001C589B"/>
    <w:rsid w:val="001C58A6"/>
    <w:rsid w:val="001C5B96"/>
    <w:rsid w:val="001C5F88"/>
    <w:rsid w:val="001C619C"/>
    <w:rsid w:val="001C6A60"/>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82D"/>
    <w:rsid w:val="001E3A01"/>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3D4C"/>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736"/>
    <w:rsid w:val="00201C7E"/>
    <w:rsid w:val="00201D85"/>
    <w:rsid w:val="00201F3B"/>
    <w:rsid w:val="002020EB"/>
    <w:rsid w:val="00202201"/>
    <w:rsid w:val="0020248E"/>
    <w:rsid w:val="00202D2E"/>
    <w:rsid w:val="00203159"/>
    <w:rsid w:val="002036B4"/>
    <w:rsid w:val="00203A6E"/>
    <w:rsid w:val="00203C7E"/>
    <w:rsid w:val="00203DBA"/>
    <w:rsid w:val="00203F00"/>
    <w:rsid w:val="00203F5C"/>
    <w:rsid w:val="002040EC"/>
    <w:rsid w:val="002047DE"/>
    <w:rsid w:val="00204A5A"/>
    <w:rsid w:val="00204C12"/>
    <w:rsid w:val="00204D92"/>
    <w:rsid w:val="00205635"/>
    <w:rsid w:val="002058DC"/>
    <w:rsid w:val="00205A34"/>
    <w:rsid w:val="00205AB2"/>
    <w:rsid w:val="00205CB2"/>
    <w:rsid w:val="00205D31"/>
    <w:rsid w:val="00205DBF"/>
    <w:rsid w:val="00206067"/>
    <w:rsid w:val="0020610B"/>
    <w:rsid w:val="00206133"/>
    <w:rsid w:val="0020639C"/>
    <w:rsid w:val="002063A7"/>
    <w:rsid w:val="00206516"/>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1C8"/>
    <w:rsid w:val="00211345"/>
    <w:rsid w:val="00211390"/>
    <w:rsid w:val="002114FA"/>
    <w:rsid w:val="00211D31"/>
    <w:rsid w:val="00211DD9"/>
    <w:rsid w:val="00212274"/>
    <w:rsid w:val="002125B4"/>
    <w:rsid w:val="00212816"/>
    <w:rsid w:val="002128BD"/>
    <w:rsid w:val="00212D30"/>
    <w:rsid w:val="00212FAB"/>
    <w:rsid w:val="00213050"/>
    <w:rsid w:val="002130BD"/>
    <w:rsid w:val="00213851"/>
    <w:rsid w:val="00213A2D"/>
    <w:rsid w:val="00213F12"/>
    <w:rsid w:val="00214076"/>
    <w:rsid w:val="00214E0D"/>
    <w:rsid w:val="00214EAE"/>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4E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A80"/>
    <w:rsid w:val="00226BD3"/>
    <w:rsid w:val="00226F21"/>
    <w:rsid w:val="00227061"/>
    <w:rsid w:val="0022735A"/>
    <w:rsid w:val="002275A8"/>
    <w:rsid w:val="0022763A"/>
    <w:rsid w:val="00227873"/>
    <w:rsid w:val="002279D2"/>
    <w:rsid w:val="00227D42"/>
    <w:rsid w:val="00227D96"/>
    <w:rsid w:val="00227F9E"/>
    <w:rsid w:val="00230040"/>
    <w:rsid w:val="002300E1"/>
    <w:rsid w:val="002305EF"/>
    <w:rsid w:val="00230944"/>
    <w:rsid w:val="00230AD3"/>
    <w:rsid w:val="00230BB1"/>
    <w:rsid w:val="00230F2F"/>
    <w:rsid w:val="0023101D"/>
    <w:rsid w:val="002314EE"/>
    <w:rsid w:val="00231582"/>
    <w:rsid w:val="00231740"/>
    <w:rsid w:val="00231929"/>
    <w:rsid w:val="00231D67"/>
    <w:rsid w:val="00231F88"/>
    <w:rsid w:val="00232191"/>
    <w:rsid w:val="00232983"/>
    <w:rsid w:val="00232E9D"/>
    <w:rsid w:val="00232EA4"/>
    <w:rsid w:val="002331C2"/>
    <w:rsid w:val="002337C3"/>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502"/>
    <w:rsid w:val="00240B7D"/>
    <w:rsid w:val="00240C17"/>
    <w:rsid w:val="00240F76"/>
    <w:rsid w:val="0024103F"/>
    <w:rsid w:val="00241C7B"/>
    <w:rsid w:val="002421F2"/>
    <w:rsid w:val="002426C1"/>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BCF"/>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3EB5"/>
    <w:rsid w:val="0025410C"/>
    <w:rsid w:val="00254F42"/>
    <w:rsid w:val="00255C71"/>
    <w:rsid w:val="002562A9"/>
    <w:rsid w:val="0025692A"/>
    <w:rsid w:val="00256F02"/>
    <w:rsid w:val="00256FE4"/>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158"/>
    <w:rsid w:val="002622BD"/>
    <w:rsid w:val="002623AC"/>
    <w:rsid w:val="002623D2"/>
    <w:rsid w:val="00262979"/>
    <w:rsid w:val="00262CEB"/>
    <w:rsid w:val="00262E69"/>
    <w:rsid w:val="00263038"/>
    <w:rsid w:val="0026313D"/>
    <w:rsid w:val="002634A4"/>
    <w:rsid w:val="002638E1"/>
    <w:rsid w:val="002639A2"/>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49E"/>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5A39"/>
    <w:rsid w:val="00276001"/>
    <w:rsid w:val="002764FB"/>
    <w:rsid w:val="00276930"/>
    <w:rsid w:val="00276C48"/>
    <w:rsid w:val="00277E00"/>
    <w:rsid w:val="00277E66"/>
    <w:rsid w:val="002800B8"/>
    <w:rsid w:val="002800DE"/>
    <w:rsid w:val="002801E2"/>
    <w:rsid w:val="0028052D"/>
    <w:rsid w:val="00280684"/>
    <w:rsid w:val="0028073A"/>
    <w:rsid w:val="00280851"/>
    <w:rsid w:val="002808D2"/>
    <w:rsid w:val="00280960"/>
    <w:rsid w:val="00280ABB"/>
    <w:rsid w:val="00281280"/>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639"/>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1E46"/>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0E4E"/>
    <w:rsid w:val="002A1737"/>
    <w:rsid w:val="002A175A"/>
    <w:rsid w:val="002A17ED"/>
    <w:rsid w:val="002A1A57"/>
    <w:rsid w:val="002A1BF6"/>
    <w:rsid w:val="002A1DA1"/>
    <w:rsid w:val="002A205B"/>
    <w:rsid w:val="002A20B4"/>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3F02"/>
    <w:rsid w:val="002A4102"/>
    <w:rsid w:val="002A45C7"/>
    <w:rsid w:val="002A4918"/>
    <w:rsid w:val="002A4996"/>
    <w:rsid w:val="002A4D4E"/>
    <w:rsid w:val="002A4E20"/>
    <w:rsid w:val="002A4E27"/>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212"/>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C90"/>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E8A"/>
    <w:rsid w:val="002C2FCD"/>
    <w:rsid w:val="002C36D3"/>
    <w:rsid w:val="002C3788"/>
    <w:rsid w:val="002C3883"/>
    <w:rsid w:val="002C3AE4"/>
    <w:rsid w:val="002C3C99"/>
    <w:rsid w:val="002C3E89"/>
    <w:rsid w:val="002C3FE2"/>
    <w:rsid w:val="002C4758"/>
    <w:rsid w:val="002C514C"/>
    <w:rsid w:val="002C5533"/>
    <w:rsid w:val="002C557B"/>
    <w:rsid w:val="002C5620"/>
    <w:rsid w:val="002C5A6B"/>
    <w:rsid w:val="002C5AA7"/>
    <w:rsid w:val="002C5FBE"/>
    <w:rsid w:val="002C6030"/>
    <w:rsid w:val="002C61E0"/>
    <w:rsid w:val="002C635E"/>
    <w:rsid w:val="002C6480"/>
    <w:rsid w:val="002C7615"/>
    <w:rsid w:val="002C7749"/>
    <w:rsid w:val="002C775F"/>
    <w:rsid w:val="002C778F"/>
    <w:rsid w:val="002C782F"/>
    <w:rsid w:val="002C7B03"/>
    <w:rsid w:val="002C7B0D"/>
    <w:rsid w:val="002C7D95"/>
    <w:rsid w:val="002C7E39"/>
    <w:rsid w:val="002D001E"/>
    <w:rsid w:val="002D0298"/>
    <w:rsid w:val="002D04DC"/>
    <w:rsid w:val="002D0657"/>
    <w:rsid w:val="002D09B3"/>
    <w:rsid w:val="002D0E7A"/>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7A7"/>
    <w:rsid w:val="002D68C3"/>
    <w:rsid w:val="002D6C3F"/>
    <w:rsid w:val="002D6C69"/>
    <w:rsid w:val="002D6ECE"/>
    <w:rsid w:val="002D6F25"/>
    <w:rsid w:val="002D772F"/>
    <w:rsid w:val="002D7B79"/>
    <w:rsid w:val="002E018E"/>
    <w:rsid w:val="002E04F0"/>
    <w:rsid w:val="002E0557"/>
    <w:rsid w:val="002E0E94"/>
    <w:rsid w:val="002E10B9"/>
    <w:rsid w:val="002E115B"/>
    <w:rsid w:val="002E145E"/>
    <w:rsid w:val="002E16BC"/>
    <w:rsid w:val="002E1894"/>
    <w:rsid w:val="002E18CF"/>
    <w:rsid w:val="002E1941"/>
    <w:rsid w:val="002E1DE0"/>
    <w:rsid w:val="002E20C1"/>
    <w:rsid w:val="002E21D5"/>
    <w:rsid w:val="002E251B"/>
    <w:rsid w:val="002E2923"/>
    <w:rsid w:val="002E2A76"/>
    <w:rsid w:val="002E306D"/>
    <w:rsid w:val="002E3624"/>
    <w:rsid w:val="002E3653"/>
    <w:rsid w:val="002E36AE"/>
    <w:rsid w:val="002E36DC"/>
    <w:rsid w:val="002E38B7"/>
    <w:rsid w:val="002E4183"/>
    <w:rsid w:val="002E42EF"/>
    <w:rsid w:val="002E4743"/>
    <w:rsid w:val="002E51AA"/>
    <w:rsid w:val="002E58E1"/>
    <w:rsid w:val="002E5BDD"/>
    <w:rsid w:val="002E5C56"/>
    <w:rsid w:val="002E5E89"/>
    <w:rsid w:val="002E60F3"/>
    <w:rsid w:val="002E63A6"/>
    <w:rsid w:val="002E6785"/>
    <w:rsid w:val="002E679D"/>
    <w:rsid w:val="002E683E"/>
    <w:rsid w:val="002E6F01"/>
    <w:rsid w:val="002E70EA"/>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241"/>
    <w:rsid w:val="002F3A3A"/>
    <w:rsid w:val="002F3F16"/>
    <w:rsid w:val="002F413F"/>
    <w:rsid w:val="002F44AD"/>
    <w:rsid w:val="002F45D3"/>
    <w:rsid w:val="002F4934"/>
    <w:rsid w:val="002F4A52"/>
    <w:rsid w:val="002F4B73"/>
    <w:rsid w:val="002F4CF5"/>
    <w:rsid w:val="002F4FA2"/>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8F6"/>
    <w:rsid w:val="00303FB7"/>
    <w:rsid w:val="00304549"/>
    <w:rsid w:val="00304AC5"/>
    <w:rsid w:val="00304FCA"/>
    <w:rsid w:val="003053B3"/>
    <w:rsid w:val="0030577F"/>
    <w:rsid w:val="0030578F"/>
    <w:rsid w:val="0030599E"/>
    <w:rsid w:val="00305E85"/>
    <w:rsid w:val="00305F56"/>
    <w:rsid w:val="00306218"/>
    <w:rsid w:val="003065FB"/>
    <w:rsid w:val="00306671"/>
    <w:rsid w:val="00306C9C"/>
    <w:rsid w:val="00306CB2"/>
    <w:rsid w:val="003070B3"/>
    <w:rsid w:val="003071CF"/>
    <w:rsid w:val="00307278"/>
    <w:rsid w:val="0030743A"/>
    <w:rsid w:val="00307B27"/>
    <w:rsid w:val="00307F28"/>
    <w:rsid w:val="00310095"/>
    <w:rsid w:val="003101DC"/>
    <w:rsid w:val="0031035A"/>
    <w:rsid w:val="003107F3"/>
    <w:rsid w:val="00310CC6"/>
    <w:rsid w:val="00311294"/>
    <w:rsid w:val="00311642"/>
    <w:rsid w:val="00311761"/>
    <w:rsid w:val="00311941"/>
    <w:rsid w:val="003121B8"/>
    <w:rsid w:val="00312CBB"/>
    <w:rsid w:val="00312E09"/>
    <w:rsid w:val="003132B4"/>
    <w:rsid w:val="003137A0"/>
    <w:rsid w:val="003137ED"/>
    <w:rsid w:val="0031391C"/>
    <w:rsid w:val="00313C33"/>
    <w:rsid w:val="00313C4F"/>
    <w:rsid w:val="003141C2"/>
    <w:rsid w:val="0031434F"/>
    <w:rsid w:val="00314629"/>
    <w:rsid w:val="00315814"/>
    <w:rsid w:val="0031599D"/>
    <w:rsid w:val="00315F12"/>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6B0"/>
    <w:rsid w:val="003257B2"/>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50D"/>
    <w:rsid w:val="00331644"/>
    <w:rsid w:val="00331BCC"/>
    <w:rsid w:val="00332117"/>
    <w:rsid w:val="003321C3"/>
    <w:rsid w:val="00332962"/>
    <w:rsid w:val="00332CB2"/>
    <w:rsid w:val="003330DD"/>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1AC"/>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1F89"/>
    <w:rsid w:val="0035216E"/>
    <w:rsid w:val="0035265C"/>
    <w:rsid w:val="00352759"/>
    <w:rsid w:val="00352828"/>
    <w:rsid w:val="00352952"/>
    <w:rsid w:val="00352CC9"/>
    <w:rsid w:val="00352D79"/>
    <w:rsid w:val="00352DAE"/>
    <w:rsid w:val="00352FD6"/>
    <w:rsid w:val="003530A0"/>
    <w:rsid w:val="003531B0"/>
    <w:rsid w:val="003532D2"/>
    <w:rsid w:val="003536C6"/>
    <w:rsid w:val="0035378E"/>
    <w:rsid w:val="003539B2"/>
    <w:rsid w:val="00353AF9"/>
    <w:rsid w:val="00353BD4"/>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0A3"/>
    <w:rsid w:val="00364230"/>
    <w:rsid w:val="003643F8"/>
    <w:rsid w:val="0036457E"/>
    <w:rsid w:val="00364A63"/>
    <w:rsid w:val="00364C14"/>
    <w:rsid w:val="00364F8A"/>
    <w:rsid w:val="00365480"/>
    <w:rsid w:val="00367516"/>
    <w:rsid w:val="00367529"/>
    <w:rsid w:val="003677F2"/>
    <w:rsid w:val="00367A44"/>
    <w:rsid w:val="00367D2F"/>
    <w:rsid w:val="00367E32"/>
    <w:rsid w:val="003700A7"/>
    <w:rsid w:val="00370285"/>
    <w:rsid w:val="0037034F"/>
    <w:rsid w:val="003704EE"/>
    <w:rsid w:val="00370845"/>
    <w:rsid w:val="00370880"/>
    <w:rsid w:val="00370E3D"/>
    <w:rsid w:val="00370EFD"/>
    <w:rsid w:val="00370FBB"/>
    <w:rsid w:val="00371137"/>
    <w:rsid w:val="003714EB"/>
    <w:rsid w:val="00371766"/>
    <w:rsid w:val="00371831"/>
    <w:rsid w:val="003719F5"/>
    <w:rsid w:val="00371CA0"/>
    <w:rsid w:val="00371E6C"/>
    <w:rsid w:val="00372029"/>
    <w:rsid w:val="0037231D"/>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098"/>
    <w:rsid w:val="003755F4"/>
    <w:rsid w:val="00375B88"/>
    <w:rsid w:val="00375FFC"/>
    <w:rsid w:val="003764FA"/>
    <w:rsid w:val="00376B07"/>
    <w:rsid w:val="00376BCC"/>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64A"/>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87F31"/>
    <w:rsid w:val="003904B1"/>
    <w:rsid w:val="003907D2"/>
    <w:rsid w:val="00390A7D"/>
    <w:rsid w:val="00390A95"/>
    <w:rsid w:val="00390B8F"/>
    <w:rsid w:val="00390C56"/>
    <w:rsid w:val="0039122C"/>
    <w:rsid w:val="0039124D"/>
    <w:rsid w:val="00391446"/>
    <w:rsid w:val="003914C2"/>
    <w:rsid w:val="00391A92"/>
    <w:rsid w:val="00392186"/>
    <w:rsid w:val="00392368"/>
    <w:rsid w:val="003924A1"/>
    <w:rsid w:val="00392523"/>
    <w:rsid w:val="003926BE"/>
    <w:rsid w:val="003927DD"/>
    <w:rsid w:val="00392C4F"/>
    <w:rsid w:val="00392DB8"/>
    <w:rsid w:val="003931F0"/>
    <w:rsid w:val="00393555"/>
    <w:rsid w:val="00393B78"/>
    <w:rsid w:val="00394070"/>
    <w:rsid w:val="0039418B"/>
    <w:rsid w:val="00394775"/>
    <w:rsid w:val="003948E1"/>
    <w:rsid w:val="00394B44"/>
    <w:rsid w:val="00394E77"/>
    <w:rsid w:val="0039502C"/>
    <w:rsid w:val="003956CC"/>
    <w:rsid w:val="003956FE"/>
    <w:rsid w:val="0039598F"/>
    <w:rsid w:val="00395CAB"/>
    <w:rsid w:val="00396087"/>
    <w:rsid w:val="003960D5"/>
    <w:rsid w:val="0039610F"/>
    <w:rsid w:val="00396643"/>
    <w:rsid w:val="0039665F"/>
    <w:rsid w:val="00397409"/>
    <w:rsid w:val="00397426"/>
    <w:rsid w:val="00397682"/>
    <w:rsid w:val="003978B8"/>
    <w:rsid w:val="00397B96"/>
    <w:rsid w:val="00397C89"/>
    <w:rsid w:val="003A0311"/>
    <w:rsid w:val="003A0566"/>
    <w:rsid w:val="003A0736"/>
    <w:rsid w:val="003A07F5"/>
    <w:rsid w:val="003A09A3"/>
    <w:rsid w:val="003A1135"/>
    <w:rsid w:val="003A1341"/>
    <w:rsid w:val="003A162C"/>
    <w:rsid w:val="003A18CD"/>
    <w:rsid w:val="003A19E0"/>
    <w:rsid w:val="003A1DD5"/>
    <w:rsid w:val="003A2019"/>
    <w:rsid w:val="003A2D39"/>
    <w:rsid w:val="003A2FE7"/>
    <w:rsid w:val="003A3385"/>
    <w:rsid w:val="003A362C"/>
    <w:rsid w:val="003A3697"/>
    <w:rsid w:val="003A3B23"/>
    <w:rsid w:val="003A3D36"/>
    <w:rsid w:val="003A4047"/>
    <w:rsid w:val="003A42BB"/>
    <w:rsid w:val="003A4372"/>
    <w:rsid w:val="003A45FB"/>
    <w:rsid w:val="003A48FC"/>
    <w:rsid w:val="003A4D6F"/>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0C28"/>
    <w:rsid w:val="003B101E"/>
    <w:rsid w:val="003B1046"/>
    <w:rsid w:val="003B14B8"/>
    <w:rsid w:val="003B1575"/>
    <w:rsid w:val="003B180E"/>
    <w:rsid w:val="003B188F"/>
    <w:rsid w:val="003B1C76"/>
    <w:rsid w:val="003B1CC2"/>
    <w:rsid w:val="003B21B1"/>
    <w:rsid w:val="003B230D"/>
    <w:rsid w:val="003B2752"/>
    <w:rsid w:val="003B2852"/>
    <w:rsid w:val="003B294F"/>
    <w:rsid w:val="003B2B79"/>
    <w:rsid w:val="003B2BF3"/>
    <w:rsid w:val="003B38BE"/>
    <w:rsid w:val="003B3D57"/>
    <w:rsid w:val="003B4482"/>
    <w:rsid w:val="003B4E91"/>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3F0F"/>
    <w:rsid w:val="003C4250"/>
    <w:rsid w:val="003C4952"/>
    <w:rsid w:val="003C4BCF"/>
    <w:rsid w:val="003C4D16"/>
    <w:rsid w:val="003C4D8C"/>
    <w:rsid w:val="003C4E51"/>
    <w:rsid w:val="003C4F25"/>
    <w:rsid w:val="003C57EE"/>
    <w:rsid w:val="003C6580"/>
    <w:rsid w:val="003C7459"/>
    <w:rsid w:val="003C78C0"/>
    <w:rsid w:val="003C79A4"/>
    <w:rsid w:val="003C7B18"/>
    <w:rsid w:val="003C7DD2"/>
    <w:rsid w:val="003D023D"/>
    <w:rsid w:val="003D09DA"/>
    <w:rsid w:val="003D0A97"/>
    <w:rsid w:val="003D0D75"/>
    <w:rsid w:val="003D0E68"/>
    <w:rsid w:val="003D1163"/>
    <w:rsid w:val="003D2050"/>
    <w:rsid w:val="003D22D3"/>
    <w:rsid w:val="003D2339"/>
    <w:rsid w:val="003D26AA"/>
    <w:rsid w:val="003D284E"/>
    <w:rsid w:val="003D2A2B"/>
    <w:rsid w:val="003D2C8C"/>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164"/>
    <w:rsid w:val="003D7562"/>
    <w:rsid w:val="003D7796"/>
    <w:rsid w:val="003D77CC"/>
    <w:rsid w:val="003D79E8"/>
    <w:rsid w:val="003D7D8E"/>
    <w:rsid w:val="003D7EAB"/>
    <w:rsid w:val="003E0198"/>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3E6C"/>
    <w:rsid w:val="003E40C9"/>
    <w:rsid w:val="003E42B1"/>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27C"/>
    <w:rsid w:val="003F4620"/>
    <w:rsid w:val="003F4933"/>
    <w:rsid w:val="003F4977"/>
    <w:rsid w:val="003F4D02"/>
    <w:rsid w:val="003F4E1C"/>
    <w:rsid w:val="003F4E39"/>
    <w:rsid w:val="003F4E92"/>
    <w:rsid w:val="003F4EFA"/>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95B"/>
    <w:rsid w:val="00400EF2"/>
    <w:rsid w:val="004010CF"/>
    <w:rsid w:val="004012FA"/>
    <w:rsid w:val="00401554"/>
    <w:rsid w:val="004017C6"/>
    <w:rsid w:val="004024AB"/>
    <w:rsid w:val="00402B19"/>
    <w:rsid w:val="00402C02"/>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181"/>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5E4C"/>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B2E"/>
    <w:rsid w:val="00422CF6"/>
    <w:rsid w:val="00422DB5"/>
    <w:rsid w:val="00422E86"/>
    <w:rsid w:val="0042307B"/>
    <w:rsid w:val="00423326"/>
    <w:rsid w:val="00425656"/>
    <w:rsid w:val="00425710"/>
    <w:rsid w:val="004258FC"/>
    <w:rsid w:val="00425C97"/>
    <w:rsid w:val="00425FFD"/>
    <w:rsid w:val="004262F8"/>
    <w:rsid w:val="00426442"/>
    <w:rsid w:val="0042654A"/>
    <w:rsid w:val="00426A93"/>
    <w:rsid w:val="00426DFA"/>
    <w:rsid w:val="00427459"/>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9F"/>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258"/>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2D0"/>
    <w:rsid w:val="00447427"/>
    <w:rsid w:val="00447486"/>
    <w:rsid w:val="00447AFD"/>
    <w:rsid w:val="004500BE"/>
    <w:rsid w:val="00450778"/>
    <w:rsid w:val="00450BB9"/>
    <w:rsid w:val="00450D3B"/>
    <w:rsid w:val="00450F50"/>
    <w:rsid w:val="004517EF"/>
    <w:rsid w:val="004518D5"/>
    <w:rsid w:val="004519BF"/>
    <w:rsid w:val="00451B06"/>
    <w:rsid w:val="00451BEB"/>
    <w:rsid w:val="004527C0"/>
    <w:rsid w:val="004527C7"/>
    <w:rsid w:val="00452A80"/>
    <w:rsid w:val="00453871"/>
    <w:rsid w:val="00453B9E"/>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AC3"/>
    <w:rsid w:val="00465B38"/>
    <w:rsid w:val="00465BAA"/>
    <w:rsid w:val="00465D95"/>
    <w:rsid w:val="00465EB3"/>
    <w:rsid w:val="004660D4"/>
    <w:rsid w:val="0046645E"/>
    <w:rsid w:val="004664EC"/>
    <w:rsid w:val="00466561"/>
    <w:rsid w:val="00467640"/>
    <w:rsid w:val="00467838"/>
    <w:rsid w:val="00467F9B"/>
    <w:rsid w:val="0047041E"/>
    <w:rsid w:val="00470750"/>
    <w:rsid w:val="00470893"/>
    <w:rsid w:val="004708E2"/>
    <w:rsid w:val="00470DE1"/>
    <w:rsid w:val="00470E35"/>
    <w:rsid w:val="0047142E"/>
    <w:rsid w:val="0047166D"/>
    <w:rsid w:val="00471856"/>
    <w:rsid w:val="004719A1"/>
    <w:rsid w:val="00471DB0"/>
    <w:rsid w:val="00471EB6"/>
    <w:rsid w:val="00471F3B"/>
    <w:rsid w:val="00471FAB"/>
    <w:rsid w:val="00472ACB"/>
    <w:rsid w:val="00472B1D"/>
    <w:rsid w:val="00473E9A"/>
    <w:rsid w:val="00473F5F"/>
    <w:rsid w:val="00474085"/>
    <w:rsid w:val="0047410D"/>
    <w:rsid w:val="0047413E"/>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EB3"/>
    <w:rsid w:val="00475F90"/>
    <w:rsid w:val="00476D8B"/>
    <w:rsid w:val="00476DFA"/>
    <w:rsid w:val="00476EAE"/>
    <w:rsid w:val="004774C5"/>
    <w:rsid w:val="004775ED"/>
    <w:rsid w:val="004777C7"/>
    <w:rsid w:val="00477FBA"/>
    <w:rsid w:val="004801FB"/>
    <w:rsid w:val="004803A9"/>
    <w:rsid w:val="004805D8"/>
    <w:rsid w:val="004807D5"/>
    <w:rsid w:val="00480B03"/>
    <w:rsid w:val="004810EC"/>
    <w:rsid w:val="004814F6"/>
    <w:rsid w:val="00481607"/>
    <w:rsid w:val="0048198C"/>
    <w:rsid w:val="004822CB"/>
    <w:rsid w:val="00482389"/>
    <w:rsid w:val="00482943"/>
    <w:rsid w:val="00482ADC"/>
    <w:rsid w:val="00482B1F"/>
    <w:rsid w:val="00482BAD"/>
    <w:rsid w:val="00483805"/>
    <w:rsid w:val="00483D11"/>
    <w:rsid w:val="00483D20"/>
    <w:rsid w:val="00483E75"/>
    <w:rsid w:val="0048406D"/>
    <w:rsid w:val="0048410E"/>
    <w:rsid w:val="0048416D"/>
    <w:rsid w:val="004841C8"/>
    <w:rsid w:val="00484980"/>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5D"/>
    <w:rsid w:val="00490CB9"/>
    <w:rsid w:val="00490E94"/>
    <w:rsid w:val="00490EE3"/>
    <w:rsid w:val="00491001"/>
    <w:rsid w:val="0049112D"/>
    <w:rsid w:val="004911C6"/>
    <w:rsid w:val="0049143D"/>
    <w:rsid w:val="0049149D"/>
    <w:rsid w:val="004918A0"/>
    <w:rsid w:val="004919B7"/>
    <w:rsid w:val="00491A98"/>
    <w:rsid w:val="004920BC"/>
    <w:rsid w:val="004923F5"/>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28A"/>
    <w:rsid w:val="004B6301"/>
    <w:rsid w:val="004B666F"/>
    <w:rsid w:val="004B6D86"/>
    <w:rsid w:val="004B6FFB"/>
    <w:rsid w:val="004B795F"/>
    <w:rsid w:val="004B7BA5"/>
    <w:rsid w:val="004C029A"/>
    <w:rsid w:val="004C0346"/>
    <w:rsid w:val="004C03CC"/>
    <w:rsid w:val="004C07FC"/>
    <w:rsid w:val="004C0B5B"/>
    <w:rsid w:val="004C0F99"/>
    <w:rsid w:val="004C130D"/>
    <w:rsid w:val="004C1624"/>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739"/>
    <w:rsid w:val="004C7AFB"/>
    <w:rsid w:val="004C7B6F"/>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1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1260"/>
    <w:rsid w:val="004E1393"/>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4E2F"/>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1EC"/>
    <w:rsid w:val="004F133C"/>
    <w:rsid w:val="004F139B"/>
    <w:rsid w:val="004F13D2"/>
    <w:rsid w:val="004F1893"/>
    <w:rsid w:val="004F1A00"/>
    <w:rsid w:val="004F1D32"/>
    <w:rsid w:val="004F23B3"/>
    <w:rsid w:val="004F26D7"/>
    <w:rsid w:val="004F2826"/>
    <w:rsid w:val="004F2992"/>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E87"/>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91A"/>
    <w:rsid w:val="00500A59"/>
    <w:rsid w:val="005010AA"/>
    <w:rsid w:val="005012BB"/>
    <w:rsid w:val="0050132F"/>
    <w:rsid w:val="00501566"/>
    <w:rsid w:val="00501723"/>
    <w:rsid w:val="00501A8C"/>
    <w:rsid w:val="00501F0D"/>
    <w:rsid w:val="005028C3"/>
    <w:rsid w:val="005029A2"/>
    <w:rsid w:val="00502FAE"/>
    <w:rsid w:val="00502FCA"/>
    <w:rsid w:val="005034BD"/>
    <w:rsid w:val="005035E7"/>
    <w:rsid w:val="005038A7"/>
    <w:rsid w:val="00503C12"/>
    <w:rsid w:val="00503C88"/>
    <w:rsid w:val="00503F6B"/>
    <w:rsid w:val="00503FAD"/>
    <w:rsid w:val="00504639"/>
    <w:rsid w:val="005046C9"/>
    <w:rsid w:val="00504B10"/>
    <w:rsid w:val="00504C6A"/>
    <w:rsid w:val="00504D04"/>
    <w:rsid w:val="00504F40"/>
    <w:rsid w:val="005050F8"/>
    <w:rsid w:val="005051E3"/>
    <w:rsid w:val="00505A2A"/>
    <w:rsid w:val="00505E39"/>
    <w:rsid w:val="00506076"/>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A0E"/>
    <w:rsid w:val="00512BB1"/>
    <w:rsid w:val="005130E7"/>
    <w:rsid w:val="00513E95"/>
    <w:rsid w:val="00513F8F"/>
    <w:rsid w:val="00514360"/>
    <w:rsid w:val="00514455"/>
    <w:rsid w:val="0051461B"/>
    <w:rsid w:val="005147E7"/>
    <w:rsid w:val="00514882"/>
    <w:rsid w:val="005149A2"/>
    <w:rsid w:val="00514CEE"/>
    <w:rsid w:val="00514E28"/>
    <w:rsid w:val="005150E4"/>
    <w:rsid w:val="00515641"/>
    <w:rsid w:val="0051579F"/>
    <w:rsid w:val="00515907"/>
    <w:rsid w:val="0051594B"/>
    <w:rsid w:val="00515E2B"/>
    <w:rsid w:val="00516654"/>
    <w:rsid w:val="00516763"/>
    <w:rsid w:val="00516B96"/>
    <w:rsid w:val="005173A4"/>
    <w:rsid w:val="00517408"/>
    <w:rsid w:val="005174F8"/>
    <w:rsid w:val="0051770E"/>
    <w:rsid w:val="00517C81"/>
    <w:rsid w:val="0052001B"/>
    <w:rsid w:val="005205C8"/>
    <w:rsid w:val="00520974"/>
    <w:rsid w:val="00521292"/>
    <w:rsid w:val="005212C9"/>
    <w:rsid w:val="00521490"/>
    <w:rsid w:val="0052158F"/>
    <w:rsid w:val="00521846"/>
    <w:rsid w:val="00521D65"/>
    <w:rsid w:val="00521FDB"/>
    <w:rsid w:val="005221A4"/>
    <w:rsid w:val="005222E9"/>
    <w:rsid w:val="00522765"/>
    <w:rsid w:val="00522A35"/>
    <w:rsid w:val="00523366"/>
    <w:rsid w:val="00523E18"/>
    <w:rsid w:val="00523F32"/>
    <w:rsid w:val="005240E8"/>
    <w:rsid w:val="0052422C"/>
    <w:rsid w:val="005244D5"/>
    <w:rsid w:val="005244F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4D2D"/>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D51"/>
    <w:rsid w:val="00546E79"/>
    <w:rsid w:val="00547123"/>
    <w:rsid w:val="00550255"/>
    <w:rsid w:val="005504D9"/>
    <w:rsid w:val="00550BDB"/>
    <w:rsid w:val="00550C80"/>
    <w:rsid w:val="00550D6F"/>
    <w:rsid w:val="00550E94"/>
    <w:rsid w:val="005511B1"/>
    <w:rsid w:val="00551D69"/>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578"/>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33"/>
    <w:rsid w:val="00561E4A"/>
    <w:rsid w:val="005629CB"/>
    <w:rsid w:val="00562CDC"/>
    <w:rsid w:val="005636A2"/>
    <w:rsid w:val="00563855"/>
    <w:rsid w:val="00563FD2"/>
    <w:rsid w:val="0056434D"/>
    <w:rsid w:val="005647E0"/>
    <w:rsid w:val="00564E44"/>
    <w:rsid w:val="00564FC5"/>
    <w:rsid w:val="005654FA"/>
    <w:rsid w:val="00565679"/>
    <w:rsid w:val="00565D7A"/>
    <w:rsid w:val="00566D8F"/>
    <w:rsid w:val="00566EEB"/>
    <w:rsid w:val="00566FBF"/>
    <w:rsid w:val="0056719E"/>
    <w:rsid w:val="00567700"/>
    <w:rsid w:val="00567AD5"/>
    <w:rsid w:val="00567B89"/>
    <w:rsid w:val="005701C5"/>
    <w:rsid w:val="005703E3"/>
    <w:rsid w:val="00570507"/>
    <w:rsid w:val="0057054C"/>
    <w:rsid w:val="005706C1"/>
    <w:rsid w:val="00570825"/>
    <w:rsid w:val="005708C3"/>
    <w:rsid w:val="005708C6"/>
    <w:rsid w:val="00570A12"/>
    <w:rsid w:val="00570B56"/>
    <w:rsid w:val="00570C83"/>
    <w:rsid w:val="00570F9A"/>
    <w:rsid w:val="00571358"/>
    <w:rsid w:val="00571382"/>
    <w:rsid w:val="00571694"/>
    <w:rsid w:val="00571A53"/>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2C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6E9"/>
    <w:rsid w:val="005809EB"/>
    <w:rsid w:val="00580BF4"/>
    <w:rsid w:val="00580E45"/>
    <w:rsid w:val="005815D2"/>
    <w:rsid w:val="005818D4"/>
    <w:rsid w:val="005819D7"/>
    <w:rsid w:val="00581A30"/>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924"/>
    <w:rsid w:val="00585197"/>
    <w:rsid w:val="00585932"/>
    <w:rsid w:val="00585C3A"/>
    <w:rsid w:val="0058624E"/>
    <w:rsid w:val="0058628A"/>
    <w:rsid w:val="00586312"/>
    <w:rsid w:val="005863AF"/>
    <w:rsid w:val="00586897"/>
    <w:rsid w:val="00587117"/>
    <w:rsid w:val="0058759B"/>
    <w:rsid w:val="0058764D"/>
    <w:rsid w:val="0058777E"/>
    <w:rsid w:val="00587995"/>
    <w:rsid w:val="00587A26"/>
    <w:rsid w:val="00590203"/>
    <w:rsid w:val="00590A95"/>
    <w:rsid w:val="00590BF6"/>
    <w:rsid w:val="00590CDC"/>
    <w:rsid w:val="00591434"/>
    <w:rsid w:val="00591777"/>
    <w:rsid w:val="00591B9C"/>
    <w:rsid w:val="00592160"/>
    <w:rsid w:val="005923C9"/>
    <w:rsid w:val="0059284F"/>
    <w:rsid w:val="00592E60"/>
    <w:rsid w:val="00593998"/>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BD1"/>
    <w:rsid w:val="005A6FA1"/>
    <w:rsid w:val="005A7F72"/>
    <w:rsid w:val="005B01CA"/>
    <w:rsid w:val="005B1ADB"/>
    <w:rsid w:val="005B1CB5"/>
    <w:rsid w:val="005B2C70"/>
    <w:rsid w:val="005B2D4D"/>
    <w:rsid w:val="005B2EB8"/>
    <w:rsid w:val="005B3159"/>
    <w:rsid w:val="005B355C"/>
    <w:rsid w:val="005B3C58"/>
    <w:rsid w:val="005B3C7C"/>
    <w:rsid w:val="005B48F6"/>
    <w:rsid w:val="005B4911"/>
    <w:rsid w:val="005B4C5C"/>
    <w:rsid w:val="005B4CE0"/>
    <w:rsid w:val="005B4E3D"/>
    <w:rsid w:val="005B4E83"/>
    <w:rsid w:val="005B4FD2"/>
    <w:rsid w:val="005B541A"/>
    <w:rsid w:val="005B5425"/>
    <w:rsid w:val="005B54FE"/>
    <w:rsid w:val="005B59CB"/>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A14"/>
    <w:rsid w:val="005D0BC3"/>
    <w:rsid w:val="005D0ED3"/>
    <w:rsid w:val="005D0FBD"/>
    <w:rsid w:val="005D15FF"/>
    <w:rsid w:val="005D1B12"/>
    <w:rsid w:val="005D1B86"/>
    <w:rsid w:val="005D1C54"/>
    <w:rsid w:val="005D20FC"/>
    <w:rsid w:val="005D241F"/>
    <w:rsid w:val="005D24A2"/>
    <w:rsid w:val="005D26D7"/>
    <w:rsid w:val="005D2935"/>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39"/>
    <w:rsid w:val="005D61F5"/>
    <w:rsid w:val="005D64A5"/>
    <w:rsid w:val="005D64F5"/>
    <w:rsid w:val="005D6786"/>
    <w:rsid w:val="005D6929"/>
    <w:rsid w:val="005D6A41"/>
    <w:rsid w:val="005D6B30"/>
    <w:rsid w:val="005D6E1C"/>
    <w:rsid w:val="005D6FFB"/>
    <w:rsid w:val="005D7089"/>
    <w:rsid w:val="005D772B"/>
    <w:rsid w:val="005D7741"/>
    <w:rsid w:val="005D7814"/>
    <w:rsid w:val="005D7E04"/>
    <w:rsid w:val="005E0082"/>
    <w:rsid w:val="005E0840"/>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3939"/>
    <w:rsid w:val="005E4114"/>
    <w:rsid w:val="005E4255"/>
    <w:rsid w:val="005E48F7"/>
    <w:rsid w:val="005E4EDC"/>
    <w:rsid w:val="005E4F80"/>
    <w:rsid w:val="005E4FBD"/>
    <w:rsid w:val="005E5009"/>
    <w:rsid w:val="005E5274"/>
    <w:rsid w:val="005E5563"/>
    <w:rsid w:val="005E5587"/>
    <w:rsid w:val="005E56D0"/>
    <w:rsid w:val="005E580A"/>
    <w:rsid w:val="005E5834"/>
    <w:rsid w:val="005E598B"/>
    <w:rsid w:val="005E59D3"/>
    <w:rsid w:val="005E6070"/>
    <w:rsid w:val="005E60DD"/>
    <w:rsid w:val="005E66F1"/>
    <w:rsid w:val="005E673D"/>
    <w:rsid w:val="005E6888"/>
    <w:rsid w:val="005E6AFB"/>
    <w:rsid w:val="005E6CB7"/>
    <w:rsid w:val="005E7698"/>
    <w:rsid w:val="005E7947"/>
    <w:rsid w:val="005E7A2C"/>
    <w:rsid w:val="005E7A91"/>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5DC"/>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742"/>
    <w:rsid w:val="00604A7F"/>
    <w:rsid w:val="00604AAE"/>
    <w:rsid w:val="00604CFF"/>
    <w:rsid w:val="00605179"/>
    <w:rsid w:val="00605207"/>
    <w:rsid w:val="006052C6"/>
    <w:rsid w:val="00605399"/>
    <w:rsid w:val="00605425"/>
    <w:rsid w:val="006054EE"/>
    <w:rsid w:val="0060591D"/>
    <w:rsid w:val="006059EC"/>
    <w:rsid w:val="00605B5D"/>
    <w:rsid w:val="00605C3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9F"/>
    <w:rsid w:val="0061171B"/>
    <w:rsid w:val="00611D11"/>
    <w:rsid w:val="00611F32"/>
    <w:rsid w:val="00612C73"/>
    <w:rsid w:val="00612DBE"/>
    <w:rsid w:val="00613036"/>
    <w:rsid w:val="006134B0"/>
    <w:rsid w:val="006134CE"/>
    <w:rsid w:val="00613862"/>
    <w:rsid w:val="006138D8"/>
    <w:rsid w:val="00613FB6"/>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B86"/>
    <w:rsid w:val="00617C5B"/>
    <w:rsid w:val="006201A2"/>
    <w:rsid w:val="00620254"/>
    <w:rsid w:val="00620686"/>
    <w:rsid w:val="006209E8"/>
    <w:rsid w:val="00621229"/>
    <w:rsid w:val="006214DB"/>
    <w:rsid w:val="006219C4"/>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EAC"/>
    <w:rsid w:val="00624FB3"/>
    <w:rsid w:val="00625B24"/>
    <w:rsid w:val="00625C9B"/>
    <w:rsid w:val="00625FB3"/>
    <w:rsid w:val="00626112"/>
    <w:rsid w:val="00626379"/>
    <w:rsid w:val="0062657C"/>
    <w:rsid w:val="006267F5"/>
    <w:rsid w:val="006268C9"/>
    <w:rsid w:val="00626C25"/>
    <w:rsid w:val="00626E64"/>
    <w:rsid w:val="00627072"/>
    <w:rsid w:val="006270A6"/>
    <w:rsid w:val="00627471"/>
    <w:rsid w:val="00627BA3"/>
    <w:rsid w:val="00627C39"/>
    <w:rsid w:val="00627E44"/>
    <w:rsid w:val="006300D7"/>
    <w:rsid w:val="0063038B"/>
    <w:rsid w:val="00630913"/>
    <w:rsid w:val="006309CA"/>
    <w:rsid w:val="00630D36"/>
    <w:rsid w:val="00630E0D"/>
    <w:rsid w:val="00631007"/>
    <w:rsid w:val="00631826"/>
    <w:rsid w:val="00631F12"/>
    <w:rsid w:val="00632443"/>
    <w:rsid w:val="00632507"/>
    <w:rsid w:val="006326BC"/>
    <w:rsid w:val="00632927"/>
    <w:rsid w:val="00632A0E"/>
    <w:rsid w:val="00632A4C"/>
    <w:rsid w:val="00632BB3"/>
    <w:rsid w:val="006330C1"/>
    <w:rsid w:val="00633559"/>
    <w:rsid w:val="006337D0"/>
    <w:rsid w:val="00633951"/>
    <w:rsid w:val="00633965"/>
    <w:rsid w:val="00633B5E"/>
    <w:rsid w:val="00633C0A"/>
    <w:rsid w:val="00633D5D"/>
    <w:rsid w:val="00633D62"/>
    <w:rsid w:val="0063405E"/>
    <w:rsid w:val="006341AD"/>
    <w:rsid w:val="00634230"/>
    <w:rsid w:val="006347F5"/>
    <w:rsid w:val="006348F0"/>
    <w:rsid w:val="006349C0"/>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9ED"/>
    <w:rsid w:val="0064270C"/>
    <w:rsid w:val="0064298B"/>
    <w:rsid w:val="00642D10"/>
    <w:rsid w:val="00642D56"/>
    <w:rsid w:val="00643335"/>
    <w:rsid w:val="00643766"/>
    <w:rsid w:val="00643769"/>
    <w:rsid w:val="006437A9"/>
    <w:rsid w:val="00643833"/>
    <w:rsid w:val="00643973"/>
    <w:rsid w:val="00643B8D"/>
    <w:rsid w:val="00643D47"/>
    <w:rsid w:val="00644078"/>
    <w:rsid w:val="00644200"/>
    <w:rsid w:val="0064428B"/>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A01"/>
    <w:rsid w:val="00656D6F"/>
    <w:rsid w:val="00657005"/>
    <w:rsid w:val="006577D1"/>
    <w:rsid w:val="006578D9"/>
    <w:rsid w:val="00657F67"/>
    <w:rsid w:val="006601F9"/>
    <w:rsid w:val="006602D1"/>
    <w:rsid w:val="0066050A"/>
    <w:rsid w:val="006605DC"/>
    <w:rsid w:val="0066070A"/>
    <w:rsid w:val="00660E7A"/>
    <w:rsid w:val="00661636"/>
    <w:rsid w:val="00661A0A"/>
    <w:rsid w:val="00661CC2"/>
    <w:rsid w:val="00662166"/>
    <w:rsid w:val="00662FA2"/>
    <w:rsid w:val="006630D1"/>
    <w:rsid w:val="0066318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7BB"/>
    <w:rsid w:val="0066698F"/>
    <w:rsid w:val="00666B74"/>
    <w:rsid w:val="0066719E"/>
    <w:rsid w:val="006672FC"/>
    <w:rsid w:val="00667A27"/>
    <w:rsid w:val="00667B50"/>
    <w:rsid w:val="00667D9C"/>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33F"/>
    <w:rsid w:val="006735BC"/>
    <w:rsid w:val="006737DD"/>
    <w:rsid w:val="00673BDE"/>
    <w:rsid w:val="00673EB7"/>
    <w:rsid w:val="00673F8A"/>
    <w:rsid w:val="00673FBF"/>
    <w:rsid w:val="0067409B"/>
    <w:rsid w:val="00674460"/>
    <w:rsid w:val="00674B38"/>
    <w:rsid w:val="0067517B"/>
    <w:rsid w:val="006754AD"/>
    <w:rsid w:val="00675652"/>
    <w:rsid w:val="006757DC"/>
    <w:rsid w:val="006763BE"/>
    <w:rsid w:val="00676508"/>
    <w:rsid w:val="006767B8"/>
    <w:rsid w:val="00676D4C"/>
    <w:rsid w:val="00677725"/>
    <w:rsid w:val="00677737"/>
    <w:rsid w:val="0067794F"/>
    <w:rsid w:val="0068013A"/>
    <w:rsid w:val="00680A97"/>
    <w:rsid w:val="00680F30"/>
    <w:rsid w:val="00680F81"/>
    <w:rsid w:val="0068102D"/>
    <w:rsid w:val="00681101"/>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EDA"/>
    <w:rsid w:val="00686F01"/>
    <w:rsid w:val="0068721F"/>
    <w:rsid w:val="00690703"/>
    <w:rsid w:val="00690D12"/>
    <w:rsid w:val="00690F0E"/>
    <w:rsid w:val="006915B6"/>
    <w:rsid w:val="006919C5"/>
    <w:rsid w:val="00691D43"/>
    <w:rsid w:val="00692182"/>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E95"/>
    <w:rsid w:val="0069624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FBA"/>
    <w:rsid w:val="006A5185"/>
    <w:rsid w:val="006A5302"/>
    <w:rsid w:val="006A5452"/>
    <w:rsid w:val="006A55F3"/>
    <w:rsid w:val="006A5A45"/>
    <w:rsid w:val="006A5CA3"/>
    <w:rsid w:val="006A5CE9"/>
    <w:rsid w:val="006A5E26"/>
    <w:rsid w:val="006A5E3F"/>
    <w:rsid w:val="006A5F28"/>
    <w:rsid w:val="006A6273"/>
    <w:rsid w:val="006A671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51"/>
    <w:rsid w:val="006B0ED2"/>
    <w:rsid w:val="006B1020"/>
    <w:rsid w:val="006B14F4"/>
    <w:rsid w:val="006B163E"/>
    <w:rsid w:val="006B166D"/>
    <w:rsid w:val="006B16EB"/>
    <w:rsid w:val="006B18B8"/>
    <w:rsid w:val="006B19B2"/>
    <w:rsid w:val="006B1B22"/>
    <w:rsid w:val="006B1BE5"/>
    <w:rsid w:val="006B1DA2"/>
    <w:rsid w:val="006B1F5F"/>
    <w:rsid w:val="006B20F8"/>
    <w:rsid w:val="006B21E9"/>
    <w:rsid w:val="006B242D"/>
    <w:rsid w:val="006B2D92"/>
    <w:rsid w:val="006B38FB"/>
    <w:rsid w:val="006B393F"/>
    <w:rsid w:val="006B3A07"/>
    <w:rsid w:val="006B3AED"/>
    <w:rsid w:val="006B3E55"/>
    <w:rsid w:val="006B4D4E"/>
    <w:rsid w:val="006B5029"/>
    <w:rsid w:val="006B589A"/>
    <w:rsid w:val="006B5A1D"/>
    <w:rsid w:val="006B5A72"/>
    <w:rsid w:val="006B5BAA"/>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473"/>
    <w:rsid w:val="006C16A6"/>
    <w:rsid w:val="006C1A1F"/>
    <w:rsid w:val="006C1B3F"/>
    <w:rsid w:val="006C1ED8"/>
    <w:rsid w:val="006C27D6"/>
    <w:rsid w:val="006C2E7D"/>
    <w:rsid w:val="006C375B"/>
    <w:rsid w:val="006C377A"/>
    <w:rsid w:val="006C3A56"/>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497"/>
    <w:rsid w:val="006C75C9"/>
    <w:rsid w:val="006C7983"/>
    <w:rsid w:val="006C7CFA"/>
    <w:rsid w:val="006D0182"/>
    <w:rsid w:val="006D0233"/>
    <w:rsid w:val="006D03CD"/>
    <w:rsid w:val="006D0A70"/>
    <w:rsid w:val="006D0AD9"/>
    <w:rsid w:val="006D0DED"/>
    <w:rsid w:val="006D103F"/>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EC3"/>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406"/>
    <w:rsid w:val="006D7598"/>
    <w:rsid w:val="006D7850"/>
    <w:rsid w:val="006D7B93"/>
    <w:rsid w:val="006D7DAD"/>
    <w:rsid w:val="006E0B16"/>
    <w:rsid w:val="006E0E25"/>
    <w:rsid w:val="006E0E60"/>
    <w:rsid w:val="006E0ED0"/>
    <w:rsid w:val="006E1348"/>
    <w:rsid w:val="006E176F"/>
    <w:rsid w:val="006E17CB"/>
    <w:rsid w:val="006E1B1C"/>
    <w:rsid w:val="006E1DB1"/>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8B0"/>
    <w:rsid w:val="006F090B"/>
    <w:rsid w:val="006F0A4D"/>
    <w:rsid w:val="006F0C12"/>
    <w:rsid w:val="006F0CDF"/>
    <w:rsid w:val="006F0EB1"/>
    <w:rsid w:val="006F1008"/>
    <w:rsid w:val="006F1159"/>
    <w:rsid w:val="006F1D86"/>
    <w:rsid w:val="006F218B"/>
    <w:rsid w:val="006F22CB"/>
    <w:rsid w:val="006F2710"/>
    <w:rsid w:val="006F291E"/>
    <w:rsid w:val="006F2E21"/>
    <w:rsid w:val="006F3052"/>
    <w:rsid w:val="006F314D"/>
    <w:rsid w:val="006F33BA"/>
    <w:rsid w:val="006F3738"/>
    <w:rsid w:val="006F3B01"/>
    <w:rsid w:val="006F3BDF"/>
    <w:rsid w:val="006F3EBF"/>
    <w:rsid w:val="006F4072"/>
    <w:rsid w:val="006F4189"/>
    <w:rsid w:val="006F4570"/>
    <w:rsid w:val="006F46C1"/>
    <w:rsid w:val="006F4A19"/>
    <w:rsid w:val="006F4BA6"/>
    <w:rsid w:val="006F4EB2"/>
    <w:rsid w:val="006F5065"/>
    <w:rsid w:val="006F546C"/>
    <w:rsid w:val="006F54B9"/>
    <w:rsid w:val="006F557B"/>
    <w:rsid w:val="006F55E6"/>
    <w:rsid w:val="006F5627"/>
    <w:rsid w:val="006F5B41"/>
    <w:rsid w:val="006F651D"/>
    <w:rsid w:val="006F65F5"/>
    <w:rsid w:val="006F6689"/>
    <w:rsid w:val="006F6740"/>
    <w:rsid w:val="006F68D6"/>
    <w:rsid w:val="006F6910"/>
    <w:rsid w:val="006F6E25"/>
    <w:rsid w:val="006F746D"/>
    <w:rsid w:val="006F7815"/>
    <w:rsid w:val="006F7A92"/>
    <w:rsid w:val="006F7C53"/>
    <w:rsid w:val="006F7D30"/>
    <w:rsid w:val="006F7E42"/>
    <w:rsid w:val="00700042"/>
    <w:rsid w:val="0070023A"/>
    <w:rsid w:val="007009A2"/>
    <w:rsid w:val="00700B3D"/>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2D5"/>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4ED9"/>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65"/>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EC3"/>
    <w:rsid w:val="00724426"/>
    <w:rsid w:val="00725068"/>
    <w:rsid w:val="007252C5"/>
    <w:rsid w:val="007254B1"/>
    <w:rsid w:val="0072560E"/>
    <w:rsid w:val="00725CB6"/>
    <w:rsid w:val="00725D75"/>
    <w:rsid w:val="00725F36"/>
    <w:rsid w:val="0072602E"/>
    <w:rsid w:val="00726281"/>
    <w:rsid w:val="00726321"/>
    <w:rsid w:val="0072665F"/>
    <w:rsid w:val="00726C26"/>
    <w:rsid w:val="00726C57"/>
    <w:rsid w:val="00727BB9"/>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25DD"/>
    <w:rsid w:val="0073310D"/>
    <w:rsid w:val="00733315"/>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1A61"/>
    <w:rsid w:val="00741E14"/>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B5F"/>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4F"/>
    <w:rsid w:val="007572E9"/>
    <w:rsid w:val="0075739F"/>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46C"/>
    <w:rsid w:val="00764C43"/>
    <w:rsid w:val="00764E4E"/>
    <w:rsid w:val="00764EB8"/>
    <w:rsid w:val="00765098"/>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B3E"/>
    <w:rsid w:val="00767E35"/>
    <w:rsid w:val="0077043A"/>
    <w:rsid w:val="00770856"/>
    <w:rsid w:val="00770CEE"/>
    <w:rsid w:val="00771081"/>
    <w:rsid w:val="007715F7"/>
    <w:rsid w:val="007716BE"/>
    <w:rsid w:val="00771C85"/>
    <w:rsid w:val="007721AD"/>
    <w:rsid w:val="00772D15"/>
    <w:rsid w:val="00772DC3"/>
    <w:rsid w:val="007733C4"/>
    <w:rsid w:val="00773588"/>
    <w:rsid w:val="00773B7E"/>
    <w:rsid w:val="007743A1"/>
    <w:rsid w:val="0077446F"/>
    <w:rsid w:val="007744EF"/>
    <w:rsid w:val="0077482B"/>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3DC2"/>
    <w:rsid w:val="007842FE"/>
    <w:rsid w:val="0078457C"/>
    <w:rsid w:val="00784702"/>
    <w:rsid w:val="00784C31"/>
    <w:rsid w:val="00784EA1"/>
    <w:rsid w:val="00784FC7"/>
    <w:rsid w:val="007857DE"/>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110"/>
    <w:rsid w:val="007939C7"/>
    <w:rsid w:val="00793CFF"/>
    <w:rsid w:val="00793F70"/>
    <w:rsid w:val="0079428F"/>
    <w:rsid w:val="0079451D"/>
    <w:rsid w:val="007947FB"/>
    <w:rsid w:val="00795226"/>
    <w:rsid w:val="007954AC"/>
    <w:rsid w:val="007956CF"/>
    <w:rsid w:val="00795F89"/>
    <w:rsid w:val="0079601B"/>
    <w:rsid w:val="00796182"/>
    <w:rsid w:val="007961C7"/>
    <w:rsid w:val="007962E1"/>
    <w:rsid w:val="007963AE"/>
    <w:rsid w:val="0079663F"/>
    <w:rsid w:val="0079665D"/>
    <w:rsid w:val="0079683F"/>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2439"/>
    <w:rsid w:val="007A24D9"/>
    <w:rsid w:val="007A26B8"/>
    <w:rsid w:val="007A2BFF"/>
    <w:rsid w:val="007A2DE7"/>
    <w:rsid w:val="007A300F"/>
    <w:rsid w:val="007A3040"/>
    <w:rsid w:val="007A3373"/>
    <w:rsid w:val="007A3395"/>
    <w:rsid w:val="007A3505"/>
    <w:rsid w:val="007A3B04"/>
    <w:rsid w:val="007A3BF2"/>
    <w:rsid w:val="007A40E1"/>
    <w:rsid w:val="007A4262"/>
    <w:rsid w:val="007A4264"/>
    <w:rsid w:val="007A43F5"/>
    <w:rsid w:val="007A44A4"/>
    <w:rsid w:val="007A4AE0"/>
    <w:rsid w:val="007A4AF1"/>
    <w:rsid w:val="007A4BB7"/>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889"/>
    <w:rsid w:val="007B1F9A"/>
    <w:rsid w:val="007B21A9"/>
    <w:rsid w:val="007B2638"/>
    <w:rsid w:val="007B2E32"/>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BCC"/>
    <w:rsid w:val="007B50AB"/>
    <w:rsid w:val="007B51CE"/>
    <w:rsid w:val="007B5218"/>
    <w:rsid w:val="007B599A"/>
    <w:rsid w:val="007B5A66"/>
    <w:rsid w:val="007B5E8E"/>
    <w:rsid w:val="007B5F21"/>
    <w:rsid w:val="007B630D"/>
    <w:rsid w:val="007B633B"/>
    <w:rsid w:val="007B63CD"/>
    <w:rsid w:val="007B65B7"/>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312"/>
    <w:rsid w:val="007C1537"/>
    <w:rsid w:val="007C1B37"/>
    <w:rsid w:val="007C1B94"/>
    <w:rsid w:val="007C2297"/>
    <w:rsid w:val="007C2370"/>
    <w:rsid w:val="007C29A7"/>
    <w:rsid w:val="007C2A39"/>
    <w:rsid w:val="007C33D8"/>
    <w:rsid w:val="007C3439"/>
    <w:rsid w:val="007C3D26"/>
    <w:rsid w:val="007C3D88"/>
    <w:rsid w:val="007C3F14"/>
    <w:rsid w:val="007C41CF"/>
    <w:rsid w:val="007C493F"/>
    <w:rsid w:val="007C508D"/>
    <w:rsid w:val="007C515A"/>
    <w:rsid w:val="007C5250"/>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26"/>
    <w:rsid w:val="007D096E"/>
    <w:rsid w:val="007D098C"/>
    <w:rsid w:val="007D09F7"/>
    <w:rsid w:val="007D0D03"/>
    <w:rsid w:val="007D10D8"/>
    <w:rsid w:val="007D119E"/>
    <w:rsid w:val="007D11B6"/>
    <w:rsid w:val="007D149C"/>
    <w:rsid w:val="007D1558"/>
    <w:rsid w:val="007D1692"/>
    <w:rsid w:val="007D1901"/>
    <w:rsid w:val="007D192E"/>
    <w:rsid w:val="007D1B7C"/>
    <w:rsid w:val="007D1C16"/>
    <w:rsid w:val="007D1FBC"/>
    <w:rsid w:val="007D214A"/>
    <w:rsid w:val="007D218E"/>
    <w:rsid w:val="007D34B6"/>
    <w:rsid w:val="007D3503"/>
    <w:rsid w:val="007D357E"/>
    <w:rsid w:val="007D3756"/>
    <w:rsid w:val="007D3889"/>
    <w:rsid w:val="007D389C"/>
    <w:rsid w:val="007D3921"/>
    <w:rsid w:val="007D39A2"/>
    <w:rsid w:val="007D39D7"/>
    <w:rsid w:val="007D4CBD"/>
    <w:rsid w:val="007D4F80"/>
    <w:rsid w:val="007D4FF2"/>
    <w:rsid w:val="007D512C"/>
    <w:rsid w:val="007D51AD"/>
    <w:rsid w:val="007D526F"/>
    <w:rsid w:val="007D597D"/>
    <w:rsid w:val="007D6104"/>
    <w:rsid w:val="007D6226"/>
    <w:rsid w:val="007D6310"/>
    <w:rsid w:val="007D647B"/>
    <w:rsid w:val="007D66FA"/>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465"/>
    <w:rsid w:val="007E2B64"/>
    <w:rsid w:val="007E318B"/>
    <w:rsid w:val="007E3192"/>
    <w:rsid w:val="007E3A03"/>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0B4"/>
    <w:rsid w:val="007F0129"/>
    <w:rsid w:val="007F05E0"/>
    <w:rsid w:val="007F0B77"/>
    <w:rsid w:val="007F0BB5"/>
    <w:rsid w:val="007F0DD3"/>
    <w:rsid w:val="007F18C0"/>
    <w:rsid w:val="007F1B0C"/>
    <w:rsid w:val="007F22A5"/>
    <w:rsid w:val="007F2867"/>
    <w:rsid w:val="007F2B3F"/>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6BD7"/>
    <w:rsid w:val="007F6F6E"/>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825"/>
    <w:rsid w:val="00803E2E"/>
    <w:rsid w:val="00804029"/>
    <w:rsid w:val="008041E1"/>
    <w:rsid w:val="00804867"/>
    <w:rsid w:val="00804B2F"/>
    <w:rsid w:val="00805250"/>
    <w:rsid w:val="008052E8"/>
    <w:rsid w:val="00805529"/>
    <w:rsid w:val="0080568C"/>
    <w:rsid w:val="0080570A"/>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4EEB"/>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DAE"/>
    <w:rsid w:val="00822DF7"/>
    <w:rsid w:val="00822F05"/>
    <w:rsid w:val="008232AA"/>
    <w:rsid w:val="00823335"/>
    <w:rsid w:val="008237B2"/>
    <w:rsid w:val="00823D7E"/>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44F8"/>
    <w:rsid w:val="00844535"/>
    <w:rsid w:val="00844750"/>
    <w:rsid w:val="0084504C"/>
    <w:rsid w:val="00845272"/>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70E"/>
    <w:rsid w:val="00861B03"/>
    <w:rsid w:val="00861B41"/>
    <w:rsid w:val="00861BBE"/>
    <w:rsid w:val="00861D65"/>
    <w:rsid w:val="00861DA1"/>
    <w:rsid w:val="00861DC0"/>
    <w:rsid w:val="008620C2"/>
    <w:rsid w:val="00862173"/>
    <w:rsid w:val="00862290"/>
    <w:rsid w:val="0086259E"/>
    <w:rsid w:val="008626B0"/>
    <w:rsid w:val="00862988"/>
    <w:rsid w:val="00862D54"/>
    <w:rsid w:val="008632BF"/>
    <w:rsid w:val="00863479"/>
    <w:rsid w:val="008636B5"/>
    <w:rsid w:val="00863AA0"/>
    <w:rsid w:val="00863ECC"/>
    <w:rsid w:val="008642D3"/>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1D26"/>
    <w:rsid w:val="0087229F"/>
    <w:rsid w:val="008722B0"/>
    <w:rsid w:val="0087250F"/>
    <w:rsid w:val="008728D0"/>
    <w:rsid w:val="00872EFE"/>
    <w:rsid w:val="0087305A"/>
    <w:rsid w:val="008734E7"/>
    <w:rsid w:val="00873754"/>
    <w:rsid w:val="00873BF0"/>
    <w:rsid w:val="00874392"/>
    <w:rsid w:val="008743EC"/>
    <w:rsid w:val="00874446"/>
    <w:rsid w:val="00874D5F"/>
    <w:rsid w:val="00874E33"/>
    <w:rsid w:val="00874FAC"/>
    <w:rsid w:val="0087504C"/>
    <w:rsid w:val="0087531D"/>
    <w:rsid w:val="00875693"/>
    <w:rsid w:val="00875905"/>
    <w:rsid w:val="00875AF1"/>
    <w:rsid w:val="00875E7F"/>
    <w:rsid w:val="00875F79"/>
    <w:rsid w:val="00875FBD"/>
    <w:rsid w:val="00876734"/>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1F2"/>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039"/>
    <w:rsid w:val="00886116"/>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E3B"/>
    <w:rsid w:val="00891F63"/>
    <w:rsid w:val="008922DC"/>
    <w:rsid w:val="008922DF"/>
    <w:rsid w:val="008928E8"/>
    <w:rsid w:val="00893024"/>
    <w:rsid w:val="00893230"/>
    <w:rsid w:val="008935A7"/>
    <w:rsid w:val="00893B3B"/>
    <w:rsid w:val="00893D63"/>
    <w:rsid w:val="00893FB3"/>
    <w:rsid w:val="0089421A"/>
    <w:rsid w:val="00894304"/>
    <w:rsid w:val="00895243"/>
    <w:rsid w:val="0089550A"/>
    <w:rsid w:val="0089563D"/>
    <w:rsid w:val="00895A0C"/>
    <w:rsid w:val="0089695E"/>
    <w:rsid w:val="00896A6F"/>
    <w:rsid w:val="00896AFC"/>
    <w:rsid w:val="00896D10"/>
    <w:rsid w:val="00896DF5"/>
    <w:rsid w:val="0089724C"/>
    <w:rsid w:val="008973FC"/>
    <w:rsid w:val="00897945"/>
    <w:rsid w:val="00897999"/>
    <w:rsid w:val="00897A6F"/>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4E9"/>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2E"/>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3DCD"/>
    <w:rsid w:val="008C4188"/>
    <w:rsid w:val="008C4B47"/>
    <w:rsid w:val="008C58D1"/>
    <w:rsid w:val="008C59D5"/>
    <w:rsid w:val="008C5B10"/>
    <w:rsid w:val="008C5B7B"/>
    <w:rsid w:val="008C5F1B"/>
    <w:rsid w:val="008C6C7A"/>
    <w:rsid w:val="008C6F4F"/>
    <w:rsid w:val="008C74CC"/>
    <w:rsid w:val="008C7651"/>
    <w:rsid w:val="008C7877"/>
    <w:rsid w:val="008C7F77"/>
    <w:rsid w:val="008D02CB"/>
    <w:rsid w:val="008D0459"/>
    <w:rsid w:val="008D05D2"/>
    <w:rsid w:val="008D0A5C"/>
    <w:rsid w:val="008D13DC"/>
    <w:rsid w:val="008D149D"/>
    <w:rsid w:val="008D1D05"/>
    <w:rsid w:val="008D1D22"/>
    <w:rsid w:val="008D1E23"/>
    <w:rsid w:val="008D2461"/>
    <w:rsid w:val="008D3208"/>
    <w:rsid w:val="008D3561"/>
    <w:rsid w:val="008D3650"/>
    <w:rsid w:val="008D390B"/>
    <w:rsid w:val="008D3CCE"/>
    <w:rsid w:val="008D3F21"/>
    <w:rsid w:val="008D4277"/>
    <w:rsid w:val="008D453F"/>
    <w:rsid w:val="008D4ABB"/>
    <w:rsid w:val="008D4D9C"/>
    <w:rsid w:val="008D508F"/>
    <w:rsid w:val="008D51DB"/>
    <w:rsid w:val="008D5334"/>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4F"/>
    <w:rsid w:val="008E0E89"/>
    <w:rsid w:val="008E0E8C"/>
    <w:rsid w:val="008E1217"/>
    <w:rsid w:val="008E1FDF"/>
    <w:rsid w:val="008E2051"/>
    <w:rsid w:val="008E20EC"/>
    <w:rsid w:val="008E22BF"/>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134"/>
    <w:rsid w:val="008E5B5F"/>
    <w:rsid w:val="008E5CCD"/>
    <w:rsid w:val="008E5CED"/>
    <w:rsid w:val="008E5D5A"/>
    <w:rsid w:val="008E5EA4"/>
    <w:rsid w:val="008E6333"/>
    <w:rsid w:val="008E6696"/>
    <w:rsid w:val="008E6788"/>
    <w:rsid w:val="008E710C"/>
    <w:rsid w:val="008E7366"/>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02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4A"/>
    <w:rsid w:val="00900DDE"/>
    <w:rsid w:val="00900DF1"/>
    <w:rsid w:val="00901845"/>
    <w:rsid w:val="009019EF"/>
    <w:rsid w:val="00901CBC"/>
    <w:rsid w:val="00901EAC"/>
    <w:rsid w:val="00901EB7"/>
    <w:rsid w:val="0090216A"/>
    <w:rsid w:val="00902177"/>
    <w:rsid w:val="009021D4"/>
    <w:rsid w:val="009022BC"/>
    <w:rsid w:val="0090255A"/>
    <w:rsid w:val="00902734"/>
    <w:rsid w:val="00902997"/>
    <w:rsid w:val="00902C9E"/>
    <w:rsid w:val="009031C6"/>
    <w:rsid w:val="00903281"/>
    <w:rsid w:val="00903636"/>
    <w:rsid w:val="00903F59"/>
    <w:rsid w:val="0090411E"/>
    <w:rsid w:val="009045C7"/>
    <w:rsid w:val="0090480E"/>
    <w:rsid w:val="00904A4E"/>
    <w:rsid w:val="00904A52"/>
    <w:rsid w:val="00904A62"/>
    <w:rsid w:val="00904B6D"/>
    <w:rsid w:val="00904E74"/>
    <w:rsid w:val="00905A06"/>
    <w:rsid w:val="00905B9D"/>
    <w:rsid w:val="00906100"/>
    <w:rsid w:val="00906517"/>
    <w:rsid w:val="009067B8"/>
    <w:rsid w:val="00906EED"/>
    <w:rsid w:val="00907071"/>
    <w:rsid w:val="0090715C"/>
    <w:rsid w:val="00907C8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63"/>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681"/>
    <w:rsid w:val="0092698B"/>
    <w:rsid w:val="009269EB"/>
    <w:rsid w:val="00927211"/>
    <w:rsid w:val="00927752"/>
    <w:rsid w:val="00927D63"/>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AD"/>
    <w:rsid w:val="00933DE4"/>
    <w:rsid w:val="0093457F"/>
    <w:rsid w:val="00934753"/>
    <w:rsid w:val="00934A2E"/>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882"/>
    <w:rsid w:val="00947974"/>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B17"/>
    <w:rsid w:val="00964E3C"/>
    <w:rsid w:val="00964E69"/>
    <w:rsid w:val="0096504D"/>
    <w:rsid w:val="009654F0"/>
    <w:rsid w:val="009659EA"/>
    <w:rsid w:val="00965C56"/>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8"/>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029"/>
    <w:rsid w:val="0098511E"/>
    <w:rsid w:val="00985165"/>
    <w:rsid w:val="009852B3"/>
    <w:rsid w:val="0098541D"/>
    <w:rsid w:val="00985CA4"/>
    <w:rsid w:val="0098666F"/>
    <w:rsid w:val="00986956"/>
    <w:rsid w:val="00986A83"/>
    <w:rsid w:val="00987282"/>
    <w:rsid w:val="009876A0"/>
    <w:rsid w:val="009879B5"/>
    <w:rsid w:val="009879F3"/>
    <w:rsid w:val="009879F4"/>
    <w:rsid w:val="00987F73"/>
    <w:rsid w:val="009902B8"/>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28A"/>
    <w:rsid w:val="00995360"/>
    <w:rsid w:val="009954AD"/>
    <w:rsid w:val="0099567F"/>
    <w:rsid w:val="009956EB"/>
    <w:rsid w:val="009964EF"/>
    <w:rsid w:val="00996546"/>
    <w:rsid w:val="009968B8"/>
    <w:rsid w:val="00996A8B"/>
    <w:rsid w:val="00996CD1"/>
    <w:rsid w:val="00996CD4"/>
    <w:rsid w:val="00996D35"/>
    <w:rsid w:val="0099713E"/>
    <w:rsid w:val="0099731A"/>
    <w:rsid w:val="00997877"/>
    <w:rsid w:val="009979D6"/>
    <w:rsid w:val="00997B89"/>
    <w:rsid w:val="00997CA3"/>
    <w:rsid w:val="009A0212"/>
    <w:rsid w:val="009A02FC"/>
    <w:rsid w:val="009A031F"/>
    <w:rsid w:val="009A041C"/>
    <w:rsid w:val="009A1E77"/>
    <w:rsid w:val="009A20F1"/>
    <w:rsid w:val="009A2180"/>
    <w:rsid w:val="009A246A"/>
    <w:rsid w:val="009A2913"/>
    <w:rsid w:val="009A2DBD"/>
    <w:rsid w:val="009A3183"/>
    <w:rsid w:val="009A3789"/>
    <w:rsid w:val="009A37AC"/>
    <w:rsid w:val="009A3A5F"/>
    <w:rsid w:val="009A3AB5"/>
    <w:rsid w:val="009A3DBA"/>
    <w:rsid w:val="009A3EF1"/>
    <w:rsid w:val="009A40E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A6A"/>
    <w:rsid w:val="009B4BED"/>
    <w:rsid w:val="009B4C24"/>
    <w:rsid w:val="009B5039"/>
    <w:rsid w:val="009B5821"/>
    <w:rsid w:val="009B591E"/>
    <w:rsid w:val="009B59B0"/>
    <w:rsid w:val="009B616B"/>
    <w:rsid w:val="009B66A0"/>
    <w:rsid w:val="009B68AD"/>
    <w:rsid w:val="009B6C13"/>
    <w:rsid w:val="009B6DB4"/>
    <w:rsid w:val="009B6F64"/>
    <w:rsid w:val="009B717B"/>
    <w:rsid w:val="009B79D6"/>
    <w:rsid w:val="009B7BB7"/>
    <w:rsid w:val="009B7EE5"/>
    <w:rsid w:val="009B7FFA"/>
    <w:rsid w:val="009C00EF"/>
    <w:rsid w:val="009C01F7"/>
    <w:rsid w:val="009C047A"/>
    <w:rsid w:val="009C0A9F"/>
    <w:rsid w:val="009C0BC1"/>
    <w:rsid w:val="009C0DBE"/>
    <w:rsid w:val="009C10DF"/>
    <w:rsid w:val="009C1A35"/>
    <w:rsid w:val="009C1D4B"/>
    <w:rsid w:val="009C1E0C"/>
    <w:rsid w:val="009C20D3"/>
    <w:rsid w:val="009C2358"/>
    <w:rsid w:val="009C281C"/>
    <w:rsid w:val="009C3289"/>
    <w:rsid w:val="009C3802"/>
    <w:rsid w:val="009C3D80"/>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692"/>
    <w:rsid w:val="009D1808"/>
    <w:rsid w:val="009D1B5A"/>
    <w:rsid w:val="009D2118"/>
    <w:rsid w:val="009D22EA"/>
    <w:rsid w:val="009D2745"/>
    <w:rsid w:val="009D2752"/>
    <w:rsid w:val="009D28C6"/>
    <w:rsid w:val="009D2C43"/>
    <w:rsid w:val="009D2EDD"/>
    <w:rsid w:val="009D36B6"/>
    <w:rsid w:val="009D3900"/>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3D3"/>
    <w:rsid w:val="009D75A4"/>
    <w:rsid w:val="009D76D2"/>
    <w:rsid w:val="009E0487"/>
    <w:rsid w:val="009E11A9"/>
    <w:rsid w:val="009E176B"/>
    <w:rsid w:val="009E1E13"/>
    <w:rsid w:val="009E1F70"/>
    <w:rsid w:val="009E1FFC"/>
    <w:rsid w:val="009E226A"/>
    <w:rsid w:val="009E2A62"/>
    <w:rsid w:val="009E2F97"/>
    <w:rsid w:val="009E3235"/>
    <w:rsid w:val="009E3790"/>
    <w:rsid w:val="009E457F"/>
    <w:rsid w:val="009E4DEB"/>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0DA9"/>
    <w:rsid w:val="009F1033"/>
    <w:rsid w:val="009F163C"/>
    <w:rsid w:val="009F187B"/>
    <w:rsid w:val="009F1933"/>
    <w:rsid w:val="009F2C55"/>
    <w:rsid w:val="009F2E7E"/>
    <w:rsid w:val="009F3A4B"/>
    <w:rsid w:val="009F416E"/>
    <w:rsid w:val="009F41E1"/>
    <w:rsid w:val="009F4375"/>
    <w:rsid w:val="009F4834"/>
    <w:rsid w:val="009F4C62"/>
    <w:rsid w:val="009F4F05"/>
    <w:rsid w:val="009F5402"/>
    <w:rsid w:val="009F5606"/>
    <w:rsid w:val="009F5CA0"/>
    <w:rsid w:val="009F5CA4"/>
    <w:rsid w:val="009F6410"/>
    <w:rsid w:val="009F6457"/>
    <w:rsid w:val="009F6682"/>
    <w:rsid w:val="009F669B"/>
    <w:rsid w:val="009F66DF"/>
    <w:rsid w:val="009F6843"/>
    <w:rsid w:val="009F6CE1"/>
    <w:rsid w:val="009F7139"/>
    <w:rsid w:val="009F7169"/>
    <w:rsid w:val="009F71C2"/>
    <w:rsid w:val="009F744E"/>
    <w:rsid w:val="009F76CB"/>
    <w:rsid w:val="009F7883"/>
    <w:rsid w:val="009F79F3"/>
    <w:rsid w:val="00A00519"/>
    <w:rsid w:val="00A00B44"/>
    <w:rsid w:val="00A00B7C"/>
    <w:rsid w:val="00A01006"/>
    <w:rsid w:val="00A011C6"/>
    <w:rsid w:val="00A022B2"/>
    <w:rsid w:val="00A02B26"/>
    <w:rsid w:val="00A02D09"/>
    <w:rsid w:val="00A02D68"/>
    <w:rsid w:val="00A03893"/>
    <w:rsid w:val="00A0394B"/>
    <w:rsid w:val="00A03A20"/>
    <w:rsid w:val="00A04541"/>
    <w:rsid w:val="00A0465F"/>
    <w:rsid w:val="00A04846"/>
    <w:rsid w:val="00A04A92"/>
    <w:rsid w:val="00A04B09"/>
    <w:rsid w:val="00A04EA3"/>
    <w:rsid w:val="00A05194"/>
    <w:rsid w:val="00A0559E"/>
    <w:rsid w:val="00A05A1F"/>
    <w:rsid w:val="00A05BA9"/>
    <w:rsid w:val="00A05DFF"/>
    <w:rsid w:val="00A05FF8"/>
    <w:rsid w:val="00A06008"/>
    <w:rsid w:val="00A066DE"/>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52DD"/>
    <w:rsid w:val="00A1562F"/>
    <w:rsid w:val="00A157EC"/>
    <w:rsid w:val="00A15B1D"/>
    <w:rsid w:val="00A15C81"/>
    <w:rsid w:val="00A16150"/>
    <w:rsid w:val="00A1630A"/>
    <w:rsid w:val="00A1637F"/>
    <w:rsid w:val="00A1690B"/>
    <w:rsid w:val="00A16A02"/>
    <w:rsid w:val="00A16C95"/>
    <w:rsid w:val="00A17345"/>
    <w:rsid w:val="00A1760D"/>
    <w:rsid w:val="00A1789B"/>
    <w:rsid w:val="00A178BC"/>
    <w:rsid w:val="00A20253"/>
    <w:rsid w:val="00A2049C"/>
    <w:rsid w:val="00A205BF"/>
    <w:rsid w:val="00A208BA"/>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5F16"/>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A56"/>
    <w:rsid w:val="00A34C88"/>
    <w:rsid w:val="00A35156"/>
    <w:rsid w:val="00A35432"/>
    <w:rsid w:val="00A35735"/>
    <w:rsid w:val="00A35A0B"/>
    <w:rsid w:val="00A362CB"/>
    <w:rsid w:val="00A365F0"/>
    <w:rsid w:val="00A36694"/>
    <w:rsid w:val="00A36DBF"/>
    <w:rsid w:val="00A3747D"/>
    <w:rsid w:val="00A37A59"/>
    <w:rsid w:val="00A40531"/>
    <w:rsid w:val="00A40889"/>
    <w:rsid w:val="00A409EB"/>
    <w:rsid w:val="00A40D3C"/>
    <w:rsid w:val="00A41005"/>
    <w:rsid w:val="00A41009"/>
    <w:rsid w:val="00A41179"/>
    <w:rsid w:val="00A41543"/>
    <w:rsid w:val="00A41631"/>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61"/>
    <w:rsid w:val="00A55877"/>
    <w:rsid w:val="00A55BB7"/>
    <w:rsid w:val="00A55CCE"/>
    <w:rsid w:val="00A55E76"/>
    <w:rsid w:val="00A5637C"/>
    <w:rsid w:val="00A56735"/>
    <w:rsid w:val="00A56C2C"/>
    <w:rsid w:val="00A56FAD"/>
    <w:rsid w:val="00A56FB0"/>
    <w:rsid w:val="00A570E9"/>
    <w:rsid w:val="00A571D3"/>
    <w:rsid w:val="00A57311"/>
    <w:rsid w:val="00A57C08"/>
    <w:rsid w:val="00A57C8F"/>
    <w:rsid w:val="00A57F0D"/>
    <w:rsid w:val="00A57F96"/>
    <w:rsid w:val="00A607EF"/>
    <w:rsid w:val="00A6098D"/>
    <w:rsid w:val="00A60D9D"/>
    <w:rsid w:val="00A61768"/>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0F"/>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A0F"/>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B35"/>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5"/>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08"/>
    <w:rsid w:val="00AA361F"/>
    <w:rsid w:val="00AA3927"/>
    <w:rsid w:val="00AA3B44"/>
    <w:rsid w:val="00AA3FF1"/>
    <w:rsid w:val="00AA461D"/>
    <w:rsid w:val="00AA46DD"/>
    <w:rsid w:val="00AA4757"/>
    <w:rsid w:val="00AA484A"/>
    <w:rsid w:val="00AA491B"/>
    <w:rsid w:val="00AA4B1B"/>
    <w:rsid w:val="00AA5584"/>
    <w:rsid w:val="00AA5C2D"/>
    <w:rsid w:val="00AA5C3C"/>
    <w:rsid w:val="00AA5F1A"/>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5D3"/>
    <w:rsid w:val="00AB66A3"/>
    <w:rsid w:val="00AB706E"/>
    <w:rsid w:val="00AB7134"/>
    <w:rsid w:val="00AB76D5"/>
    <w:rsid w:val="00AB7787"/>
    <w:rsid w:val="00AB78AC"/>
    <w:rsid w:val="00AB7E64"/>
    <w:rsid w:val="00AC0ABB"/>
    <w:rsid w:val="00AC0B26"/>
    <w:rsid w:val="00AC0EB6"/>
    <w:rsid w:val="00AC0ECE"/>
    <w:rsid w:val="00AC1191"/>
    <w:rsid w:val="00AC1281"/>
    <w:rsid w:val="00AC1593"/>
    <w:rsid w:val="00AC18EB"/>
    <w:rsid w:val="00AC1C31"/>
    <w:rsid w:val="00AC2331"/>
    <w:rsid w:val="00AC24BC"/>
    <w:rsid w:val="00AC2D4E"/>
    <w:rsid w:val="00AC3084"/>
    <w:rsid w:val="00AC3431"/>
    <w:rsid w:val="00AC35E6"/>
    <w:rsid w:val="00AC38E9"/>
    <w:rsid w:val="00AC39B0"/>
    <w:rsid w:val="00AC45D6"/>
    <w:rsid w:val="00AC462D"/>
    <w:rsid w:val="00AC4D53"/>
    <w:rsid w:val="00AC4E2E"/>
    <w:rsid w:val="00AC5439"/>
    <w:rsid w:val="00AC59C2"/>
    <w:rsid w:val="00AC5A3B"/>
    <w:rsid w:val="00AC5D8C"/>
    <w:rsid w:val="00AC61B3"/>
    <w:rsid w:val="00AC63F4"/>
    <w:rsid w:val="00AC6521"/>
    <w:rsid w:val="00AC690A"/>
    <w:rsid w:val="00AC69BE"/>
    <w:rsid w:val="00AC6D0A"/>
    <w:rsid w:val="00AC6D3E"/>
    <w:rsid w:val="00AC71E2"/>
    <w:rsid w:val="00AC7E16"/>
    <w:rsid w:val="00AD0908"/>
    <w:rsid w:val="00AD12BD"/>
    <w:rsid w:val="00AD15F2"/>
    <w:rsid w:val="00AD163D"/>
    <w:rsid w:val="00AD1A15"/>
    <w:rsid w:val="00AD1DFE"/>
    <w:rsid w:val="00AD1F06"/>
    <w:rsid w:val="00AD1F4E"/>
    <w:rsid w:val="00AD2579"/>
    <w:rsid w:val="00AD284F"/>
    <w:rsid w:val="00AD28FD"/>
    <w:rsid w:val="00AD2A2B"/>
    <w:rsid w:val="00AD2ACB"/>
    <w:rsid w:val="00AD2BAD"/>
    <w:rsid w:val="00AD2D96"/>
    <w:rsid w:val="00AD3042"/>
    <w:rsid w:val="00AD3047"/>
    <w:rsid w:val="00AD3055"/>
    <w:rsid w:val="00AD3202"/>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349"/>
    <w:rsid w:val="00AD6808"/>
    <w:rsid w:val="00AD6C7F"/>
    <w:rsid w:val="00AD70C9"/>
    <w:rsid w:val="00AD732B"/>
    <w:rsid w:val="00AD75A6"/>
    <w:rsid w:val="00AD7927"/>
    <w:rsid w:val="00AD7984"/>
    <w:rsid w:val="00AE08F3"/>
    <w:rsid w:val="00AE0D23"/>
    <w:rsid w:val="00AE0E9E"/>
    <w:rsid w:val="00AE1418"/>
    <w:rsid w:val="00AE14B7"/>
    <w:rsid w:val="00AE2205"/>
    <w:rsid w:val="00AE2250"/>
    <w:rsid w:val="00AE232B"/>
    <w:rsid w:val="00AE24CF"/>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B56"/>
    <w:rsid w:val="00AE6D12"/>
    <w:rsid w:val="00AE6E58"/>
    <w:rsid w:val="00AE6EEB"/>
    <w:rsid w:val="00AE723D"/>
    <w:rsid w:val="00AE7992"/>
    <w:rsid w:val="00AE799E"/>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AF7"/>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72F"/>
    <w:rsid w:val="00AF7A91"/>
    <w:rsid w:val="00AF7BA4"/>
    <w:rsid w:val="00AF7F09"/>
    <w:rsid w:val="00B00059"/>
    <w:rsid w:val="00B002BA"/>
    <w:rsid w:val="00B00306"/>
    <w:rsid w:val="00B00D07"/>
    <w:rsid w:val="00B00D62"/>
    <w:rsid w:val="00B010D3"/>
    <w:rsid w:val="00B0114A"/>
    <w:rsid w:val="00B013EF"/>
    <w:rsid w:val="00B0158B"/>
    <w:rsid w:val="00B01669"/>
    <w:rsid w:val="00B01A7A"/>
    <w:rsid w:val="00B01CC2"/>
    <w:rsid w:val="00B01E54"/>
    <w:rsid w:val="00B01F0D"/>
    <w:rsid w:val="00B02014"/>
    <w:rsid w:val="00B021DE"/>
    <w:rsid w:val="00B0226B"/>
    <w:rsid w:val="00B0226D"/>
    <w:rsid w:val="00B023FC"/>
    <w:rsid w:val="00B02732"/>
    <w:rsid w:val="00B02A4C"/>
    <w:rsid w:val="00B02FB9"/>
    <w:rsid w:val="00B03101"/>
    <w:rsid w:val="00B039CE"/>
    <w:rsid w:val="00B03A2E"/>
    <w:rsid w:val="00B03C9A"/>
    <w:rsid w:val="00B03D26"/>
    <w:rsid w:val="00B03DD1"/>
    <w:rsid w:val="00B03E54"/>
    <w:rsid w:val="00B042A6"/>
    <w:rsid w:val="00B048BD"/>
    <w:rsid w:val="00B04D36"/>
    <w:rsid w:val="00B04F11"/>
    <w:rsid w:val="00B050D5"/>
    <w:rsid w:val="00B053F5"/>
    <w:rsid w:val="00B054CE"/>
    <w:rsid w:val="00B05629"/>
    <w:rsid w:val="00B05688"/>
    <w:rsid w:val="00B0579D"/>
    <w:rsid w:val="00B06114"/>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82"/>
    <w:rsid w:val="00B11A47"/>
    <w:rsid w:val="00B11E29"/>
    <w:rsid w:val="00B12A59"/>
    <w:rsid w:val="00B12F78"/>
    <w:rsid w:val="00B12F83"/>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6A8"/>
    <w:rsid w:val="00B22BCF"/>
    <w:rsid w:val="00B22ED9"/>
    <w:rsid w:val="00B233A9"/>
    <w:rsid w:val="00B239CC"/>
    <w:rsid w:val="00B23A36"/>
    <w:rsid w:val="00B23DB1"/>
    <w:rsid w:val="00B23FAE"/>
    <w:rsid w:val="00B24051"/>
    <w:rsid w:val="00B240B5"/>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1C"/>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A51"/>
    <w:rsid w:val="00B43D4D"/>
    <w:rsid w:val="00B440CF"/>
    <w:rsid w:val="00B4425A"/>
    <w:rsid w:val="00B443C5"/>
    <w:rsid w:val="00B4485B"/>
    <w:rsid w:val="00B44D29"/>
    <w:rsid w:val="00B45192"/>
    <w:rsid w:val="00B451EE"/>
    <w:rsid w:val="00B45A61"/>
    <w:rsid w:val="00B45AE8"/>
    <w:rsid w:val="00B45BCF"/>
    <w:rsid w:val="00B4622C"/>
    <w:rsid w:val="00B462D6"/>
    <w:rsid w:val="00B46813"/>
    <w:rsid w:val="00B46BBB"/>
    <w:rsid w:val="00B46F95"/>
    <w:rsid w:val="00B47137"/>
    <w:rsid w:val="00B4776B"/>
    <w:rsid w:val="00B47784"/>
    <w:rsid w:val="00B4783F"/>
    <w:rsid w:val="00B47CEF"/>
    <w:rsid w:val="00B50353"/>
    <w:rsid w:val="00B504F7"/>
    <w:rsid w:val="00B511A4"/>
    <w:rsid w:val="00B51420"/>
    <w:rsid w:val="00B514E2"/>
    <w:rsid w:val="00B51526"/>
    <w:rsid w:val="00B51A40"/>
    <w:rsid w:val="00B51B9E"/>
    <w:rsid w:val="00B52540"/>
    <w:rsid w:val="00B52559"/>
    <w:rsid w:val="00B52646"/>
    <w:rsid w:val="00B529F2"/>
    <w:rsid w:val="00B52AAD"/>
    <w:rsid w:val="00B52F6C"/>
    <w:rsid w:val="00B52FEA"/>
    <w:rsid w:val="00B53D89"/>
    <w:rsid w:val="00B53EF5"/>
    <w:rsid w:val="00B54176"/>
    <w:rsid w:val="00B5428C"/>
    <w:rsid w:val="00B54551"/>
    <w:rsid w:val="00B54552"/>
    <w:rsid w:val="00B5475E"/>
    <w:rsid w:val="00B547AF"/>
    <w:rsid w:val="00B54989"/>
    <w:rsid w:val="00B55179"/>
    <w:rsid w:val="00B553CF"/>
    <w:rsid w:val="00B554B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5A"/>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1D3C"/>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86"/>
    <w:rsid w:val="00B774CC"/>
    <w:rsid w:val="00B7763D"/>
    <w:rsid w:val="00B77D8A"/>
    <w:rsid w:val="00B8053A"/>
    <w:rsid w:val="00B8053B"/>
    <w:rsid w:val="00B80733"/>
    <w:rsid w:val="00B80795"/>
    <w:rsid w:val="00B809A2"/>
    <w:rsid w:val="00B80F5B"/>
    <w:rsid w:val="00B81578"/>
    <w:rsid w:val="00B81684"/>
    <w:rsid w:val="00B817F4"/>
    <w:rsid w:val="00B81B69"/>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4C33"/>
    <w:rsid w:val="00B94E69"/>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0F70"/>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8CB"/>
    <w:rsid w:val="00BB0B3E"/>
    <w:rsid w:val="00BB0D75"/>
    <w:rsid w:val="00BB0F30"/>
    <w:rsid w:val="00BB148C"/>
    <w:rsid w:val="00BB1966"/>
    <w:rsid w:val="00BB1B24"/>
    <w:rsid w:val="00BB1C4F"/>
    <w:rsid w:val="00BB1CB0"/>
    <w:rsid w:val="00BB1CFA"/>
    <w:rsid w:val="00BB1D50"/>
    <w:rsid w:val="00BB1F8F"/>
    <w:rsid w:val="00BB225D"/>
    <w:rsid w:val="00BB22CE"/>
    <w:rsid w:val="00BB29CE"/>
    <w:rsid w:val="00BB3355"/>
    <w:rsid w:val="00BB365A"/>
    <w:rsid w:val="00BB3F4C"/>
    <w:rsid w:val="00BB3F73"/>
    <w:rsid w:val="00BB3F8F"/>
    <w:rsid w:val="00BB424D"/>
    <w:rsid w:val="00BB4A42"/>
    <w:rsid w:val="00BB4CA1"/>
    <w:rsid w:val="00BB5321"/>
    <w:rsid w:val="00BB56F2"/>
    <w:rsid w:val="00BB56F3"/>
    <w:rsid w:val="00BB570F"/>
    <w:rsid w:val="00BB573C"/>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140B"/>
    <w:rsid w:val="00BD17C8"/>
    <w:rsid w:val="00BD1BD5"/>
    <w:rsid w:val="00BD238C"/>
    <w:rsid w:val="00BD2A08"/>
    <w:rsid w:val="00BD2A7B"/>
    <w:rsid w:val="00BD2E3B"/>
    <w:rsid w:val="00BD2F55"/>
    <w:rsid w:val="00BD3837"/>
    <w:rsid w:val="00BD386B"/>
    <w:rsid w:val="00BD3C69"/>
    <w:rsid w:val="00BD3D0D"/>
    <w:rsid w:val="00BD3D7A"/>
    <w:rsid w:val="00BD4159"/>
    <w:rsid w:val="00BD43D6"/>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7F0"/>
    <w:rsid w:val="00BE28FE"/>
    <w:rsid w:val="00BE296A"/>
    <w:rsid w:val="00BE312F"/>
    <w:rsid w:val="00BE3167"/>
    <w:rsid w:val="00BE328E"/>
    <w:rsid w:val="00BE399E"/>
    <w:rsid w:val="00BE3DA4"/>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A3F"/>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298"/>
    <w:rsid w:val="00BF3B91"/>
    <w:rsid w:val="00BF3C10"/>
    <w:rsid w:val="00BF3F2F"/>
    <w:rsid w:val="00BF3FFA"/>
    <w:rsid w:val="00BF46F1"/>
    <w:rsid w:val="00BF4B69"/>
    <w:rsid w:val="00BF56A8"/>
    <w:rsid w:val="00BF58CC"/>
    <w:rsid w:val="00BF5C58"/>
    <w:rsid w:val="00BF5F0E"/>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13D"/>
    <w:rsid w:val="00C03665"/>
    <w:rsid w:val="00C039B6"/>
    <w:rsid w:val="00C03AB0"/>
    <w:rsid w:val="00C03B7B"/>
    <w:rsid w:val="00C0420B"/>
    <w:rsid w:val="00C0483F"/>
    <w:rsid w:val="00C04945"/>
    <w:rsid w:val="00C04FFE"/>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248"/>
    <w:rsid w:val="00C13504"/>
    <w:rsid w:val="00C13642"/>
    <w:rsid w:val="00C13BFC"/>
    <w:rsid w:val="00C13C8A"/>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CD"/>
    <w:rsid w:val="00C222CF"/>
    <w:rsid w:val="00C22F5A"/>
    <w:rsid w:val="00C232DD"/>
    <w:rsid w:val="00C233DC"/>
    <w:rsid w:val="00C23675"/>
    <w:rsid w:val="00C240C3"/>
    <w:rsid w:val="00C2423A"/>
    <w:rsid w:val="00C24CA2"/>
    <w:rsid w:val="00C24EE5"/>
    <w:rsid w:val="00C24F74"/>
    <w:rsid w:val="00C250CF"/>
    <w:rsid w:val="00C2544D"/>
    <w:rsid w:val="00C25745"/>
    <w:rsid w:val="00C25D3A"/>
    <w:rsid w:val="00C263AE"/>
    <w:rsid w:val="00C26871"/>
    <w:rsid w:val="00C2695A"/>
    <w:rsid w:val="00C26998"/>
    <w:rsid w:val="00C26EA3"/>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9E1"/>
    <w:rsid w:val="00C40B7D"/>
    <w:rsid w:val="00C41492"/>
    <w:rsid w:val="00C41905"/>
    <w:rsid w:val="00C41CCF"/>
    <w:rsid w:val="00C42130"/>
    <w:rsid w:val="00C42784"/>
    <w:rsid w:val="00C42827"/>
    <w:rsid w:val="00C429E1"/>
    <w:rsid w:val="00C42FF1"/>
    <w:rsid w:val="00C4316E"/>
    <w:rsid w:val="00C43221"/>
    <w:rsid w:val="00C4378C"/>
    <w:rsid w:val="00C439F0"/>
    <w:rsid w:val="00C43CE7"/>
    <w:rsid w:val="00C44189"/>
    <w:rsid w:val="00C4464F"/>
    <w:rsid w:val="00C447EB"/>
    <w:rsid w:val="00C447FB"/>
    <w:rsid w:val="00C449AE"/>
    <w:rsid w:val="00C44A7B"/>
    <w:rsid w:val="00C44ADA"/>
    <w:rsid w:val="00C44FA5"/>
    <w:rsid w:val="00C45A9C"/>
    <w:rsid w:val="00C464CD"/>
    <w:rsid w:val="00C46B53"/>
    <w:rsid w:val="00C470AA"/>
    <w:rsid w:val="00C47AE8"/>
    <w:rsid w:val="00C47C73"/>
    <w:rsid w:val="00C50033"/>
    <w:rsid w:val="00C5004B"/>
    <w:rsid w:val="00C506EC"/>
    <w:rsid w:val="00C508B7"/>
    <w:rsid w:val="00C50B80"/>
    <w:rsid w:val="00C512DA"/>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2E8"/>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9B6"/>
    <w:rsid w:val="00C66B89"/>
    <w:rsid w:val="00C66C34"/>
    <w:rsid w:val="00C66F14"/>
    <w:rsid w:val="00C67231"/>
    <w:rsid w:val="00C67B97"/>
    <w:rsid w:val="00C7040D"/>
    <w:rsid w:val="00C7046B"/>
    <w:rsid w:val="00C70A67"/>
    <w:rsid w:val="00C70B8C"/>
    <w:rsid w:val="00C71468"/>
    <w:rsid w:val="00C71A94"/>
    <w:rsid w:val="00C71EBF"/>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07AB"/>
    <w:rsid w:val="00C81497"/>
    <w:rsid w:val="00C817A9"/>
    <w:rsid w:val="00C8198E"/>
    <w:rsid w:val="00C81B30"/>
    <w:rsid w:val="00C82387"/>
    <w:rsid w:val="00C82B8F"/>
    <w:rsid w:val="00C82CEB"/>
    <w:rsid w:val="00C831ED"/>
    <w:rsid w:val="00C83BED"/>
    <w:rsid w:val="00C83E16"/>
    <w:rsid w:val="00C84186"/>
    <w:rsid w:val="00C84A52"/>
    <w:rsid w:val="00C84D79"/>
    <w:rsid w:val="00C8534D"/>
    <w:rsid w:val="00C8561F"/>
    <w:rsid w:val="00C85738"/>
    <w:rsid w:val="00C8576D"/>
    <w:rsid w:val="00C85E17"/>
    <w:rsid w:val="00C86028"/>
    <w:rsid w:val="00C8624E"/>
    <w:rsid w:val="00C86379"/>
    <w:rsid w:val="00C864DB"/>
    <w:rsid w:val="00C86760"/>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0F1"/>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169"/>
    <w:rsid w:val="00CA2919"/>
    <w:rsid w:val="00CA2C56"/>
    <w:rsid w:val="00CA3FA4"/>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A7BBF"/>
    <w:rsid w:val="00CB047F"/>
    <w:rsid w:val="00CB0C2A"/>
    <w:rsid w:val="00CB11BD"/>
    <w:rsid w:val="00CB1368"/>
    <w:rsid w:val="00CB1F2A"/>
    <w:rsid w:val="00CB2836"/>
    <w:rsid w:val="00CB2FB2"/>
    <w:rsid w:val="00CB480A"/>
    <w:rsid w:val="00CB4FA5"/>
    <w:rsid w:val="00CB5054"/>
    <w:rsid w:val="00CB558B"/>
    <w:rsid w:val="00CB588E"/>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4CC"/>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501"/>
    <w:rsid w:val="00CD0740"/>
    <w:rsid w:val="00CD0748"/>
    <w:rsid w:val="00CD0768"/>
    <w:rsid w:val="00CD08B7"/>
    <w:rsid w:val="00CD0FCC"/>
    <w:rsid w:val="00CD14CB"/>
    <w:rsid w:val="00CD179D"/>
    <w:rsid w:val="00CD17A9"/>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673"/>
    <w:rsid w:val="00CD574B"/>
    <w:rsid w:val="00CD5A79"/>
    <w:rsid w:val="00CD5C02"/>
    <w:rsid w:val="00CD5EFF"/>
    <w:rsid w:val="00CD61E3"/>
    <w:rsid w:val="00CD61FD"/>
    <w:rsid w:val="00CD62C5"/>
    <w:rsid w:val="00CD6469"/>
    <w:rsid w:val="00CD6578"/>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0A"/>
    <w:rsid w:val="00CF75EA"/>
    <w:rsid w:val="00CF7C3E"/>
    <w:rsid w:val="00CF7CCF"/>
    <w:rsid w:val="00D00522"/>
    <w:rsid w:val="00D007D5"/>
    <w:rsid w:val="00D0084D"/>
    <w:rsid w:val="00D00AD0"/>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0FC8"/>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1D"/>
    <w:rsid w:val="00D22F93"/>
    <w:rsid w:val="00D23556"/>
    <w:rsid w:val="00D23660"/>
    <w:rsid w:val="00D2390D"/>
    <w:rsid w:val="00D23A34"/>
    <w:rsid w:val="00D23B89"/>
    <w:rsid w:val="00D23CE2"/>
    <w:rsid w:val="00D23EAA"/>
    <w:rsid w:val="00D23FA3"/>
    <w:rsid w:val="00D2466A"/>
    <w:rsid w:val="00D24A77"/>
    <w:rsid w:val="00D24BCB"/>
    <w:rsid w:val="00D25077"/>
    <w:rsid w:val="00D25160"/>
    <w:rsid w:val="00D25301"/>
    <w:rsid w:val="00D254FA"/>
    <w:rsid w:val="00D25A3A"/>
    <w:rsid w:val="00D25F27"/>
    <w:rsid w:val="00D261FB"/>
    <w:rsid w:val="00D26283"/>
    <w:rsid w:val="00D263B5"/>
    <w:rsid w:val="00D26586"/>
    <w:rsid w:val="00D26DBE"/>
    <w:rsid w:val="00D26E0D"/>
    <w:rsid w:val="00D279E4"/>
    <w:rsid w:val="00D27BB6"/>
    <w:rsid w:val="00D27F01"/>
    <w:rsid w:val="00D30606"/>
    <w:rsid w:val="00D30C46"/>
    <w:rsid w:val="00D30EB8"/>
    <w:rsid w:val="00D30FC7"/>
    <w:rsid w:val="00D3174D"/>
    <w:rsid w:val="00D31B2B"/>
    <w:rsid w:val="00D31B69"/>
    <w:rsid w:val="00D31B73"/>
    <w:rsid w:val="00D31B9F"/>
    <w:rsid w:val="00D31BEA"/>
    <w:rsid w:val="00D32218"/>
    <w:rsid w:val="00D3226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4F5"/>
    <w:rsid w:val="00D37C2D"/>
    <w:rsid w:val="00D40409"/>
    <w:rsid w:val="00D404CE"/>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3188"/>
    <w:rsid w:val="00D4340A"/>
    <w:rsid w:val="00D435FC"/>
    <w:rsid w:val="00D43888"/>
    <w:rsid w:val="00D43950"/>
    <w:rsid w:val="00D43D82"/>
    <w:rsid w:val="00D440D2"/>
    <w:rsid w:val="00D4429F"/>
    <w:rsid w:val="00D44336"/>
    <w:rsid w:val="00D44608"/>
    <w:rsid w:val="00D4463B"/>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328"/>
    <w:rsid w:val="00D475CC"/>
    <w:rsid w:val="00D477E2"/>
    <w:rsid w:val="00D479EA"/>
    <w:rsid w:val="00D5044A"/>
    <w:rsid w:val="00D50AF0"/>
    <w:rsid w:val="00D50D05"/>
    <w:rsid w:val="00D50F95"/>
    <w:rsid w:val="00D5102A"/>
    <w:rsid w:val="00D513F0"/>
    <w:rsid w:val="00D51565"/>
    <w:rsid w:val="00D515E1"/>
    <w:rsid w:val="00D51AAF"/>
    <w:rsid w:val="00D51F84"/>
    <w:rsid w:val="00D52200"/>
    <w:rsid w:val="00D52758"/>
    <w:rsid w:val="00D5294C"/>
    <w:rsid w:val="00D52CCC"/>
    <w:rsid w:val="00D52D7F"/>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68"/>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493"/>
    <w:rsid w:val="00D617F2"/>
    <w:rsid w:val="00D61E3D"/>
    <w:rsid w:val="00D62216"/>
    <w:rsid w:val="00D62243"/>
    <w:rsid w:val="00D626C4"/>
    <w:rsid w:val="00D6278F"/>
    <w:rsid w:val="00D62949"/>
    <w:rsid w:val="00D62C5D"/>
    <w:rsid w:val="00D62DEC"/>
    <w:rsid w:val="00D6321B"/>
    <w:rsid w:val="00D632DD"/>
    <w:rsid w:val="00D63939"/>
    <w:rsid w:val="00D639EC"/>
    <w:rsid w:val="00D63BAD"/>
    <w:rsid w:val="00D63C5F"/>
    <w:rsid w:val="00D6410E"/>
    <w:rsid w:val="00D6420E"/>
    <w:rsid w:val="00D64331"/>
    <w:rsid w:val="00D6433E"/>
    <w:rsid w:val="00D64346"/>
    <w:rsid w:val="00D6447E"/>
    <w:rsid w:val="00D647E7"/>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5A5"/>
    <w:rsid w:val="00D7076F"/>
    <w:rsid w:val="00D7090F"/>
    <w:rsid w:val="00D70F5E"/>
    <w:rsid w:val="00D70F87"/>
    <w:rsid w:val="00D7123A"/>
    <w:rsid w:val="00D71BC6"/>
    <w:rsid w:val="00D72180"/>
    <w:rsid w:val="00D72B6D"/>
    <w:rsid w:val="00D72C73"/>
    <w:rsid w:val="00D73347"/>
    <w:rsid w:val="00D73682"/>
    <w:rsid w:val="00D73A3C"/>
    <w:rsid w:val="00D73A6B"/>
    <w:rsid w:val="00D73DAD"/>
    <w:rsid w:val="00D73E0D"/>
    <w:rsid w:val="00D7439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7F4"/>
    <w:rsid w:val="00D77B0A"/>
    <w:rsid w:val="00D77B6A"/>
    <w:rsid w:val="00D77C8D"/>
    <w:rsid w:val="00D800A1"/>
    <w:rsid w:val="00D8036A"/>
    <w:rsid w:val="00D806C9"/>
    <w:rsid w:val="00D80A2E"/>
    <w:rsid w:val="00D80AB8"/>
    <w:rsid w:val="00D80C93"/>
    <w:rsid w:val="00D80CCB"/>
    <w:rsid w:val="00D80DCB"/>
    <w:rsid w:val="00D80FE4"/>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44D"/>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9F6"/>
    <w:rsid w:val="00D95B40"/>
    <w:rsid w:val="00D95BF0"/>
    <w:rsid w:val="00D95BFF"/>
    <w:rsid w:val="00D96193"/>
    <w:rsid w:val="00D966BA"/>
    <w:rsid w:val="00D9680A"/>
    <w:rsid w:val="00D96821"/>
    <w:rsid w:val="00D96DCE"/>
    <w:rsid w:val="00D96DD2"/>
    <w:rsid w:val="00D9792C"/>
    <w:rsid w:val="00D97DC1"/>
    <w:rsid w:val="00D97E86"/>
    <w:rsid w:val="00D97ED1"/>
    <w:rsid w:val="00DA0085"/>
    <w:rsid w:val="00DA0C66"/>
    <w:rsid w:val="00DA0FC0"/>
    <w:rsid w:val="00DA10CE"/>
    <w:rsid w:val="00DA17C7"/>
    <w:rsid w:val="00DA1D80"/>
    <w:rsid w:val="00DA2046"/>
    <w:rsid w:val="00DA225C"/>
    <w:rsid w:val="00DA22F3"/>
    <w:rsid w:val="00DA239A"/>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6F4"/>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3ECA"/>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89"/>
    <w:rsid w:val="00DC0F93"/>
    <w:rsid w:val="00DC1384"/>
    <w:rsid w:val="00DC13D4"/>
    <w:rsid w:val="00DC1479"/>
    <w:rsid w:val="00DC1624"/>
    <w:rsid w:val="00DC1763"/>
    <w:rsid w:val="00DC17E4"/>
    <w:rsid w:val="00DC22B7"/>
    <w:rsid w:val="00DC257F"/>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7F1"/>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2FEA"/>
    <w:rsid w:val="00DD3401"/>
    <w:rsid w:val="00DD3430"/>
    <w:rsid w:val="00DD3480"/>
    <w:rsid w:val="00DD34FD"/>
    <w:rsid w:val="00DD3508"/>
    <w:rsid w:val="00DD3565"/>
    <w:rsid w:val="00DD3CF2"/>
    <w:rsid w:val="00DD466B"/>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1F4"/>
    <w:rsid w:val="00E0026A"/>
    <w:rsid w:val="00E004D1"/>
    <w:rsid w:val="00E00A07"/>
    <w:rsid w:val="00E00EFF"/>
    <w:rsid w:val="00E01175"/>
    <w:rsid w:val="00E013F2"/>
    <w:rsid w:val="00E014BF"/>
    <w:rsid w:val="00E019EA"/>
    <w:rsid w:val="00E01A90"/>
    <w:rsid w:val="00E01B57"/>
    <w:rsid w:val="00E02263"/>
    <w:rsid w:val="00E02351"/>
    <w:rsid w:val="00E023A2"/>
    <w:rsid w:val="00E028E6"/>
    <w:rsid w:val="00E02C20"/>
    <w:rsid w:val="00E032C1"/>
    <w:rsid w:val="00E03506"/>
    <w:rsid w:val="00E037A8"/>
    <w:rsid w:val="00E039C0"/>
    <w:rsid w:val="00E03A93"/>
    <w:rsid w:val="00E03DCC"/>
    <w:rsid w:val="00E046C1"/>
    <w:rsid w:val="00E047CC"/>
    <w:rsid w:val="00E049EC"/>
    <w:rsid w:val="00E04EE6"/>
    <w:rsid w:val="00E04FDD"/>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AD6"/>
    <w:rsid w:val="00E11EB8"/>
    <w:rsid w:val="00E1239E"/>
    <w:rsid w:val="00E125EE"/>
    <w:rsid w:val="00E12775"/>
    <w:rsid w:val="00E12A5A"/>
    <w:rsid w:val="00E12DAD"/>
    <w:rsid w:val="00E134F4"/>
    <w:rsid w:val="00E136AE"/>
    <w:rsid w:val="00E137F8"/>
    <w:rsid w:val="00E139D0"/>
    <w:rsid w:val="00E13CAE"/>
    <w:rsid w:val="00E13D04"/>
    <w:rsid w:val="00E13D55"/>
    <w:rsid w:val="00E1411C"/>
    <w:rsid w:val="00E14271"/>
    <w:rsid w:val="00E143F1"/>
    <w:rsid w:val="00E145E0"/>
    <w:rsid w:val="00E148EF"/>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DA8"/>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27A00"/>
    <w:rsid w:val="00E301E2"/>
    <w:rsid w:val="00E3020D"/>
    <w:rsid w:val="00E30517"/>
    <w:rsid w:val="00E3070A"/>
    <w:rsid w:val="00E30A72"/>
    <w:rsid w:val="00E31371"/>
    <w:rsid w:val="00E31506"/>
    <w:rsid w:val="00E3167A"/>
    <w:rsid w:val="00E327EE"/>
    <w:rsid w:val="00E32CF4"/>
    <w:rsid w:val="00E32E0E"/>
    <w:rsid w:val="00E32E73"/>
    <w:rsid w:val="00E33052"/>
    <w:rsid w:val="00E3310B"/>
    <w:rsid w:val="00E3325A"/>
    <w:rsid w:val="00E332FC"/>
    <w:rsid w:val="00E33802"/>
    <w:rsid w:val="00E33814"/>
    <w:rsid w:val="00E339C6"/>
    <w:rsid w:val="00E33BB9"/>
    <w:rsid w:val="00E33E35"/>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2B2"/>
    <w:rsid w:val="00E41A3E"/>
    <w:rsid w:val="00E41BEE"/>
    <w:rsid w:val="00E41D2F"/>
    <w:rsid w:val="00E420CB"/>
    <w:rsid w:val="00E42A25"/>
    <w:rsid w:val="00E42FF3"/>
    <w:rsid w:val="00E432AE"/>
    <w:rsid w:val="00E4349A"/>
    <w:rsid w:val="00E4356E"/>
    <w:rsid w:val="00E43731"/>
    <w:rsid w:val="00E43A1E"/>
    <w:rsid w:val="00E43B83"/>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0B75"/>
    <w:rsid w:val="00E51028"/>
    <w:rsid w:val="00E511F1"/>
    <w:rsid w:val="00E51548"/>
    <w:rsid w:val="00E515A3"/>
    <w:rsid w:val="00E51C94"/>
    <w:rsid w:val="00E51E23"/>
    <w:rsid w:val="00E52CCE"/>
    <w:rsid w:val="00E52F76"/>
    <w:rsid w:val="00E5315C"/>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1F5A"/>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5B1"/>
    <w:rsid w:val="00E71DF1"/>
    <w:rsid w:val="00E722EF"/>
    <w:rsid w:val="00E723D3"/>
    <w:rsid w:val="00E7242A"/>
    <w:rsid w:val="00E7245A"/>
    <w:rsid w:val="00E726B6"/>
    <w:rsid w:val="00E72ABE"/>
    <w:rsid w:val="00E72BCC"/>
    <w:rsid w:val="00E72C71"/>
    <w:rsid w:val="00E73065"/>
    <w:rsid w:val="00E7306F"/>
    <w:rsid w:val="00E734BC"/>
    <w:rsid w:val="00E73E01"/>
    <w:rsid w:val="00E7476B"/>
    <w:rsid w:val="00E74782"/>
    <w:rsid w:val="00E7478C"/>
    <w:rsid w:val="00E747D7"/>
    <w:rsid w:val="00E749C0"/>
    <w:rsid w:val="00E74A0E"/>
    <w:rsid w:val="00E74B5A"/>
    <w:rsid w:val="00E74DDD"/>
    <w:rsid w:val="00E7524F"/>
    <w:rsid w:val="00E75506"/>
    <w:rsid w:val="00E7556D"/>
    <w:rsid w:val="00E756FB"/>
    <w:rsid w:val="00E7571F"/>
    <w:rsid w:val="00E75C2A"/>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8CE"/>
    <w:rsid w:val="00E80B75"/>
    <w:rsid w:val="00E810EC"/>
    <w:rsid w:val="00E8117B"/>
    <w:rsid w:val="00E81490"/>
    <w:rsid w:val="00E81F9F"/>
    <w:rsid w:val="00E81FFC"/>
    <w:rsid w:val="00E826C8"/>
    <w:rsid w:val="00E828DA"/>
    <w:rsid w:val="00E82D7F"/>
    <w:rsid w:val="00E8310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90199"/>
    <w:rsid w:val="00E909FF"/>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E82"/>
    <w:rsid w:val="00E96FBC"/>
    <w:rsid w:val="00E9738B"/>
    <w:rsid w:val="00E9739A"/>
    <w:rsid w:val="00E97507"/>
    <w:rsid w:val="00E9792C"/>
    <w:rsid w:val="00EA0281"/>
    <w:rsid w:val="00EA0559"/>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D67"/>
    <w:rsid w:val="00EA3DB9"/>
    <w:rsid w:val="00EA448B"/>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28E"/>
    <w:rsid w:val="00EB32FE"/>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5FFA"/>
    <w:rsid w:val="00EB6440"/>
    <w:rsid w:val="00EB64CE"/>
    <w:rsid w:val="00EB6698"/>
    <w:rsid w:val="00EB6A40"/>
    <w:rsid w:val="00EB6C27"/>
    <w:rsid w:val="00EB6C53"/>
    <w:rsid w:val="00EB7702"/>
    <w:rsid w:val="00EB7832"/>
    <w:rsid w:val="00EB7B45"/>
    <w:rsid w:val="00EB7C50"/>
    <w:rsid w:val="00EB7E4D"/>
    <w:rsid w:val="00EB7FE8"/>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D60"/>
    <w:rsid w:val="00EC5F1A"/>
    <w:rsid w:val="00EC6337"/>
    <w:rsid w:val="00EC6670"/>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FA4"/>
    <w:rsid w:val="00ED6760"/>
    <w:rsid w:val="00ED6DB2"/>
    <w:rsid w:val="00ED7274"/>
    <w:rsid w:val="00ED7865"/>
    <w:rsid w:val="00ED7B0F"/>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217"/>
    <w:rsid w:val="00EF4354"/>
    <w:rsid w:val="00EF447D"/>
    <w:rsid w:val="00EF493B"/>
    <w:rsid w:val="00EF4F32"/>
    <w:rsid w:val="00EF5326"/>
    <w:rsid w:val="00EF53DA"/>
    <w:rsid w:val="00EF544E"/>
    <w:rsid w:val="00EF55D7"/>
    <w:rsid w:val="00EF5846"/>
    <w:rsid w:val="00EF5861"/>
    <w:rsid w:val="00EF5CAA"/>
    <w:rsid w:val="00EF5FA2"/>
    <w:rsid w:val="00EF6141"/>
    <w:rsid w:val="00EF6513"/>
    <w:rsid w:val="00EF6645"/>
    <w:rsid w:val="00EF69BF"/>
    <w:rsid w:val="00EF6A07"/>
    <w:rsid w:val="00EF6A0A"/>
    <w:rsid w:val="00EF6EF5"/>
    <w:rsid w:val="00EF7614"/>
    <w:rsid w:val="00EF7878"/>
    <w:rsid w:val="00EF7C70"/>
    <w:rsid w:val="00EF7D22"/>
    <w:rsid w:val="00F000F0"/>
    <w:rsid w:val="00F00180"/>
    <w:rsid w:val="00F004C8"/>
    <w:rsid w:val="00F006E4"/>
    <w:rsid w:val="00F00909"/>
    <w:rsid w:val="00F00923"/>
    <w:rsid w:val="00F00A5F"/>
    <w:rsid w:val="00F00C9D"/>
    <w:rsid w:val="00F00F04"/>
    <w:rsid w:val="00F017CB"/>
    <w:rsid w:val="00F0197D"/>
    <w:rsid w:val="00F01A58"/>
    <w:rsid w:val="00F02069"/>
    <w:rsid w:val="00F023A1"/>
    <w:rsid w:val="00F024E9"/>
    <w:rsid w:val="00F026AE"/>
    <w:rsid w:val="00F0279F"/>
    <w:rsid w:val="00F027FF"/>
    <w:rsid w:val="00F02F1F"/>
    <w:rsid w:val="00F02F34"/>
    <w:rsid w:val="00F0301D"/>
    <w:rsid w:val="00F032DF"/>
    <w:rsid w:val="00F03466"/>
    <w:rsid w:val="00F0388F"/>
    <w:rsid w:val="00F03891"/>
    <w:rsid w:val="00F0390A"/>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1D55"/>
    <w:rsid w:val="00F1205E"/>
    <w:rsid w:val="00F12128"/>
    <w:rsid w:val="00F123DC"/>
    <w:rsid w:val="00F12474"/>
    <w:rsid w:val="00F124CB"/>
    <w:rsid w:val="00F12B3D"/>
    <w:rsid w:val="00F12D63"/>
    <w:rsid w:val="00F12E17"/>
    <w:rsid w:val="00F13BD0"/>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5E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36"/>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A1B"/>
    <w:rsid w:val="00F32F0E"/>
    <w:rsid w:val="00F32F3E"/>
    <w:rsid w:val="00F33021"/>
    <w:rsid w:val="00F3318D"/>
    <w:rsid w:val="00F335A4"/>
    <w:rsid w:val="00F3383E"/>
    <w:rsid w:val="00F34058"/>
    <w:rsid w:val="00F34286"/>
    <w:rsid w:val="00F342E5"/>
    <w:rsid w:val="00F346AF"/>
    <w:rsid w:val="00F346BC"/>
    <w:rsid w:val="00F349E6"/>
    <w:rsid w:val="00F34B5D"/>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40D8A"/>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5C1"/>
    <w:rsid w:val="00F4678D"/>
    <w:rsid w:val="00F467B0"/>
    <w:rsid w:val="00F4698A"/>
    <w:rsid w:val="00F46C1B"/>
    <w:rsid w:val="00F46E40"/>
    <w:rsid w:val="00F46F8B"/>
    <w:rsid w:val="00F47073"/>
    <w:rsid w:val="00F47132"/>
    <w:rsid w:val="00F47262"/>
    <w:rsid w:val="00F472DF"/>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637"/>
    <w:rsid w:val="00F60D13"/>
    <w:rsid w:val="00F61158"/>
    <w:rsid w:val="00F611AA"/>
    <w:rsid w:val="00F6146E"/>
    <w:rsid w:val="00F61564"/>
    <w:rsid w:val="00F61701"/>
    <w:rsid w:val="00F61902"/>
    <w:rsid w:val="00F61C1D"/>
    <w:rsid w:val="00F61C87"/>
    <w:rsid w:val="00F61ED3"/>
    <w:rsid w:val="00F61F47"/>
    <w:rsid w:val="00F61FDE"/>
    <w:rsid w:val="00F622E3"/>
    <w:rsid w:val="00F62377"/>
    <w:rsid w:val="00F62BCA"/>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ED3"/>
    <w:rsid w:val="00F71F79"/>
    <w:rsid w:val="00F721A1"/>
    <w:rsid w:val="00F724E3"/>
    <w:rsid w:val="00F727AA"/>
    <w:rsid w:val="00F729CA"/>
    <w:rsid w:val="00F72C94"/>
    <w:rsid w:val="00F73042"/>
    <w:rsid w:val="00F7337E"/>
    <w:rsid w:val="00F734FD"/>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78B"/>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3DCB"/>
    <w:rsid w:val="00F8463C"/>
    <w:rsid w:val="00F84849"/>
    <w:rsid w:val="00F849D7"/>
    <w:rsid w:val="00F84A2F"/>
    <w:rsid w:val="00F84BAB"/>
    <w:rsid w:val="00F850EB"/>
    <w:rsid w:val="00F855CB"/>
    <w:rsid w:val="00F856C8"/>
    <w:rsid w:val="00F85744"/>
    <w:rsid w:val="00F857F7"/>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2E7B"/>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49"/>
    <w:rsid w:val="00F95CFF"/>
    <w:rsid w:val="00F9632D"/>
    <w:rsid w:val="00F9644F"/>
    <w:rsid w:val="00F965D9"/>
    <w:rsid w:val="00F96728"/>
    <w:rsid w:val="00F96793"/>
    <w:rsid w:val="00F96AA9"/>
    <w:rsid w:val="00F96C7A"/>
    <w:rsid w:val="00F96E7C"/>
    <w:rsid w:val="00F975B5"/>
    <w:rsid w:val="00F97654"/>
    <w:rsid w:val="00F97780"/>
    <w:rsid w:val="00F9799C"/>
    <w:rsid w:val="00FA02EC"/>
    <w:rsid w:val="00FA0331"/>
    <w:rsid w:val="00FA039E"/>
    <w:rsid w:val="00FA04BE"/>
    <w:rsid w:val="00FA0509"/>
    <w:rsid w:val="00FA053A"/>
    <w:rsid w:val="00FA0E7C"/>
    <w:rsid w:val="00FA10AE"/>
    <w:rsid w:val="00FA1265"/>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57A"/>
    <w:rsid w:val="00FA79E0"/>
    <w:rsid w:val="00FA7A20"/>
    <w:rsid w:val="00FA7AA6"/>
    <w:rsid w:val="00FA7C04"/>
    <w:rsid w:val="00FB007C"/>
    <w:rsid w:val="00FB0443"/>
    <w:rsid w:val="00FB06DD"/>
    <w:rsid w:val="00FB092A"/>
    <w:rsid w:val="00FB09F5"/>
    <w:rsid w:val="00FB0C8C"/>
    <w:rsid w:val="00FB108D"/>
    <w:rsid w:val="00FB117B"/>
    <w:rsid w:val="00FB15D5"/>
    <w:rsid w:val="00FB1694"/>
    <w:rsid w:val="00FB18E8"/>
    <w:rsid w:val="00FB19D1"/>
    <w:rsid w:val="00FB19D8"/>
    <w:rsid w:val="00FB1B4A"/>
    <w:rsid w:val="00FB1C18"/>
    <w:rsid w:val="00FB2025"/>
    <w:rsid w:val="00FB208E"/>
    <w:rsid w:val="00FB21F0"/>
    <w:rsid w:val="00FB22E5"/>
    <w:rsid w:val="00FB2864"/>
    <w:rsid w:val="00FB2D70"/>
    <w:rsid w:val="00FB2F94"/>
    <w:rsid w:val="00FB3CD6"/>
    <w:rsid w:val="00FB4065"/>
    <w:rsid w:val="00FB4760"/>
    <w:rsid w:val="00FB47B5"/>
    <w:rsid w:val="00FB4AA2"/>
    <w:rsid w:val="00FB5032"/>
    <w:rsid w:val="00FB51DD"/>
    <w:rsid w:val="00FB52FD"/>
    <w:rsid w:val="00FB5401"/>
    <w:rsid w:val="00FB5480"/>
    <w:rsid w:val="00FB5556"/>
    <w:rsid w:val="00FB57A7"/>
    <w:rsid w:val="00FB59A5"/>
    <w:rsid w:val="00FB5A06"/>
    <w:rsid w:val="00FB5A6F"/>
    <w:rsid w:val="00FB5B17"/>
    <w:rsid w:val="00FB6401"/>
    <w:rsid w:val="00FB68CE"/>
    <w:rsid w:val="00FB6B35"/>
    <w:rsid w:val="00FB6B9D"/>
    <w:rsid w:val="00FB6BBE"/>
    <w:rsid w:val="00FB6F83"/>
    <w:rsid w:val="00FB72CB"/>
    <w:rsid w:val="00FB77BB"/>
    <w:rsid w:val="00FB7A9C"/>
    <w:rsid w:val="00FC01CD"/>
    <w:rsid w:val="00FC0890"/>
    <w:rsid w:val="00FC0AB4"/>
    <w:rsid w:val="00FC0B9B"/>
    <w:rsid w:val="00FC0C32"/>
    <w:rsid w:val="00FC0E12"/>
    <w:rsid w:val="00FC1859"/>
    <w:rsid w:val="00FC1870"/>
    <w:rsid w:val="00FC19D3"/>
    <w:rsid w:val="00FC1F2A"/>
    <w:rsid w:val="00FC2075"/>
    <w:rsid w:val="00FC22FE"/>
    <w:rsid w:val="00FC23FA"/>
    <w:rsid w:val="00FC2623"/>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A8"/>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C99"/>
    <w:rsid w:val="00FC7F93"/>
    <w:rsid w:val="00FD04CC"/>
    <w:rsid w:val="00FD0981"/>
    <w:rsid w:val="00FD10D2"/>
    <w:rsid w:val="00FD111E"/>
    <w:rsid w:val="00FD14E4"/>
    <w:rsid w:val="00FD20EA"/>
    <w:rsid w:val="00FD233A"/>
    <w:rsid w:val="00FD2804"/>
    <w:rsid w:val="00FD282A"/>
    <w:rsid w:val="00FD2A71"/>
    <w:rsid w:val="00FD2C10"/>
    <w:rsid w:val="00FD2CAA"/>
    <w:rsid w:val="00FD312E"/>
    <w:rsid w:val="00FD3618"/>
    <w:rsid w:val="00FD3905"/>
    <w:rsid w:val="00FD3E74"/>
    <w:rsid w:val="00FD4620"/>
    <w:rsid w:val="00FD48FE"/>
    <w:rsid w:val="00FD4CC0"/>
    <w:rsid w:val="00FD4D83"/>
    <w:rsid w:val="00FD52F0"/>
    <w:rsid w:val="00FD552E"/>
    <w:rsid w:val="00FD583D"/>
    <w:rsid w:val="00FD5BBF"/>
    <w:rsid w:val="00FD5BFD"/>
    <w:rsid w:val="00FD6318"/>
    <w:rsid w:val="00FD636C"/>
    <w:rsid w:val="00FD6884"/>
    <w:rsid w:val="00FD6A3D"/>
    <w:rsid w:val="00FD6B00"/>
    <w:rsid w:val="00FD6CA3"/>
    <w:rsid w:val="00FD6D88"/>
    <w:rsid w:val="00FD6F9D"/>
    <w:rsid w:val="00FD7001"/>
    <w:rsid w:val="00FD7240"/>
    <w:rsid w:val="00FD7254"/>
    <w:rsid w:val="00FD72D9"/>
    <w:rsid w:val="00FD73AE"/>
    <w:rsid w:val="00FD794E"/>
    <w:rsid w:val="00FD7F6A"/>
    <w:rsid w:val="00FE04B6"/>
    <w:rsid w:val="00FE05DD"/>
    <w:rsid w:val="00FE05E5"/>
    <w:rsid w:val="00FE0657"/>
    <w:rsid w:val="00FE0C77"/>
    <w:rsid w:val="00FE125E"/>
    <w:rsid w:val="00FE1291"/>
    <w:rsid w:val="00FE1729"/>
    <w:rsid w:val="00FE20AB"/>
    <w:rsid w:val="00FE22FE"/>
    <w:rsid w:val="00FE257D"/>
    <w:rsid w:val="00FE2B7B"/>
    <w:rsid w:val="00FE2BA3"/>
    <w:rsid w:val="00FE2FBC"/>
    <w:rsid w:val="00FE3100"/>
    <w:rsid w:val="00FE3439"/>
    <w:rsid w:val="00FE3768"/>
    <w:rsid w:val="00FE4913"/>
    <w:rsid w:val="00FE4B7F"/>
    <w:rsid w:val="00FE4E09"/>
    <w:rsid w:val="00FE5172"/>
    <w:rsid w:val="00FE5410"/>
    <w:rsid w:val="00FE5470"/>
    <w:rsid w:val="00FE5977"/>
    <w:rsid w:val="00FE5B34"/>
    <w:rsid w:val="00FE605C"/>
    <w:rsid w:val="00FE627C"/>
    <w:rsid w:val="00FE6DEC"/>
    <w:rsid w:val="00FE7459"/>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9B5"/>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1EC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FC8"/>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D10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FC8"/>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har"/>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TALChar">
    <w:name w:val="TAL Char"/>
    <w:link w:val="TAL"/>
    <w:locked/>
    <w:rsid w:val="002D67A7"/>
    <w:rPr>
      <w:rFonts w:ascii="Arial" w:hAnsi="Arial"/>
      <w:sz w:val="18"/>
    </w:rPr>
  </w:style>
  <w:style w:type="character" w:customStyle="1" w:styleId="TAHChar">
    <w:name w:val="TAH Char"/>
    <w:link w:val="TAH"/>
    <w:locked/>
    <w:rsid w:val="002D67A7"/>
    <w:rPr>
      <w:rFonts w:ascii="Arial" w:hAnsi="Arial"/>
      <w:b/>
      <w:sz w:val="18"/>
      <w:lang w:val="x-none" w:eastAsia="x-none"/>
    </w:rPr>
  </w:style>
  <w:style w:type="table" w:customStyle="1" w:styleId="TableGrid10">
    <w:name w:val="Table Grid1"/>
    <w:basedOn w:val="TableNormal"/>
    <w:next w:val="TableGrid"/>
    <w:uiPriority w:val="39"/>
    <w:rsid w:val="005D61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D55668"/>
    <w:pPr>
      <w:numPr>
        <w:numId w:val="40"/>
      </w:numPr>
      <w:autoSpaceDE w:val="0"/>
      <w:autoSpaceDN w:val="0"/>
      <w:spacing w:after="0" w:line="240" w:lineRule="auto"/>
      <w:jc w:val="both"/>
    </w:pPr>
    <w:rPr>
      <w:rFonts w:ascii="Times New Roman" w:eastAsia="SimSu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1137317">
      <w:bodyDiv w:val="1"/>
      <w:marLeft w:val="0"/>
      <w:marRight w:val="0"/>
      <w:marTop w:val="0"/>
      <w:marBottom w:val="0"/>
      <w:divBdr>
        <w:top w:val="none" w:sz="0" w:space="0" w:color="auto"/>
        <w:left w:val="none" w:sz="0" w:space="0" w:color="auto"/>
        <w:bottom w:val="none" w:sz="0" w:space="0" w:color="auto"/>
        <w:right w:val="none" w:sz="0" w:space="0" w:color="auto"/>
      </w:divBdr>
      <w:divsChild>
        <w:div w:id="676737340">
          <w:marLeft w:val="806"/>
          <w:marRight w:val="0"/>
          <w:marTop w:val="240"/>
          <w:marBottom w:val="0"/>
          <w:divBdr>
            <w:top w:val="none" w:sz="0" w:space="0" w:color="auto"/>
            <w:left w:val="none" w:sz="0" w:space="0" w:color="auto"/>
            <w:bottom w:val="none" w:sz="0" w:space="0" w:color="auto"/>
            <w:right w:val="none" w:sz="0" w:space="0" w:color="auto"/>
          </w:divBdr>
        </w:div>
        <w:div w:id="1540047362">
          <w:marLeft w:val="1354"/>
          <w:marRight w:val="0"/>
          <w:marTop w:val="160"/>
          <w:marBottom w:val="0"/>
          <w:divBdr>
            <w:top w:val="none" w:sz="0" w:space="0" w:color="auto"/>
            <w:left w:val="none" w:sz="0" w:space="0" w:color="auto"/>
            <w:bottom w:val="none" w:sz="0" w:space="0" w:color="auto"/>
            <w:right w:val="none" w:sz="0" w:space="0" w:color="auto"/>
          </w:divBdr>
        </w:div>
        <w:div w:id="633828113">
          <w:marLeft w:val="1354"/>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5062740">
      <w:bodyDiv w:val="1"/>
      <w:marLeft w:val="0"/>
      <w:marRight w:val="0"/>
      <w:marTop w:val="0"/>
      <w:marBottom w:val="0"/>
      <w:divBdr>
        <w:top w:val="none" w:sz="0" w:space="0" w:color="auto"/>
        <w:left w:val="none" w:sz="0" w:space="0" w:color="auto"/>
        <w:bottom w:val="none" w:sz="0" w:space="0" w:color="auto"/>
        <w:right w:val="none" w:sz="0" w:space="0" w:color="auto"/>
      </w:divBdr>
      <w:divsChild>
        <w:div w:id="2052802759">
          <w:marLeft w:val="1354"/>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935639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45696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53079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6883966">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484230">
      <w:bodyDiv w:val="1"/>
      <w:marLeft w:val="0"/>
      <w:marRight w:val="0"/>
      <w:marTop w:val="0"/>
      <w:marBottom w:val="0"/>
      <w:divBdr>
        <w:top w:val="none" w:sz="0" w:space="0" w:color="auto"/>
        <w:left w:val="none" w:sz="0" w:space="0" w:color="auto"/>
        <w:bottom w:val="none" w:sz="0" w:space="0" w:color="auto"/>
        <w:right w:val="none" w:sz="0" w:space="0" w:color="auto"/>
      </w:divBdr>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132243">
      <w:bodyDiv w:val="1"/>
      <w:marLeft w:val="0"/>
      <w:marRight w:val="0"/>
      <w:marTop w:val="0"/>
      <w:marBottom w:val="0"/>
      <w:divBdr>
        <w:top w:val="none" w:sz="0" w:space="0" w:color="auto"/>
        <w:left w:val="none" w:sz="0" w:space="0" w:color="auto"/>
        <w:bottom w:val="none" w:sz="0" w:space="0" w:color="auto"/>
        <w:right w:val="none" w:sz="0" w:space="0" w:color="auto"/>
      </w:divBdr>
      <w:divsChild>
        <w:div w:id="1382972523">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49619080">
      <w:bodyDiv w:val="1"/>
      <w:marLeft w:val="0"/>
      <w:marRight w:val="0"/>
      <w:marTop w:val="0"/>
      <w:marBottom w:val="0"/>
      <w:divBdr>
        <w:top w:val="none" w:sz="0" w:space="0" w:color="auto"/>
        <w:left w:val="none" w:sz="0" w:space="0" w:color="auto"/>
        <w:bottom w:val="none" w:sz="0" w:space="0" w:color="auto"/>
        <w:right w:val="none" w:sz="0" w:space="0" w:color="auto"/>
      </w:divBdr>
      <w:divsChild>
        <w:div w:id="137497365">
          <w:marLeft w:val="360"/>
          <w:marRight w:val="0"/>
          <w:marTop w:val="240"/>
          <w:marBottom w:val="0"/>
          <w:divBdr>
            <w:top w:val="none" w:sz="0" w:space="0" w:color="auto"/>
            <w:left w:val="none" w:sz="0" w:space="0" w:color="auto"/>
            <w:bottom w:val="none" w:sz="0" w:space="0" w:color="auto"/>
            <w:right w:val="none" w:sz="0" w:space="0" w:color="auto"/>
          </w:divBdr>
        </w:div>
        <w:div w:id="290013159">
          <w:marLeft w:val="360"/>
          <w:marRight w:val="0"/>
          <w:marTop w:val="240"/>
          <w:marBottom w:val="0"/>
          <w:divBdr>
            <w:top w:val="none" w:sz="0" w:space="0" w:color="auto"/>
            <w:left w:val="none" w:sz="0" w:space="0" w:color="auto"/>
            <w:bottom w:val="none" w:sz="0" w:space="0" w:color="auto"/>
            <w:right w:val="none" w:sz="0" w:space="0" w:color="auto"/>
          </w:divBdr>
        </w:div>
        <w:div w:id="479732840">
          <w:marLeft w:val="360"/>
          <w:marRight w:val="0"/>
          <w:marTop w:val="240"/>
          <w:marBottom w:val="0"/>
          <w:divBdr>
            <w:top w:val="none" w:sz="0" w:space="0" w:color="auto"/>
            <w:left w:val="none" w:sz="0" w:space="0" w:color="auto"/>
            <w:bottom w:val="none" w:sz="0" w:space="0" w:color="auto"/>
            <w:right w:val="none" w:sz="0" w:space="0" w:color="auto"/>
          </w:divBdr>
        </w:div>
        <w:div w:id="1424958622">
          <w:marLeft w:val="360"/>
          <w:marRight w:val="0"/>
          <w:marTop w:val="240"/>
          <w:marBottom w:val="0"/>
          <w:divBdr>
            <w:top w:val="none" w:sz="0" w:space="0" w:color="auto"/>
            <w:left w:val="none" w:sz="0" w:space="0" w:color="auto"/>
            <w:bottom w:val="none" w:sz="0" w:space="0" w:color="auto"/>
            <w:right w:val="none" w:sz="0" w:space="0" w:color="auto"/>
          </w:divBdr>
        </w:div>
        <w:div w:id="1153643192">
          <w:marLeft w:val="360"/>
          <w:marRight w:val="0"/>
          <w:marTop w:val="240"/>
          <w:marBottom w:val="0"/>
          <w:divBdr>
            <w:top w:val="none" w:sz="0" w:space="0" w:color="auto"/>
            <w:left w:val="none" w:sz="0" w:space="0" w:color="auto"/>
            <w:bottom w:val="none" w:sz="0" w:space="0" w:color="auto"/>
            <w:right w:val="none" w:sz="0" w:space="0" w:color="auto"/>
          </w:divBdr>
        </w:div>
      </w:divsChild>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415705">
      <w:bodyDiv w:val="1"/>
      <w:marLeft w:val="0"/>
      <w:marRight w:val="0"/>
      <w:marTop w:val="0"/>
      <w:marBottom w:val="0"/>
      <w:divBdr>
        <w:top w:val="none" w:sz="0" w:space="0" w:color="auto"/>
        <w:left w:val="none" w:sz="0" w:space="0" w:color="auto"/>
        <w:bottom w:val="none" w:sz="0" w:space="0" w:color="auto"/>
        <w:right w:val="none" w:sz="0" w:space="0" w:color="auto"/>
      </w:divBdr>
      <w:divsChild>
        <w:div w:id="25101865">
          <w:marLeft w:val="360"/>
          <w:marRight w:val="0"/>
          <w:marTop w:val="24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67789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1088877">
      <w:bodyDiv w:val="1"/>
      <w:marLeft w:val="0"/>
      <w:marRight w:val="0"/>
      <w:marTop w:val="0"/>
      <w:marBottom w:val="0"/>
      <w:divBdr>
        <w:top w:val="none" w:sz="0" w:space="0" w:color="auto"/>
        <w:left w:val="none" w:sz="0" w:space="0" w:color="auto"/>
        <w:bottom w:val="none" w:sz="0" w:space="0" w:color="auto"/>
        <w:right w:val="none" w:sz="0" w:space="0" w:color="auto"/>
      </w:divBdr>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3156">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645206">
      <w:bodyDiv w:val="1"/>
      <w:marLeft w:val="0"/>
      <w:marRight w:val="0"/>
      <w:marTop w:val="0"/>
      <w:marBottom w:val="0"/>
      <w:divBdr>
        <w:top w:val="none" w:sz="0" w:space="0" w:color="auto"/>
        <w:left w:val="none" w:sz="0" w:space="0" w:color="auto"/>
        <w:bottom w:val="none" w:sz="0" w:space="0" w:color="auto"/>
        <w:right w:val="none" w:sz="0" w:space="0" w:color="auto"/>
      </w:divBdr>
      <w:divsChild>
        <w:div w:id="1589970871">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2342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1855</Words>
  <Characters>9699</Characters>
  <Application>Microsoft Office Word</Application>
  <DocSecurity>0</DocSecurity>
  <Lines>173</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cp:keywords>
  <dc:description/>
  <cp:lastModifiedBy/>
  <cp:revision>1</cp:revision>
  <dcterms:created xsi:type="dcterms:W3CDTF">2016-04-01T00:56:00Z</dcterms:created>
  <dcterms:modified xsi:type="dcterms:W3CDTF">2016-04-02T01:57:00Z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41768b91-a54d-4555-944a-5c9b887ed621</vt:lpwstr>
  </property>
  <property fmtid="{D5CDD505-2E9C-101B-9397-08002B2CF9AE}" pid="3" name="CTP_BU">
    <vt:lpwstr>COMMUNICATION &amp;DEVICES GROUP</vt:lpwstr>
  </property>
  <property fmtid="{D5CDD505-2E9C-101B-9397-08002B2CF9AE}" pid="4" name="CTP_TimeStamp">
    <vt:lpwstr>2016-04-02 01:57:20Z</vt:lpwstr>
  </property>
  <property fmtid="{D5CDD505-2E9C-101B-9397-08002B2CF9AE}" pid="5" name="CTPClassification">
    <vt:lpwstr>CTP_IC</vt:lpwstr>
  </property>
</Properties>
</file>