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E10" w:rsidRDefault="00E261D0" w:rsidP="00CA3E10">
      <w:pPr>
        <w:tabs>
          <w:tab w:val="right" w:pos="9630"/>
        </w:tabs>
        <w:spacing w:after="0"/>
      </w:pPr>
      <w:r>
        <w:rPr>
          <w:rFonts w:ascii="Arial" w:hAnsi="Arial" w:cs="Arial"/>
          <w:b/>
          <w:sz w:val="24"/>
        </w:rPr>
        <w:t>3GPP TSG RAN WG1 #84</w:t>
      </w:r>
      <w:r w:rsidR="005B714A">
        <w:rPr>
          <w:rFonts w:ascii="Arial" w:hAnsi="Arial" w:cs="Arial"/>
          <w:b/>
          <w:sz w:val="24"/>
        </w:rPr>
        <w:t>bis</w:t>
      </w:r>
      <w:r w:rsidR="00CA3E10">
        <w:rPr>
          <w:rFonts w:ascii="Arial" w:hAnsi="Arial" w:cs="Arial"/>
          <w:b/>
          <w:sz w:val="24"/>
        </w:rPr>
        <w:tab/>
      </w:r>
      <w:r w:rsidR="00CA3E10" w:rsidRPr="00557209">
        <w:rPr>
          <w:rFonts w:ascii="Arial" w:hAnsi="Arial" w:cs="Arial"/>
          <w:b/>
          <w:sz w:val="24"/>
        </w:rPr>
        <w:t>R1-1</w:t>
      </w:r>
      <w:r>
        <w:rPr>
          <w:rFonts w:ascii="Arial" w:hAnsi="Arial" w:cs="Arial"/>
          <w:b/>
          <w:sz w:val="24"/>
        </w:rPr>
        <w:t>6</w:t>
      </w:r>
      <w:r w:rsidR="00CB6498">
        <w:rPr>
          <w:rFonts w:ascii="Arial" w:hAnsi="Arial" w:cs="Arial"/>
          <w:b/>
          <w:sz w:val="24"/>
        </w:rPr>
        <w:t>2297</w:t>
      </w:r>
    </w:p>
    <w:p w:rsidR="00CA3E10" w:rsidRPr="000F7452" w:rsidRDefault="005B714A" w:rsidP="00CA3E10">
      <w:pPr>
        <w:rPr>
          <w:rFonts w:ascii="Arial" w:hAnsi="Arial" w:cs="Arial"/>
          <w:b/>
          <w:sz w:val="24"/>
          <w:szCs w:val="24"/>
        </w:rPr>
      </w:pPr>
      <w:r>
        <w:rPr>
          <w:rFonts w:ascii="Arial" w:hAnsi="Arial" w:cs="Arial"/>
          <w:b/>
          <w:sz w:val="24"/>
          <w:szCs w:val="24"/>
        </w:rPr>
        <w:t>April 11</w:t>
      </w:r>
      <w:r w:rsidR="005831C5" w:rsidRPr="005831C5">
        <w:rPr>
          <w:rFonts w:ascii="Arial" w:hAnsi="Arial" w:cs="Arial"/>
          <w:b/>
          <w:sz w:val="24"/>
          <w:szCs w:val="24"/>
          <w:vertAlign w:val="superscript"/>
        </w:rPr>
        <w:t>th</w:t>
      </w:r>
      <w:r w:rsidR="005831C5">
        <w:rPr>
          <w:rFonts w:ascii="Arial" w:hAnsi="Arial" w:cs="Arial"/>
          <w:b/>
          <w:sz w:val="24"/>
          <w:szCs w:val="24"/>
        </w:rPr>
        <w:t xml:space="preserve"> – </w:t>
      </w:r>
      <w:r w:rsidR="00E261D0">
        <w:rPr>
          <w:rFonts w:ascii="Arial" w:hAnsi="Arial" w:cs="Arial"/>
          <w:b/>
          <w:sz w:val="24"/>
          <w:szCs w:val="24"/>
        </w:rPr>
        <w:t>1</w:t>
      </w:r>
      <w:r>
        <w:rPr>
          <w:rFonts w:ascii="Arial" w:hAnsi="Arial" w:cs="Arial"/>
          <w:b/>
          <w:sz w:val="24"/>
          <w:szCs w:val="24"/>
        </w:rPr>
        <w:t>5</w:t>
      </w:r>
      <w:r w:rsidR="005831C5" w:rsidRPr="005831C5">
        <w:rPr>
          <w:rFonts w:ascii="Arial" w:hAnsi="Arial" w:cs="Arial"/>
          <w:b/>
          <w:sz w:val="24"/>
          <w:szCs w:val="24"/>
          <w:vertAlign w:val="superscript"/>
        </w:rPr>
        <w:t>th</w:t>
      </w:r>
      <w:r>
        <w:rPr>
          <w:rFonts w:ascii="Arial" w:hAnsi="Arial" w:cs="Arial"/>
          <w:b/>
          <w:sz w:val="24"/>
          <w:szCs w:val="24"/>
        </w:rPr>
        <w:t xml:space="preserve"> April</w:t>
      </w:r>
      <w:r w:rsidR="00E261D0">
        <w:rPr>
          <w:rFonts w:ascii="Arial" w:hAnsi="Arial" w:cs="Arial"/>
          <w:b/>
          <w:sz w:val="24"/>
          <w:szCs w:val="24"/>
        </w:rPr>
        <w:t xml:space="preserve"> 2016</w:t>
      </w:r>
    </w:p>
    <w:p w:rsidR="00CA3E10" w:rsidRPr="00061DA0" w:rsidRDefault="00CA3E10" w:rsidP="00CA3E10">
      <w:pPr>
        <w:pStyle w:val="af5"/>
        <w:tabs>
          <w:tab w:val="left" w:pos="709"/>
          <w:tab w:val="right" w:pos="9639"/>
        </w:tabs>
        <w:wordWrap w:val="0"/>
        <w:spacing w:after="0"/>
        <w:ind w:right="120"/>
        <w:jc w:val="right"/>
        <w:rPr>
          <w:rFonts w:cs="Arial"/>
          <w:lang w:val="en-GB" w:eastAsia="ja-JP"/>
        </w:rPr>
      </w:pPr>
      <w:r w:rsidRPr="00061DA0">
        <w:rPr>
          <w:rFonts w:cs="Arial"/>
          <w:lang w:val="en-GB"/>
        </w:rPr>
        <w:tab/>
      </w:r>
    </w:p>
    <w:p w:rsidR="00CA3E10" w:rsidRPr="00E04B41" w:rsidRDefault="00CA3E10" w:rsidP="00CA3E10">
      <w:pPr>
        <w:tabs>
          <w:tab w:val="left" w:pos="1985"/>
        </w:tabs>
        <w:rPr>
          <w:rFonts w:ascii="Arial" w:hAnsi="Arial"/>
          <w:sz w:val="24"/>
        </w:rPr>
      </w:pPr>
      <w:r w:rsidRPr="00523B71">
        <w:rPr>
          <w:rFonts w:ascii="Arial" w:hAnsi="Arial"/>
          <w:b/>
          <w:sz w:val="24"/>
        </w:rPr>
        <w:t>Agenda item:</w:t>
      </w:r>
      <w:bookmarkStart w:id="0" w:name="Source"/>
      <w:bookmarkEnd w:id="0"/>
      <w:r w:rsidR="005B714A">
        <w:rPr>
          <w:rFonts w:ascii="Arial" w:hAnsi="Arial"/>
          <w:sz w:val="24"/>
        </w:rPr>
        <w:tab/>
        <w:t>7.3.10.1</w:t>
      </w:r>
    </w:p>
    <w:p w:rsidR="00CA3E10" w:rsidRPr="00CC27F5" w:rsidRDefault="00CA3E10" w:rsidP="00CA3E10">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1B1B72">
        <w:rPr>
          <w:rFonts w:ascii="Arial" w:hAnsi="Arial"/>
          <w:sz w:val="24"/>
        </w:rPr>
        <w:t>CATT</w:t>
      </w:r>
      <w:r>
        <w:rPr>
          <w:rFonts w:ascii="Arial" w:hAnsi="Arial"/>
          <w:sz w:val="24"/>
        </w:rPr>
        <w:tab/>
      </w:r>
    </w:p>
    <w:p w:rsidR="00AF4B60" w:rsidRPr="00D60018" w:rsidRDefault="00AF4B60" w:rsidP="00AF4B60">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5B714A">
        <w:rPr>
          <w:rFonts w:ascii="Arial" w:hAnsi="Arial"/>
          <w:sz w:val="22"/>
        </w:rPr>
        <w:t xml:space="preserve">Design </w:t>
      </w:r>
      <w:r w:rsidR="00D76BBF">
        <w:rPr>
          <w:rFonts w:ascii="Arial" w:hAnsi="Arial"/>
          <w:sz w:val="22"/>
        </w:rPr>
        <w:t xml:space="preserve">of </w:t>
      </w:r>
      <w:proofErr w:type="spellStart"/>
      <w:r w:rsidR="00D76BBF">
        <w:rPr>
          <w:rFonts w:ascii="Arial" w:hAnsi="Arial"/>
          <w:sz w:val="22"/>
        </w:rPr>
        <w:t>sPDCCH</w:t>
      </w:r>
      <w:proofErr w:type="spellEnd"/>
      <w:r w:rsidR="00D76BBF">
        <w:rPr>
          <w:rFonts w:ascii="Arial" w:hAnsi="Arial"/>
          <w:sz w:val="22"/>
        </w:rPr>
        <w:t xml:space="preserve"> and </w:t>
      </w:r>
      <w:proofErr w:type="spellStart"/>
      <w:r w:rsidR="00D76BBF">
        <w:rPr>
          <w:rFonts w:ascii="Arial" w:hAnsi="Arial"/>
          <w:sz w:val="22"/>
        </w:rPr>
        <w:t>sPDSCH</w:t>
      </w:r>
      <w:proofErr w:type="spellEnd"/>
      <w:r w:rsidR="00D76BBF">
        <w:rPr>
          <w:rFonts w:ascii="Arial" w:hAnsi="Arial"/>
          <w:sz w:val="22"/>
        </w:rPr>
        <w:t xml:space="preserve"> </w:t>
      </w:r>
      <w:r w:rsidR="005B714A">
        <w:rPr>
          <w:rFonts w:ascii="Arial" w:hAnsi="Arial"/>
          <w:sz w:val="22"/>
        </w:rPr>
        <w:t>for Shortened TTI</w:t>
      </w:r>
    </w:p>
    <w:p w:rsidR="00DB7D65" w:rsidRDefault="00AF4B60" w:rsidP="00AF4B60">
      <w:pPr>
        <w:pStyle w:val="af5"/>
        <w:pBdr>
          <w:bottom w:val="single" w:sz="4" w:space="1" w:color="auto"/>
        </w:pBdr>
        <w:tabs>
          <w:tab w:val="left" w:pos="709"/>
        </w:tabs>
        <w:spacing w:after="0"/>
        <w:jc w:val="left"/>
        <w:rPr>
          <w:rFonts w:cs="Arial"/>
          <w:lang w:val="en-GB" w:eastAsia="ja-JP"/>
        </w:rPr>
      </w:pPr>
      <w:r w:rsidRPr="00AF4B60">
        <w:t>Document for:</w:t>
      </w:r>
      <w:r>
        <w:tab/>
      </w:r>
      <w:r w:rsidRPr="00AF4B60">
        <w:tab/>
      </w:r>
      <w:bookmarkStart w:id="1" w:name="DocumentFor"/>
      <w:bookmarkEnd w:id="1"/>
      <w:r w:rsidRPr="00AF4B60">
        <w:rPr>
          <w:b w:val="0"/>
        </w:rPr>
        <w:t>Discussion and Decision</w:t>
      </w:r>
    </w:p>
    <w:p w:rsidR="00AF4B60" w:rsidRDefault="00AF4B60" w:rsidP="00DB7D65">
      <w:pPr>
        <w:pStyle w:val="af5"/>
        <w:pBdr>
          <w:bottom w:val="single" w:sz="4" w:space="1" w:color="auto"/>
        </w:pBdr>
        <w:tabs>
          <w:tab w:val="left" w:pos="709"/>
        </w:tabs>
        <w:spacing w:after="0"/>
        <w:jc w:val="left"/>
        <w:rPr>
          <w:rFonts w:cs="Arial"/>
          <w:lang w:val="en-GB" w:eastAsia="ja-JP"/>
        </w:rPr>
      </w:pPr>
    </w:p>
    <w:p w:rsidR="00AF4B60" w:rsidRPr="00061DA0" w:rsidRDefault="00AF4B60" w:rsidP="00DB7D65">
      <w:pPr>
        <w:pStyle w:val="af5"/>
        <w:pBdr>
          <w:bottom w:val="single" w:sz="4" w:space="1" w:color="auto"/>
        </w:pBdr>
        <w:tabs>
          <w:tab w:val="left" w:pos="709"/>
        </w:tabs>
        <w:spacing w:after="0"/>
        <w:jc w:val="left"/>
        <w:rPr>
          <w:rFonts w:cs="Arial"/>
          <w:lang w:val="en-GB" w:eastAsia="ja-JP"/>
        </w:rPr>
      </w:pPr>
    </w:p>
    <w:p w:rsidR="00BC1430" w:rsidRPr="00C54703" w:rsidRDefault="00454947" w:rsidP="006374FE">
      <w:pPr>
        <w:pStyle w:val="2"/>
        <w:numPr>
          <w:ilvl w:val="0"/>
          <w:numId w:val="1"/>
        </w:numPr>
        <w:rPr>
          <w:rFonts w:cs="Arial"/>
          <w:lang w:eastAsia="ja-JP"/>
        </w:rPr>
      </w:pPr>
      <w:r w:rsidRPr="00061DA0">
        <w:rPr>
          <w:rFonts w:cs="Arial"/>
          <w:lang w:eastAsia="ja-JP"/>
        </w:rPr>
        <w:t>Introduction</w:t>
      </w:r>
    </w:p>
    <w:p w:rsidR="00024075" w:rsidRPr="000D4C67" w:rsidRDefault="00024075" w:rsidP="00024075">
      <w:pPr>
        <w:spacing w:after="0"/>
        <w:rPr>
          <w:iCs/>
          <w:lang w:val="en-US" w:eastAsia="ja-JP"/>
        </w:rPr>
      </w:pPr>
      <w:r>
        <w:t>In RAN1#84, the assumptions of the system design were discussed to be considered as in the following</w:t>
      </w:r>
    </w:p>
    <w:p w:rsidR="00024075" w:rsidRPr="000D4C67" w:rsidRDefault="00024075" w:rsidP="00024075">
      <w:pPr>
        <w:numPr>
          <w:ilvl w:val="1"/>
          <w:numId w:val="46"/>
        </w:numPr>
        <w:spacing w:after="0"/>
        <w:rPr>
          <w:iCs/>
          <w:lang w:val="en-US" w:eastAsia="ja-JP"/>
        </w:rPr>
      </w:pPr>
      <w:r w:rsidRPr="000D4C67">
        <w:rPr>
          <w:iCs/>
          <w:lang w:val="en-US" w:eastAsia="ja-JP"/>
        </w:rPr>
        <w:t>No shortened TTI spans over subframe boundary</w:t>
      </w:r>
    </w:p>
    <w:p w:rsidR="00024075" w:rsidRPr="000D4C67" w:rsidRDefault="00024075" w:rsidP="00024075">
      <w:pPr>
        <w:numPr>
          <w:ilvl w:val="1"/>
          <w:numId w:val="46"/>
        </w:numPr>
        <w:spacing w:after="0"/>
        <w:rPr>
          <w:iCs/>
          <w:lang w:val="en-US" w:eastAsia="ja-JP"/>
        </w:rPr>
      </w:pPr>
      <w:r w:rsidRPr="000D4C67">
        <w:rPr>
          <w:iCs/>
          <w:lang w:val="en-US" w:eastAsia="ja-JP"/>
        </w:rPr>
        <w:t>At least for SIBs and paging, PDCCH and legacy PDSCH are used for scheduling</w:t>
      </w:r>
    </w:p>
    <w:p w:rsidR="00024075" w:rsidRPr="000D4C67" w:rsidRDefault="00024075" w:rsidP="00024075">
      <w:pPr>
        <w:numPr>
          <w:ilvl w:val="0"/>
          <w:numId w:val="46"/>
        </w:numPr>
        <w:spacing w:after="0"/>
        <w:rPr>
          <w:iCs/>
          <w:lang w:val="en-US" w:eastAsia="ja-JP"/>
        </w:rPr>
      </w:pPr>
      <w:r w:rsidRPr="000D4C67">
        <w:rPr>
          <w:iCs/>
          <w:lang w:val="en-US" w:eastAsia="ja-JP"/>
        </w:rPr>
        <w:t xml:space="preserve">The potential specific impacts for the followings are studied </w:t>
      </w:r>
    </w:p>
    <w:p w:rsidR="00024075" w:rsidRPr="000D4C67" w:rsidRDefault="00024075" w:rsidP="00024075">
      <w:pPr>
        <w:numPr>
          <w:ilvl w:val="1"/>
          <w:numId w:val="46"/>
        </w:numPr>
        <w:spacing w:after="0"/>
        <w:rPr>
          <w:iCs/>
          <w:lang w:val="en-US" w:eastAsia="ja-JP"/>
        </w:rPr>
      </w:pPr>
      <w:r w:rsidRPr="000D4C67">
        <w:rPr>
          <w:iCs/>
          <w:lang w:val="en-US" w:eastAsia="ja-JP"/>
        </w:rPr>
        <w:t xml:space="preserve">UE is expected to receive a </w:t>
      </w:r>
      <w:proofErr w:type="spellStart"/>
      <w:r w:rsidRPr="000D4C67">
        <w:rPr>
          <w:iCs/>
          <w:lang w:val="en-US" w:eastAsia="ja-JP"/>
        </w:rPr>
        <w:t>sPDSCH</w:t>
      </w:r>
      <w:proofErr w:type="spellEnd"/>
      <w:r w:rsidRPr="000D4C67">
        <w:rPr>
          <w:iCs/>
          <w:lang w:val="en-US" w:eastAsia="ja-JP"/>
        </w:rPr>
        <w:t xml:space="preserve"> at least for downlink unicast </w:t>
      </w:r>
    </w:p>
    <w:p w:rsidR="00024075" w:rsidRPr="000D4C67" w:rsidRDefault="00024075" w:rsidP="00024075">
      <w:pPr>
        <w:numPr>
          <w:ilvl w:val="2"/>
          <w:numId w:val="46"/>
        </w:numPr>
        <w:spacing w:after="0"/>
        <w:rPr>
          <w:iCs/>
          <w:lang w:val="en-US" w:eastAsia="ja-JP"/>
        </w:rPr>
      </w:pPr>
      <w:proofErr w:type="spellStart"/>
      <w:r w:rsidRPr="000D4C67">
        <w:rPr>
          <w:iCs/>
          <w:lang w:val="en-US" w:eastAsia="ja-JP"/>
        </w:rPr>
        <w:t>sPDSCH</w:t>
      </w:r>
      <w:proofErr w:type="spellEnd"/>
      <w:r w:rsidRPr="000D4C67">
        <w:rPr>
          <w:iCs/>
          <w:lang w:val="en-US" w:eastAsia="ja-JP"/>
        </w:rPr>
        <w:t xml:space="preserve"> refers PDSCH carrying data in a short TTI</w:t>
      </w:r>
    </w:p>
    <w:p w:rsidR="00024075" w:rsidRPr="000D4C67" w:rsidRDefault="00024075" w:rsidP="00024075">
      <w:pPr>
        <w:numPr>
          <w:ilvl w:val="1"/>
          <w:numId w:val="46"/>
        </w:numPr>
        <w:spacing w:after="0"/>
        <w:rPr>
          <w:iCs/>
          <w:lang w:val="en-US" w:eastAsia="ja-JP"/>
        </w:rPr>
      </w:pPr>
      <w:r w:rsidRPr="000D4C67">
        <w:rPr>
          <w:iCs/>
          <w:lang w:val="en-US" w:eastAsia="ja-JP"/>
        </w:rPr>
        <w:t>UE is expected to receive PDSCH for downlink unicast</w:t>
      </w:r>
    </w:p>
    <w:p w:rsidR="00024075" w:rsidRPr="000D4C67" w:rsidRDefault="00024075" w:rsidP="00024075">
      <w:pPr>
        <w:numPr>
          <w:ilvl w:val="2"/>
          <w:numId w:val="46"/>
        </w:numPr>
        <w:spacing w:after="0"/>
        <w:rPr>
          <w:iCs/>
          <w:lang w:val="en-US" w:eastAsia="ja-JP"/>
        </w:rPr>
      </w:pPr>
      <w:r w:rsidRPr="000D4C67">
        <w:rPr>
          <w:iCs/>
          <w:lang w:val="en-US" w:eastAsia="ja-JP"/>
        </w:rPr>
        <w:t xml:space="preserve">FFS whether a UE is expected to receive both </w:t>
      </w:r>
      <w:proofErr w:type="spellStart"/>
      <w:r w:rsidRPr="000D4C67">
        <w:rPr>
          <w:iCs/>
          <w:lang w:val="en-US" w:eastAsia="ja-JP"/>
        </w:rPr>
        <w:t>sPDSCH</w:t>
      </w:r>
      <w:proofErr w:type="spellEnd"/>
      <w:r w:rsidRPr="000D4C67">
        <w:rPr>
          <w:iCs/>
          <w:lang w:val="en-US" w:eastAsia="ja-JP"/>
        </w:rPr>
        <w:t xml:space="preserve"> and PDSCH for downlink unicast simultaneously</w:t>
      </w:r>
    </w:p>
    <w:p w:rsidR="00024075" w:rsidRDefault="00024075" w:rsidP="00024075">
      <w:pPr>
        <w:numPr>
          <w:ilvl w:val="1"/>
          <w:numId w:val="46"/>
        </w:numPr>
        <w:spacing w:after="0"/>
        <w:rPr>
          <w:rFonts w:hint="eastAsia"/>
          <w:iCs/>
          <w:lang w:val="en-US" w:eastAsia="ja-JP"/>
        </w:rPr>
      </w:pPr>
      <w:r>
        <w:rPr>
          <w:rFonts w:hint="eastAsia"/>
          <w:iCs/>
          <w:lang w:val="en-US" w:eastAsia="ja-JP"/>
        </w:rPr>
        <w:t>FFS: The number of supported short TTIs</w:t>
      </w:r>
    </w:p>
    <w:p w:rsidR="00024075" w:rsidRDefault="00024075" w:rsidP="00024075">
      <w:pPr>
        <w:numPr>
          <w:ilvl w:val="1"/>
          <w:numId w:val="46"/>
        </w:numPr>
        <w:spacing w:after="0"/>
        <w:rPr>
          <w:rFonts w:hint="eastAsia"/>
          <w:iCs/>
          <w:lang w:val="en-US" w:eastAsia="ja-JP"/>
        </w:rPr>
      </w:pPr>
      <w:r>
        <w:rPr>
          <w:rFonts w:hint="eastAsia"/>
          <w:iCs/>
          <w:lang w:val="en-US" w:eastAsia="ja-JP"/>
        </w:rPr>
        <w:t>If the number of supported short TTIs is more than one,</w:t>
      </w:r>
    </w:p>
    <w:p w:rsidR="00024075" w:rsidRPr="00446BEE" w:rsidRDefault="00024075" w:rsidP="00024075">
      <w:pPr>
        <w:numPr>
          <w:ilvl w:val="2"/>
          <w:numId w:val="46"/>
        </w:numPr>
        <w:spacing w:after="0"/>
        <w:rPr>
          <w:iCs/>
          <w:lang w:val="en-US" w:eastAsia="ja-JP"/>
        </w:rPr>
      </w:pPr>
      <w:r w:rsidRPr="000D4C67">
        <w:rPr>
          <w:iCs/>
          <w:lang w:val="en-US" w:eastAsia="ja-JP"/>
        </w:rPr>
        <w:t>The length of short TTI can be variable</w:t>
      </w:r>
    </w:p>
    <w:p w:rsidR="00024075" w:rsidRPr="000D4C67" w:rsidRDefault="00024075" w:rsidP="00024075">
      <w:pPr>
        <w:numPr>
          <w:ilvl w:val="3"/>
          <w:numId w:val="46"/>
        </w:numPr>
        <w:spacing w:after="0"/>
        <w:rPr>
          <w:iCs/>
          <w:lang w:val="en-US" w:eastAsia="ja-JP"/>
        </w:rPr>
      </w:pPr>
      <w:r w:rsidRPr="000D4C67">
        <w:rPr>
          <w:iCs/>
          <w:lang w:val="en-US" w:eastAsia="ja-JP"/>
        </w:rPr>
        <w:t xml:space="preserve">FFS whether a UE is expected to receive </w:t>
      </w:r>
      <w:proofErr w:type="spellStart"/>
      <w:r w:rsidRPr="000D4C67">
        <w:rPr>
          <w:iCs/>
          <w:lang w:val="en-US" w:eastAsia="ja-JP"/>
        </w:rPr>
        <w:t>sPDSCHs</w:t>
      </w:r>
      <w:proofErr w:type="spellEnd"/>
      <w:r w:rsidRPr="000D4C67">
        <w:rPr>
          <w:iCs/>
          <w:lang w:val="en-US" w:eastAsia="ja-JP"/>
        </w:rPr>
        <w:t xml:space="preserve"> with different lengths simultaneously</w:t>
      </w:r>
    </w:p>
    <w:p w:rsidR="00024075" w:rsidRPr="008B2E85" w:rsidRDefault="00024075" w:rsidP="00024075">
      <w:pPr>
        <w:numPr>
          <w:ilvl w:val="3"/>
          <w:numId w:val="46"/>
        </w:numPr>
        <w:spacing w:after="0"/>
        <w:rPr>
          <w:rFonts w:hint="eastAsia"/>
          <w:iCs/>
          <w:lang w:val="en-US" w:eastAsia="ja-JP"/>
        </w:rPr>
      </w:pPr>
      <w:r w:rsidRPr="000D4C67">
        <w:rPr>
          <w:iCs/>
          <w:lang w:val="en-US" w:eastAsia="ja-JP"/>
        </w:rPr>
        <w:t xml:space="preserve">FFS how to change the length of short TTI for </w:t>
      </w:r>
      <w:proofErr w:type="spellStart"/>
      <w:r w:rsidRPr="000D4C67">
        <w:rPr>
          <w:iCs/>
          <w:lang w:val="en-US" w:eastAsia="ja-JP"/>
        </w:rPr>
        <w:t>sPDSCH</w:t>
      </w:r>
      <w:proofErr w:type="spellEnd"/>
      <w:r w:rsidRPr="000D4C67">
        <w:rPr>
          <w:iCs/>
          <w:lang w:val="en-US" w:eastAsia="ja-JP"/>
        </w:rPr>
        <w:t xml:space="preserve"> e.g., semi-static </w:t>
      </w:r>
      <w:proofErr w:type="spellStart"/>
      <w:r w:rsidRPr="000D4C67">
        <w:rPr>
          <w:iCs/>
          <w:lang w:val="en-US" w:eastAsia="ja-JP"/>
        </w:rPr>
        <w:t>vs</w:t>
      </w:r>
      <w:proofErr w:type="spellEnd"/>
      <w:r w:rsidRPr="000D4C67">
        <w:rPr>
          <w:iCs/>
          <w:lang w:val="en-US" w:eastAsia="ja-JP"/>
        </w:rPr>
        <w:t xml:space="preserve"> dynamic, cell-specific </w:t>
      </w:r>
      <w:proofErr w:type="spellStart"/>
      <w:r w:rsidRPr="000D4C67">
        <w:rPr>
          <w:iCs/>
          <w:lang w:val="en-US" w:eastAsia="ja-JP"/>
        </w:rPr>
        <w:t>vs</w:t>
      </w:r>
      <w:proofErr w:type="spellEnd"/>
      <w:r w:rsidRPr="000D4C67">
        <w:rPr>
          <w:iCs/>
          <w:lang w:val="en-US" w:eastAsia="ja-JP"/>
        </w:rPr>
        <w:t xml:space="preserve"> UE-specific, explicit </w:t>
      </w:r>
      <w:proofErr w:type="spellStart"/>
      <w:r w:rsidRPr="000D4C67">
        <w:rPr>
          <w:iCs/>
          <w:lang w:val="en-US" w:eastAsia="ja-JP"/>
        </w:rPr>
        <w:t>vs</w:t>
      </w:r>
      <w:proofErr w:type="spellEnd"/>
      <w:r w:rsidRPr="000D4C67">
        <w:rPr>
          <w:iCs/>
          <w:lang w:val="en-US" w:eastAsia="ja-JP"/>
        </w:rPr>
        <w:t xml:space="preserve"> implicit</w:t>
      </w:r>
    </w:p>
    <w:p w:rsidR="00024075" w:rsidRPr="000D4C67" w:rsidRDefault="00024075" w:rsidP="00024075">
      <w:pPr>
        <w:numPr>
          <w:ilvl w:val="1"/>
          <w:numId w:val="46"/>
        </w:numPr>
        <w:spacing w:after="0"/>
        <w:rPr>
          <w:iCs/>
          <w:lang w:val="en-US" w:eastAsia="ja-JP"/>
        </w:rPr>
      </w:pPr>
      <w:r w:rsidRPr="000D4C67">
        <w:rPr>
          <w:iCs/>
          <w:lang w:val="en-US" w:eastAsia="ja-JP"/>
        </w:rPr>
        <w:t xml:space="preserve">TTI length for DL and UL can be different </w:t>
      </w:r>
    </w:p>
    <w:p w:rsidR="00024075" w:rsidRPr="00024075" w:rsidRDefault="00024075" w:rsidP="006374FE">
      <w:pPr>
        <w:rPr>
          <w:lang w:val="en-US"/>
        </w:rPr>
      </w:pPr>
    </w:p>
    <w:p w:rsidR="006D7C76" w:rsidRDefault="00024075" w:rsidP="006D7C76">
      <w:r>
        <w:t xml:space="preserve">This paper analyses the design option of PDSCH and PDCCH/EPDCC for shortened TTI.  </w:t>
      </w:r>
      <w:r w:rsidR="00C54703">
        <w:t>.</w:t>
      </w:r>
    </w:p>
    <w:p w:rsidR="006D7C76" w:rsidRDefault="00024075" w:rsidP="006374FE">
      <w:pPr>
        <w:pStyle w:val="1"/>
        <w:numPr>
          <w:ilvl w:val="0"/>
          <w:numId w:val="1"/>
        </w:numPr>
        <w:rPr>
          <w:lang w:eastAsia="ja-JP"/>
        </w:rPr>
      </w:pPr>
      <w:r>
        <w:rPr>
          <w:lang w:eastAsia="ja-JP"/>
        </w:rPr>
        <w:t>PDSCH</w:t>
      </w:r>
      <w:r w:rsidR="00633D90">
        <w:rPr>
          <w:lang w:eastAsia="ja-JP"/>
        </w:rPr>
        <w:t xml:space="preserve"> and PDCCH/</w:t>
      </w:r>
      <w:proofErr w:type="gramStart"/>
      <w:r w:rsidR="00633D90">
        <w:rPr>
          <w:lang w:eastAsia="ja-JP"/>
        </w:rPr>
        <w:t>EPDCCH  for</w:t>
      </w:r>
      <w:proofErr w:type="gramEnd"/>
      <w:r w:rsidR="00633D90">
        <w:rPr>
          <w:lang w:eastAsia="ja-JP"/>
        </w:rPr>
        <w:t xml:space="preserve"> Shortened TTI</w:t>
      </w:r>
    </w:p>
    <w:p w:rsidR="006374FE" w:rsidRDefault="00BC1430" w:rsidP="006374FE">
      <w:pPr>
        <w:rPr>
          <w:lang w:eastAsia="ja-JP"/>
        </w:rPr>
      </w:pPr>
      <w:r>
        <w:rPr>
          <w:color w:val="000000"/>
        </w:rPr>
        <w:t>The principle of latency reduction i</w:t>
      </w:r>
      <w:r w:rsidR="003E49DE">
        <w:rPr>
          <w:color w:val="000000"/>
        </w:rPr>
        <w:t>n the air interface is to shorten</w:t>
      </w:r>
      <w:r>
        <w:rPr>
          <w:color w:val="000000"/>
        </w:rPr>
        <w:t xml:space="preserve"> the TTI length from a subframe interval to sub-subframe level, such as a slot or a symbol.  Current LTE subframe contains two slots.  The minimum unit of radio resource is the resource block (RB), which is specified as 12 resource elements in frequency domain over the number of symbols</w:t>
      </w:r>
      <w:r w:rsidR="003E49DE">
        <w:rPr>
          <w:color w:val="000000"/>
        </w:rPr>
        <w:t xml:space="preserve"> (7 symbols for normal CP and 6 symbols for extended CP)</w:t>
      </w:r>
      <w:r>
        <w:rPr>
          <w:color w:val="000000"/>
        </w:rPr>
        <w:t xml:space="preserve"> within a slot in time domain.   </w:t>
      </w:r>
    </w:p>
    <w:p w:rsidR="006374FE" w:rsidRPr="006374FE" w:rsidRDefault="006374FE" w:rsidP="006374FE">
      <w:pPr>
        <w:pStyle w:val="afa"/>
        <w:keepNext/>
        <w:keepLines/>
        <w:numPr>
          <w:ilvl w:val="0"/>
          <w:numId w:val="33"/>
        </w:numPr>
        <w:spacing w:before="120" w:after="180"/>
        <w:contextualSpacing w:val="0"/>
        <w:outlineLvl w:val="2"/>
        <w:rPr>
          <w:rFonts w:ascii="Arial" w:eastAsia="MS Mincho" w:hAnsi="Arial"/>
          <w:vanish/>
          <w:sz w:val="28"/>
          <w:szCs w:val="20"/>
          <w:lang w:val="en-GB" w:eastAsia="ja-JP"/>
        </w:rPr>
      </w:pPr>
    </w:p>
    <w:p w:rsidR="006374FE" w:rsidRPr="006374FE" w:rsidRDefault="006374FE" w:rsidP="006374FE">
      <w:pPr>
        <w:pStyle w:val="afa"/>
        <w:keepNext/>
        <w:keepLines/>
        <w:numPr>
          <w:ilvl w:val="0"/>
          <w:numId w:val="33"/>
        </w:numPr>
        <w:spacing w:before="120" w:after="180"/>
        <w:contextualSpacing w:val="0"/>
        <w:outlineLvl w:val="2"/>
        <w:rPr>
          <w:rFonts w:ascii="Arial" w:eastAsia="MS Mincho" w:hAnsi="Arial"/>
          <w:vanish/>
          <w:sz w:val="28"/>
          <w:szCs w:val="20"/>
          <w:lang w:val="en-GB" w:eastAsia="ja-JP"/>
        </w:rPr>
      </w:pPr>
    </w:p>
    <w:p w:rsidR="00DE7E32" w:rsidRPr="000361CF" w:rsidRDefault="00633D90" w:rsidP="00DE7E32">
      <w:pPr>
        <w:pStyle w:val="3"/>
      </w:pPr>
      <w:r>
        <w:t>PDCCH/EPDCCH Design for Shortened TTI</w:t>
      </w:r>
    </w:p>
    <w:p w:rsidR="00BC1430" w:rsidRDefault="00B86F8F" w:rsidP="00BC1430">
      <w:pPr>
        <w:rPr>
          <w:lang w:eastAsia="zh-CN"/>
        </w:rPr>
      </w:pPr>
      <w:r>
        <w:rPr>
          <w:color w:val="000000"/>
        </w:rPr>
        <w:t>The design of LTE DL system to support slot-based TTI for latency reduction includes DL control channel</w:t>
      </w:r>
      <w:r w:rsidR="000B3B91">
        <w:rPr>
          <w:color w:val="000000"/>
        </w:rPr>
        <w:t>s, which include PCFICH, (E</w:t>
      </w:r>
      <w:proofErr w:type="gramStart"/>
      <w:r w:rsidR="000B3B91">
        <w:rPr>
          <w:color w:val="000000"/>
        </w:rPr>
        <w:t>)PDCCH</w:t>
      </w:r>
      <w:proofErr w:type="gramEnd"/>
      <w:r w:rsidR="000B3B91">
        <w:rPr>
          <w:color w:val="000000"/>
        </w:rPr>
        <w:t>, PHICH</w:t>
      </w:r>
      <w:r>
        <w:rPr>
          <w:color w:val="000000"/>
        </w:rPr>
        <w:t>,</w:t>
      </w:r>
      <w:r w:rsidR="000B3B91">
        <w:rPr>
          <w:color w:val="000000"/>
        </w:rPr>
        <w:t xml:space="preserve"> and</w:t>
      </w:r>
      <w:r>
        <w:rPr>
          <w:color w:val="000000"/>
        </w:rPr>
        <w:t xml:space="preserve"> DL</w:t>
      </w:r>
      <w:r w:rsidR="000B3B91">
        <w:rPr>
          <w:color w:val="000000"/>
        </w:rPr>
        <w:t xml:space="preserve"> reference signals.     </w:t>
      </w:r>
      <w:r>
        <w:rPr>
          <w:color w:val="000000"/>
        </w:rPr>
        <w:t>A sub</w:t>
      </w:r>
      <w:r w:rsidR="000B3B91">
        <w:rPr>
          <w:color w:val="000000"/>
        </w:rPr>
        <w:t>frame is a bundling of two slot-based TTI</w:t>
      </w:r>
      <w:r>
        <w:rPr>
          <w:color w:val="000000"/>
        </w:rPr>
        <w:t xml:space="preserve">.  All legacy UEs will be scheduled and transmit on bundling of two slot-based TTI.  </w:t>
      </w:r>
    </w:p>
    <w:p w:rsidR="00BC1430" w:rsidRDefault="00B86F8F" w:rsidP="00BC1430">
      <w:pPr>
        <w:rPr>
          <w:lang w:eastAsia="zh-CN"/>
        </w:rPr>
      </w:pPr>
      <w:r>
        <w:rPr>
          <w:lang w:eastAsia="zh-CN"/>
        </w:rPr>
        <w:t>To support slot-based TTI,</w:t>
      </w:r>
      <w:r w:rsidR="00BC1430">
        <w:rPr>
          <w:lang w:eastAsia="zh-CN"/>
        </w:rPr>
        <w:t xml:space="preserve"> several aspects in the air interface need to be enhanced as follows,</w:t>
      </w:r>
    </w:p>
    <w:p w:rsidR="00BC1430" w:rsidRDefault="00BC1430" w:rsidP="00BC1430">
      <w:pPr>
        <w:numPr>
          <w:ilvl w:val="0"/>
          <w:numId w:val="35"/>
        </w:numPr>
        <w:spacing w:after="0"/>
        <w:rPr>
          <w:lang w:eastAsia="zh-CN"/>
        </w:rPr>
      </w:pPr>
      <w:r>
        <w:rPr>
          <w:lang w:eastAsia="zh-CN"/>
        </w:rPr>
        <w:t xml:space="preserve">DL control signals and channel (PDCCH/EPDCCH) –  DL and UL scheduling grants are sent on PDCCH or EPDCCH.   Both PDCCH and EPDCCH are designed to schedule DL and UL transmissions for TTI in a subframe or more.  PDCCH and EPDCCH needs to be enhanced in order to schedule DL and UL transmissions on each slot.   </w:t>
      </w:r>
    </w:p>
    <w:p w:rsidR="000B3B91" w:rsidRDefault="000B3B91" w:rsidP="000B3B91">
      <w:pPr>
        <w:spacing w:after="0"/>
        <w:ind w:left="720"/>
        <w:rPr>
          <w:lang w:eastAsia="zh-CN"/>
        </w:rPr>
      </w:pPr>
    </w:p>
    <w:p w:rsidR="00BC1430" w:rsidRDefault="000B3B91" w:rsidP="00BC1430">
      <w:pPr>
        <w:numPr>
          <w:ilvl w:val="1"/>
          <w:numId w:val="35"/>
        </w:numPr>
        <w:spacing w:after="0"/>
        <w:rPr>
          <w:lang w:eastAsia="zh-CN"/>
        </w:rPr>
      </w:pPr>
      <w:r>
        <w:rPr>
          <w:lang w:eastAsia="zh-CN"/>
        </w:rPr>
        <w:t xml:space="preserve">PDCCH enhancement for </w:t>
      </w:r>
      <w:r w:rsidR="00BC1430">
        <w:rPr>
          <w:lang w:eastAsia="zh-CN"/>
        </w:rPr>
        <w:t>slot-based TTI – PDCCH occupies full</w:t>
      </w:r>
      <w:r>
        <w:rPr>
          <w:lang w:eastAsia="zh-CN"/>
        </w:rPr>
        <w:t xml:space="preserve"> system bandwidth and allocates</w:t>
      </w:r>
      <w:r w:rsidR="00BC1430">
        <w:rPr>
          <w:lang w:eastAsia="zh-CN"/>
        </w:rPr>
        <w:t xml:space="preserve"> at 1</w:t>
      </w:r>
      <w:r w:rsidR="00BC1430" w:rsidRPr="007066B2">
        <w:rPr>
          <w:vertAlign w:val="superscript"/>
          <w:lang w:eastAsia="zh-CN"/>
        </w:rPr>
        <w:t>st</w:t>
      </w:r>
      <w:r>
        <w:rPr>
          <w:lang w:eastAsia="zh-CN"/>
        </w:rPr>
        <w:t xml:space="preserve"> three symbols of first slot.  T</w:t>
      </w:r>
      <w:r w:rsidR="00BC1430">
        <w:rPr>
          <w:lang w:eastAsia="zh-CN"/>
        </w:rPr>
        <w:t xml:space="preserve">he slot-based TTI needs to have scheduling grant for resource </w:t>
      </w:r>
      <w:r w:rsidR="00BC1430">
        <w:rPr>
          <w:lang w:eastAsia="zh-CN"/>
        </w:rPr>
        <w:lastRenderedPageBreak/>
        <w:t>allocation of 2</w:t>
      </w:r>
      <w:r w:rsidR="00BC1430" w:rsidRPr="0077511E">
        <w:rPr>
          <w:vertAlign w:val="superscript"/>
          <w:lang w:eastAsia="zh-CN"/>
        </w:rPr>
        <w:t>nd</w:t>
      </w:r>
      <w:r w:rsidR="00BC1430">
        <w:rPr>
          <w:lang w:eastAsia="zh-CN"/>
        </w:rPr>
        <w:t xml:space="preserve"> slot in a subframe</w:t>
      </w:r>
      <w:r>
        <w:rPr>
          <w:lang w:eastAsia="zh-CN"/>
        </w:rPr>
        <w:t xml:space="preserve"> with PDCCH</w:t>
      </w:r>
      <w:r w:rsidR="00BC1430">
        <w:rPr>
          <w:lang w:eastAsia="zh-CN"/>
        </w:rPr>
        <w:t>.   PDCCH could not be introduced at the 2</w:t>
      </w:r>
      <w:r w:rsidR="00BC1430" w:rsidRPr="00E24E95">
        <w:rPr>
          <w:vertAlign w:val="superscript"/>
          <w:lang w:eastAsia="zh-CN"/>
        </w:rPr>
        <w:t>nd</w:t>
      </w:r>
      <w:r w:rsidR="00BC1430">
        <w:rPr>
          <w:lang w:eastAsia="zh-CN"/>
        </w:rPr>
        <w:t xml:space="preserve"> slot for the support of legacy UEs.   The possible solutions of scheduling for the 2</w:t>
      </w:r>
      <w:r w:rsidR="00BC1430" w:rsidRPr="00E24E95">
        <w:rPr>
          <w:vertAlign w:val="superscript"/>
          <w:lang w:eastAsia="zh-CN"/>
        </w:rPr>
        <w:t>nd</w:t>
      </w:r>
      <w:r w:rsidR="00BC1430">
        <w:rPr>
          <w:lang w:eastAsia="zh-CN"/>
        </w:rPr>
        <w:t xml:space="preserve"> slot are in the following, </w:t>
      </w:r>
    </w:p>
    <w:p w:rsidR="00BC1430" w:rsidRDefault="00BC1430" w:rsidP="00BC1430">
      <w:pPr>
        <w:ind w:left="2160"/>
        <w:rPr>
          <w:lang w:eastAsia="zh-CN"/>
        </w:rPr>
      </w:pPr>
    </w:p>
    <w:p w:rsidR="00BC1430" w:rsidRDefault="00BC1430" w:rsidP="00BC1430">
      <w:pPr>
        <w:numPr>
          <w:ilvl w:val="2"/>
          <w:numId w:val="35"/>
        </w:numPr>
        <w:spacing w:after="0"/>
        <w:rPr>
          <w:lang w:eastAsia="zh-CN"/>
        </w:rPr>
      </w:pPr>
      <w:r>
        <w:rPr>
          <w:lang w:eastAsia="zh-CN"/>
        </w:rPr>
        <w:t>PDCCH multi-slot scheduling – each DL grant could schedule PDSCH transmissions on one or more slots in a</w:t>
      </w:r>
      <w:r w:rsidR="000B3B91">
        <w:rPr>
          <w:lang w:eastAsia="zh-CN"/>
        </w:rPr>
        <w:t xml:space="preserve"> DCI format as shown in </w:t>
      </w:r>
      <w:r w:rsidR="00B31D93">
        <w:rPr>
          <w:lang w:eastAsia="zh-CN"/>
        </w:rPr>
        <w:fldChar w:fldCharType="begin"/>
      </w:r>
      <w:r w:rsidR="000B3B91">
        <w:rPr>
          <w:lang w:eastAsia="zh-CN"/>
        </w:rPr>
        <w:instrText xml:space="preserve"> REF _Ref434440512 \h </w:instrText>
      </w:r>
      <w:r w:rsidR="00B31D93">
        <w:rPr>
          <w:lang w:eastAsia="zh-CN"/>
        </w:rPr>
      </w:r>
      <w:r w:rsidR="00B31D93">
        <w:rPr>
          <w:lang w:eastAsia="zh-CN"/>
        </w:rPr>
        <w:fldChar w:fldCharType="separate"/>
      </w:r>
      <w:r w:rsidR="00BB40BA">
        <w:t xml:space="preserve">Figure </w:t>
      </w:r>
      <w:r w:rsidR="00BB40BA">
        <w:rPr>
          <w:noProof/>
        </w:rPr>
        <w:t>5</w:t>
      </w:r>
      <w:r w:rsidR="00B31D93">
        <w:rPr>
          <w:lang w:eastAsia="zh-CN"/>
        </w:rPr>
        <w:fldChar w:fldCharType="end"/>
      </w:r>
      <w:r w:rsidR="00D11466">
        <w:rPr>
          <w:lang w:eastAsia="zh-CN"/>
        </w:rPr>
        <w:t xml:space="preserve">. </w:t>
      </w:r>
      <w:r>
        <w:rPr>
          <w:lang w:eastAsia="zh-CN"/>
        </w:rPr>
        <w:t xml:space="preserve"> An additional field of multi-slot scheduling index (MSI) is used to indicate the number of consecutive slots for PDSCH transmission.   Multi-slot scheduling will reduce the PDCCH overhead.  The number of bits for MSI should be designed to indicate the maximum number of consecutive slots for PDSCH transmission.  For 3-bit MSI included in the extension of DCI format as an example, it could indicate up to 8-consecutive slots for PDSCH transmission </w:t>
      </w:r>
    </w:p>
    <w:p w:rsidR="000B3B91" w:rsidRDefault="00BC1430" w:rsidP="000B3B91">
      <w:pPr>
        <w:keepNext/>
        <w:jc w:val="center"/>
      </w:pPr>
      <w:r>
        <w:object w:dxaOrig="7061" w:dyaOrig="2000">
          <v:shape id="_x0000_i1025" type="#_x0000_t75" style="width:322.95pt;height:91.35pt" o:ole="">
            <v:imagedata r:id="rId8" o:title=""/>
          </v:shape>
          <o:OLEObject Type="Embed" ProgID="Visio.Drawing.11" ShapeID="_x0000_i1025" DrawAspect="Content" ObjectID="_1520975358" r:id="rId9"/>
        </w:object>
      </w:r>
    </w:p>
    <w:p w:rsidR="00BC1430" w:rsidRDefault="000B3B91" w:rsidP="000B3B91">
      <w:pPr>
        <w:pStyle w:val="af9"/>
        <w:jc w:val="center"/>
        <w:rPr>
          <w:lang w:eastAsia="zh-CN"/>
        </w:rPr>
      </w:pPr>
      <w:bookmarkStart w:id="2" w:name="_Ref434440512"/>
      <w:r>
        <w:t xml:space="preserve">Figure </w:t>
      </w:r>
      <w:r w:rsidR="00B31D93">
        <w:fldChar w:fldCharType="begin"/>
      </w:r>
      <w:r w:rsidR="009821B3">
        <w:instrText xml:space="preserve"> SEQ Figure \* ARABIC </w:instrText>
      </w:r>
      <w:r w:rsidR="00B31D93">
        <w:fldChar w:fldCharType="separate"/>
      </w:r>
      <w:r w:rsidR="00FF392B">
        <w:rPr>
          <w:noProof/>
        </w:rPr>
        <w:t>1</w:t>
      </w:r>
      <w:r w:rsidR="00B31D93">
        <w:fldChar w:fldCharType="end"/>
      </w:r>
      <w:bookmarkEnd w:id="2"/>
      <w:r>
        <w:rPr>
          <w:noProof/>
        </w:rPr>
        <w:t>: Multi-slot scheduling for slot-based TTI</w:t>
      </w:r>
    </w:p>
    <w:p w:rsidR="00BC1430" w:rsidRDefault="00BC1430" w:rsidP="00BC1430">
      <w:pPr>
        <w:numPr>
          <w:ilvl w:val="2"/>
          <w:numId w:val="35"/>
        </w:numPr>
        <w:spacing w:after="0"/>
        <w:rPr>
          <w:lang w:eastAsia="zh-CN"/>
        </w:rPr>
      </w:pPr>
      <w:r>
        <w:rPr>
          <w:lang w:eastAsia="zh-CN"/>
        </w:rPr>
        <w:t>PDCCH cross-slot scheduling – cross-slot scheduling is to use 1-bit cross-slot indication (CI) to indicate the scheduling grant is for 1</w:t>
      </w:r>
      <w:r w:rsidRPr="00DA7EFD">
        <w:rPr>
          <w:vertAlign w:val="superscript"/>
          <w:lang w:eastAsia="zh-CN"/>
        </w:rPr>
        <w:t>st</w:t>
      </w:r>
      <w:r>
        <w:rPr>
          <w:lang w:eastAsia="zh-CN"/>
        </w:rPr>
        <w:t xml:space="preserve"> or 2</w:t>
      </w:r>
      <w:r w:rsidRPr="00DA7EFD">
        <w:rPr>
          <w:vertAlign w:val="superscript"/>
          <w:lang w:eastAsia="zh-CN"/>
        </w:rPr>
        <w:t>nd</w:t>
      </w:r>
      <w:r>
        <w:rPr>
          <w:lang w:eastAsia="zh-CN"/>
        </w:rPr>
        <w:t xml:space="preserve"> slot of PDSCH t</w:t>
      </w:r>
      <w:r w:rsidR="00D11466">
        <w:rPr>
          <w:lang w:eastAsia="zh-CN"/>
        </w:rPr>
        <w:t xml:space="preserve">ransmission as shown in </w:t>
      </w:r>
      <w:r w:rsidR="00B31D93">
        <w:rPr>
          <w:lang w:eastAsia="zh-CN"/>
        </w:rPr>
        <w:fldChar w:fldCharType="begin"/>
      </w:r>
      <w:r w:rsidR="00D11466">
        <w:rPr>
          <w:lang w:eastAsia="zh-CN"/>
        </w:rPr>
        <w:instrText xml:space="preserve"> REF _Ref434440597 \h </w:instrText>
      </w:r>
      <w:r w:rsidR="00B31D93">
        <w:rPr>
          <w:lang w:eastAsia="zh-CN"/>
        </w:rPr>
      </w:r>
      <w:r w:rsidR="00B31D93">
        <w:rPr>
          <w:lang w:eastAsia="zh-CN"/>
        </w:rPr>
        <w:fldChar w:fldCharType="separate"/>
      </w:r>
      <w:r w:rsidR="00FF392B">
        <w:t xml:space="preserve">Figure </w:t>
      </w:r>
      <w:r w:rsidR="00FF392B">
        <w:rPr>
          <w:noProof/>
          <w:lang w:eastAsia="zh-CN"/>
        </w:rPr>
        <w:t>2</w:t>
      </w:r>
      <w:r w:rsidR="00B31D93">
        <w:rPr>
          <w:lang w:eastAsia="zh-CN"/>
        </w:rPr>
        <w:fldChar w:fldCharType="end"/>
      </w:r>
      <w:r>
        <w:rPr>
          <w:lang w:eastAsia="zh-CN"/>
        </w:rPr>
        <w:t xml:space="preserve">.  </w:t>
      </w:r>
    </w:p>
    <w:p w:rsidR="00BC1430" w:rsidRDefault="00BC1430" w:rsidP="00BC1430">
      <w:pPr>
        <w:rPr>
          <w:lang w:eastAsia="zh-CN"/>
        </w:rPr>
      </w:pPr>
    </w:p>
    <w:p w:rsidR="000B3B91" w:rsidRDefault="00BC1430" w:rsidP="000B3B91">
      <w:pPr>
        <w:keepNext/>
        <w:jc w:val="center"/>
      </w:pPr>
      <w:r>
        <w:object w:dxaOrig="7061" w:dyaOrig="2000">
          <v:shape id="_x0000_i1026" type="#_x0000_t75" style="width:322.95pt;height:91.35pt" o:ole="">
            <v:imagedata r:id="rId10" o:title=""/>
          </v:shape>
          <o:OLEObject Type="Embed" ProgID="Visio.Drawing.11" ShapeID="_x0000_i1026" DrawAspect="Content" ObjectID="_1520975359" r:id="rId11"/>
        </w:object>
      </w:r>
    </w:p>
    <w:p w:rsidR="00BC1430" w:rsidRPr="000B3B91" w:rsidRDefault="000B3B91" w:rsidP="000B3B91">
      <w:pPr>
        <w:pStyle w:val="af9"/>
        <w:jc w:val="center"/>
        <w:rPr>
          <w:lang w:eastAsia="zh-CN"/>
        </w:rPr>
      </w:pPr>
      <w:bookmarkStart w:id="3" w:name="_Ref434440597"/>
      <w:r>
        <w:t xml:space="preserve">Figure </w:t>
      </w:r>
      <w:r w:rsidR="00B31D93">
        <w:rPr>
          <w:lang w:eastAsia="zh-CN"/>
        </w:rPr>
        <w:fldChar w:fldCharType="begin"/>
      </w:r>
      <w:r>
        <w:rPr>
          <w:lang w:eastAsia="zh-CN"/>
        </w:rPr>
        <w:instrText xml:space="preserve"> SEQ Figure \* ARABIC </w:instrText>
      </w:r>
      <w:r w:rsidR="00B31D93">
        <w:rPr>
          <w:lang w:eastAsia="zh-CN"/>
        </w:rPr>
        <w:fldChar w:fldCharType="separate"/>
      </w:r>
      <w:r w:rsidR="00FF392B">
        <w:rPr>
          <w:noProof/>
          <w:lang w:eastAsia="zh-CN"/>
        </w:rPr>
        <w:t>2</w:t>
      </w:r>
      <w:r w:rsidR="00B31D93">
        <w:rPr>
          <w:lang w:eastAsia="zh-CN"/>
        </w:rPr>
        <w:fldChar w:fldCharType="end"/>
      </w:r>
      <w:bookmarkEnd w:id="3"/>
      <w:r>
        <w:rPr>
          <w:noProof/>
        </w:rPr>
        <w:t>: Cross-slot scheduling for slot-based TTI</w:t>
      </w:r>
    </w:p>
    <w:p w:rsidR="00BC1430" w:rsidRDefault="00BC1430" w:rsidP="00BC1430">
      <w:pPr>
        <w:numPr>
          <w:ilvl w:val="1"/>
          <w:numId w:val="35"/>
        </w:numPr>
        <w:spacing w:after="0"/>
        <w:rPr>
          <w:lang w:eastAsia="zh-CN"/>
        </w:rPr>
      </w:pPr>
      <w:r>
        <w:rPr>
          <w:lang w:eastAsia="zh-CN"/>
        </w:rPr>
        <w:t>EPDCCH enhancement for slot-based TTI – EPDCCH</w:t>
      </w:r>
      <w:r>
        <w:t xml:space="preserve"> is configured on a set physical resource-block pairs for a UE to monitor.   Additional EPDCCH formats</w:t>
      </w:r>
      <w:r w:rsidR="00D11466">
        <w:t xml:space="preserve"> and associated DM RS within a slot</w:t>
      </w:r>
      <w:r>
        <w:t xml:space="preserve"> are needed to support RE mapping and DM RS  based on a resource block instead of resource block pair.</w:t>
      </w:r>
    </w:p>
    <w:p w:rsidR="00BC1430" w:rsidRDefault="00BC1430" w:rsidP="00BC1430">
      <w:pPr>
        <w:ind w:left="1440"/>
        <w:rPr>
          <w:lang w:eastAsia="zh-CN"/>
        </w:rPr>
      </w:pPr>
    </w:p>
    <w:p w:rsidR="00BC1430" w:rsidRDefault="00BC1430" w:rsidP="00BC1430">
      <w:pPr>
        <w:numPr>
          <w:ilvl w:val="1"/>
          <w:numId w:val="35"/>
        </w:numPr>
        <w:spacing w:after="0"/>
        <w:rPr>
          <w:lang w:eastAsia="zh-CN"/>
        </w:rPr>
      </w:pPr>
      <w:r>
        <w:rPr>
          <w:lang w:eastAsia="zh-CN"/>
        </w:rPr>
        <w:t xml:space="preserve">DCI formats enhancement – Additional field, such as MSI or CI, are needed to support multi-slot scheduling or cross-slot scheduling respectively, is needed for PDCCH.   Thus, DL DCI format, such as DCI format 1, 1A, 1B, 1D, 2, 2A, 2B, 2C, 2D, needs to enhance with extension field of MSI or CI for the support of multi-slot or cross-slot scheduling.  </w:t>
      </w:r>
    </w:p>
    <w:p w:rsidR="002C7232" w:rsidRDefault="002C7232" w:rsidP="002C7232">
      <w:pPr>
        <w:rPr>
          <w:b/>
          <w:lang w:eastAsia="zh-CN"/>
        </w:rPr>
      </w:pPr>
    </w:p>
    <w:p w:rsidR="00BC1430" w:rsidRPr="002C7232" w:rsidRDefault="000361CF" w:rsidP="002C7232">
      <w:pPr>
        <w:rPr>
          <w:b/>
          <w:lang w:eastAsia="zh-CN"/>
        </w:rPr>
      </w:pPr>
      <w:r>
        <w:rPr>
          <w:b/>
          <w:lang w:eastAsia="zh-CN"/>
        </w:rPr>
        <w:t>Proposal 1</w:t>
      </w:r>
      <w:r w:rsidR="002C7232">
        <w:rPr>
          <w:b/>
          <w:lang w:eastAsia="zh-CN"/>
        </w:rPr>
        <w:t xml:space="preserve">: Enhancements of PDCCH and EPDCCH are needed for slot-based TTI.  The potential solutions of PDCCH enhancement for slot-based TTI are cross-slot and multi-slot scheduling.  New RE mapping and slot-based DM RS is a viable solutions for EPDCCH enhancement for slot-based TTI.  </w:t>
      </w:r>
    </w:p>
    <w:p w:rsidR="00E250E1" w:rsidRDefault="000361CF" w:rsidP="00017155">
      <w:pPr>
        <w:rPr>
          <w:lang w:eastAsia="ja-JP"/>
        </w:rPr>
      </w:pPr>
      <w:r>
        <w:rPr>
          <w:color w:val="000000"/>
        </w:rPr>
        <w:t>The enhancements of DL channels and RS in supporting symbol-based TTI with backward compatibility include new DL control channels for scheduling and HARQ-ACK feedback, and new RS pattern for channel estimation</w:t>
      </w:r>
    </w:p>
    <w:p w:rsidR="000361CF" w:rsidRDefault="000361CF" w:rsidP="000361CF">
      <w:pPr>
        <w:numPr>
          <w:ilvl w:val="0"/>
          <w:numId w:val="40"/>
        </w:numPr>
        <w:rPr>
          <w:lang w:val="en-US" w:eastAsia="ja-JP"/>
        </w:rPr>
      </w:pPr>
      <w:r>
        <w:rPr>
          <w:lang w:val="en-US" w:eastAsia="ja-JP"/>
        </w:rPr>
        <w:t>New DL control channel (</w:t>
      </w:r>
      <w:proofErr w:type="spellStart"/>
      <w:r>
        <w:rPr>
          <w:lang w:val="en-US" w:eastAsia="ja-JP"/>
        </w:rPr>
        <w:t>s</w:t>
      </w:r>
      <w:r w:rsidRPr="004D3A55">
        <w:rPr>
          <w:lang w:val="en-US" w:eastAsia="ja-JP"/>
        </w:rPr>
        <w:t>PDCCH</w:t>
      </w:r>
      <w:proofErr w:type="spellEnd"/>
      <w:r w:rsidRPr="004D3A55">
        <w:rPr>
          <w:lang w:val="en-US" w:eastAsia="ja-JP"/>
        </w:rPr>
        <w:t>)</w:t>
      </w:r>
      <w:r>
        <w:rPr>
          <w:lang w:val="en-US" w:eastAsia="ja-JP"/>
        </w:rPr>
        <w:t xml:space="preserve"> with CCEs within one OFDM symbol – The </w:t>
      </w:r>
      <w:proofErr w:type="spellStart"/>
      <w:r>
        <w:rPr>
          <w:lang w:val="en-US" w:eastAsia="ja-JP"/>
        </w:rPr>
        <w:t>sPDCCH</w:t>
      </w:r>
      <w:proofErr w:type="spellEnd"/>
      <w:r>
        <w:rPr>
          <w:lang w:val="en-US" w:eastAsia="ja-JP"/>
        </w:rPr>
        <w:t xml:space="preserve"> could be designed similar to EPDCCH with all REs allocated within the TTI, which is an OFDM symbol.   The considerations of  new DL control channel are as follows,</w:t>
      </w:r>
    </w:p>
    <w:p w:rsidR="000361CF" w:rsidRDefault="000361CF" w:rsidP="000361CF">
      <w:pPr>
        <w:numPr>
          <w:ilvl w:val="1"/>
          <w:numId w:val="40"/>
        </w:numPr>
        <w:rPr>
          <w:lang w:val="en-US" w:eastAsia="ja-JP"/>
        </w:rPr>
      </w:pPr>
      <w:r>
        <w:rPr>
          <w:lang w:val="en-US" w:eastAsia="ja-JP"/>
        </w:rPr>
        <w:t xml:space="preserve">Resource allocation of </w:t>
      </w:r>
      <w:proofErr w:type="spellStart"/>
      <w:r>
        <w:rPr>
          <w:lang w:val="en-US" w:eastAsia="ja-JP"/>
        </w:rPr>
        <w:t>sPDCCH</w:t>
      </w:r>
      <w:proofErr w:type="spellEnd"/>
      <w:r>
        <w:rPr>
          <w:lang w:val="en-US" w:eastAsia="ja-JP"/>
        </w:rPr>
        <w:t xml:space="preserve"> – The symbol level TTI needs to be designed with backward compatibility.  The PDCCH region in each subframe would remain for legacy UEs.  The PDCCH could also be used for the initial access for those UEs supporting symbol-based TTI.   A set of resources for </w:t>
      </w:r>
      <w:proofErr w:type="spellStart"/>
      <w:r>
        <w:rPr>
          <w:lang w:val="en-US" w:eastAsia="ja-JP"/>
        </w:rPr>
        <w:t>sPDCCH</w:t>
      </w:r>
      <w:proofErr w:type="spellEnd"/>
      <w:r>
        <w:rPr>
          <w:lang w:val="en-US" w:eastAsia="ja-JP"/>
        </w:rPr>
        <w:t xml:space="preserve"> could be semi-statically preconfigured by higher layer signaling.   </w:t>
      </w:r>
    </w:p>
    <w:p w:rsidR="000361CF" w:rsidRPr="00545912" w:rsidRDefault="000361CF" w:rsidP="000361CF">
      <w:pPr>
        <w:numPr>
          <w:ilvl w:val="1"/>
          <w:numId w:val="40"/>
        </w:numPr>
        <w:rPr>
          <w:lang w:val="en-US" w:eastAsia="ja-JP"/>
        </w:rPr>
      </w:pPr>
      <w:r>
        <w:rPr>
          <w:lang w:val="en-US" w:eastAsia="ja-JP"/>
        </w:rPr>
        <w:lastRenderedPageBreak/>
        <w:t xml:space="preserve">Scheduling flexibility – The number of CCEs in one </w:t>
      </w:r>
      <w:proofErr w:type="spellStart"/>
      <w:r>
        <w:rPr>
          <w:lang w:val="en-US" w:eastAsia="ja-JP"/>
        </w:rPr>
        <w:t>sPDCCH</w:t>
      </w:r>
      <w:proofErr w:type="spellEnd"/>
      <w:r>
        <w:rPr>
          <w:lang w:val="en-US" w:eastAsia="ja-JP"/>
        </w:rPr>
        <w:t xml:space="preserve"> could be designed in a flexible way to allow carrying e</w:t>
      </w:r>
      <w:r w:rsidRPr="00E259D3">
        <w:rPr>
          <w:lang w:val="en-US" w:eastAsia="ja-JP"/>
        </w:rPr>
        <w:t>ither</w:t>
      </w:r>
      <w:r>
        <w:rPr>
          <w:lang w:val="en-US" w:eastAsia="ja-JP"/>
        </w:rPr>
        <w:t xml:space="preserve"> single or multi-user DCI information.  The important of multi-user scheduling within a TTI is to allow the system to schedule multiple users with small payload size, such as TCP ACK packet.  Reducing latency for small packet has been shown beneficial in RAN2 study.   </w:t>
      </w:r>
    </w:p>
    <w:p w:rsidR="000361CF" w:rsidRDefault="000361CF" w:rsidP="000361CF">
      <w:pPr>
        <w:numPr>
          <w:ilvl w:val="1"/>
          <w:numId w:val="40"/>
        </w:numPr>
        <w:rPr>
          <w:lang w:val="en-US" w:eastAsia="ja-JP"/>
        </w:rPr>
      </w:pPr>
      <w:r w:rsidRPr="00932969">
        <w:rPr>
          <w:lang w:val="en-US" w:eastAsia="ja-JP"/>
        </w:rPr>
        <w:t xml:space="preserve">Control overhead reduction – For symbol-based TTI, the total number of REs are capped at 1200 REs for 20 MHz system BW. </w:t>
      </w:r>
      <w:r w:rsidRPr="00932969">
        <w:rPr>
          <w:rFonts w:eastAsiaTheme="minorEastAsia" w:hint="eastAsia"/>
          <w:lang w:val="en-US" w:eastAsia="zh-CN"/>
        </w:rPr>
        <w:t xml:space="preserve"> </w:t>
      </w:r>
      <w:r>
        <w:rPr>
          <w:rFonts w:eastAsiaTheme="minorEastAsia"/>
          <w:lang w:val="en-US" w:eastAsia="zh-CN"/>
        </w:rPr>
        <w:t>For large file size transport with scheduling on each TTI, the control channel overhead would</w:t>
      </w:r>
      <w:r>
        <w:rPr>
          <w:lang w:val="en-US" w:eastAsia="ja-JP"/>
        </w:rPr>
        <w:t xml:space="preserve"> be relatively high.   Moreover, the turbo coding gain with smaller payload size would not be as good as well.</w:t>
      </w:r>
      <w:r w:rsidRPr="00932969">
        <w:rPr>
          <w:lang w:val="en-US" w:eastAsia="ja-JP"/>
        </w:rPr>
        <w:t xml:space="preserve">  Supporting </w:t>
      </w:r>
      <w:r>
        <w:rPr>
          <w:lang w:val="en-US" w:eastAsia="ja-JP"/>
        </w:rPr>
        <w:t>m</w:t>
      </w:r>
      <w:r w:rsidRPr="00932969">
        <w:rPr>
          <w:lang w:val="en-US" w:eastAsia="ja-JP"/>
        </w:rPr>
        <w:t>ulti-symbol scheduling</w:t>
      </w:r>
      <w:r>
        <w:rPr>
          <w:lang w:val="en-US" w:eastAsia="ja-JP"/>
        </w:rPr>
        <w:t xml:space="preserve"> or symbol-based TTI bundling would reduce the required control channel overhead</w:t>
      </w:r>
      <w:r w:rsidR="00FF392B">
        <w:rPr>
          <w:lang w:val="en-US" w:eastAsia="ja-JP"/>
        </w:rPr>
        <w:t xml:space="preserve">.  </w:t>
      </w:r>
    </w:p>
    <w:p w:rsidR="000361CF" w:rsidRDefault="000361CF" w:rsidP="000361CF">
      <w:pPr>
        <w:rPr>
          <w:b/>
          <w:lang w:val="en-US" w:eastAsia="ja-JP"/>
        </w:rPr>
      </w:pPr>
      <w:r>
        <w:rPr>
          <w:b/>
          <w:lang w:val="en-US" w:eastAsia="ja-JP"/>
        </w:rPr>
        <w:t>Propo</w:t>
      </w:r>
      <w:r w:rsidR="00FF392B">
        <w:rPr>
          <w:b/>
          <w:lang w:val="en-US" w:eastAsia="ja-JP"/>
        </w:rPr>
        <w:t>sal 2:  For symbol</w:t>
      </w:r>
      <w:r>
        <w:rPr>
          <w:b/>
          <w:lang w:val="en-US" w:eastAsia="ja-JP"/>
        </w:rPr>
        <w:t xml:space="preserve">-level TTI, new DL control channel needs to be designed with flexibility and minimizing the overhead.  </w:t>
      </w:r>
    </w:p>
    <w:p w:rsidR="000361CF" w:rsidRPr="000361CF" w:rsidRDefault="000361CF" w:rsidP="00017155">
      <w:pPr>
        <w:rPr>
          <w:lang w:val="en-US" w:eastAsia="ja-JP"/>
        </w:rPr>
      </w:pPr>
    </w:p>
    <w:p w:rsidR="006374FE" w:rsidRDefault="000361CF" w:rsidP="00AC584C">
      <w:pPr>
        <w:pStyle w:val="3"/>
      </w:pPr>
      <w:r>
        <w:t>PDSCH Design for Shortened</w:t>
      </w:r>
      <w:r w:rsidR="00650A29">
        <w:t xml:space="preserve"> TTI</w:t>
      </w:r>
    </w:p>
    <w:p w:rsidR="008B2CC7" w:rsidRPr="00B7683E" w:rsidRDefault="00E25FBC" w:rsidP="00B7683E">
      <w:r>
        <w:rPr>
          <w:color w:val="000000"/>
        </w:rPr>
        <w:t>The enhancement</w:t>
      </w:r>
      <w:r w:rsidR="00FF392B">
        <w:rPr>
          <w:color w:val="000000"/>
        </w:rPr>
        <w:t xml:space="preserve"> of PDSCH for shortened TTI is the design of </w:t>
      </w:r>
      <w:r>
        <w:rPr>
          <w:color w:val="000000"/>
        </w:rPr>
        <w:t>RS</w:t>
      </w:r>
      <w:r w:rsidR="00496008">
        <w:rPr>
          <w:color w:val="000000"/>
        </w:rPr>
        <w:t xml:space="preserve"> pattern</w:t>
      </w:r>
      <w:r>
        <w:rPr>
          <w:color w:val="000000"/>
        </w:rPr>
        <w:t xml:space="preserve"> for channel estimation.   </w:t>
      </w:r>
      <w:r w:rsidR="00FF392B">
        <w:rPr>
          <w:lang w:eastAsia="zh-CN"/>
        </w:rPr>
        <w:t>DL RS includes CRS, CSI-RS and DM RS.   The CRS and CSI-RS are configured to transmit continuously across TTI for the measurements of the radio channel.   Thus, CRS and CSI-RS do not need to be enhanced for slot-based TTI.</w:t>
      </w:r>
    </w:p>
    <w:p w:rsidR="000361CF" w:rsidRDefault="000361CF" w:rsidP="000361CF">
      <w:pPr>
        <w:numPr>
          <w:ilvl w:val="0"/>
          <w:numId w:val="47"/>
        </w:numPr>
        <w:spacing w:after="0"/>
        <w:rPr>
          <w:lang w:eastAsia="zh-CN"/>
        </w:rPr>
      </w:pPr>
      <w:r>
        <w:rPr>
          <w:lang w:eastAsia="zh-CN"/>
        </w:rPr>
        <w:t>DL RS</w:t>
      </w:r>
      <w:r w:rsidR="00FF392B">
        <w:rPr>
          <w:lang w:eastAsia="zh-CN"/>
        </w:rPr>
        <w:t xml:space="preserve"> for symbol-based TTI</w:t>
      </w:r>
      <w:r>
        <w:rPr>
          <w:lang w:eastAsia="zh-CN"/>
        </w:rPr>
        <w:t xml:space="preserve"> –UE-specific reference signals, antenna ports 7-14, are designed uniformly distributed cross 2 slots in a subframe as shown in </w:t>
      </w:r>
      <w:r>
        <w:rPr>
          <w:lang w:eastAsia="zh-CN"/>
        </w:rPr>
        <w:fldChar w:fldCharType="begin"/>
      </w:r>
      <w:r>
        <w:rPr>
          <w:lang w:eastAsia="zh-CN"/>
        </w:rPr>
        <w:instrText xml:space="preserve"> REF _Ref434566919 \h </w:instrText>
      </w:r>
      <w:r>
        <w:rPr>
          <w:lang w:eastAsia="zh-CN"/>
        </w:rPr>
      </w:r>
      <w:r>
        <w:rPr>
          <w:lang w:eastAsia="zh-CN"/>
        </w:rPr>
        <w:fldChar w:fldCharType="separate"/>
      </w:r>
      <w:r w:rsidR="00FF392B">
        <w:t xml:space="preserve">Figure </w:t>
      </w:r>
      <w:r w:rsidR="00FF392B">
        <w:rPr>
          <w:noProof/>
        </w:rPr>
        <w:t>3</w:t>
      </w:r>
      <w:r>
        <w:rPr>
          <w:lang w:eastAsia="zh-CN"/>
        </w:rPr>
        <w:fldChar w:fldCharType="end"/>
      </w:r>
      <w:r>
        <w:rPr>
          <w:lang w:eastAsia="zh-CN"/>
        </w:rPr>
        <w:t>.  The CDM type multiplexing of antenna ports 7-14 have time domain OCC across two slots.  In order to support slot-based TTI, the UE-specific RS needs to be enhanced without OCC across the slots for slot-based TTI operation.</w:t>
      </w:r>
    </w:p>
    <w:p w:rsidR="000361CF" w:rsidRDefault="000361CF" w:rsidP="000361CF">
      <w:pPr>
        <w:rPr>
          <w:lang w:eastAsia="zh-CN"/>
        </w:rPr>
      </w:pPr>
    </w:p>
    <w:p w:rsidR="000361CF" w:rsidRDefault="000361CF" w:rsidP="000361CF">
      <w:pPr>
        <w:pStyle w:val="afa"/>
        <w:keepNext/>
        <w:ind w:firstLine="400"/>
        <w:jc w:val="center"/>
      </w:pPr>
      <w:r>
        <w:rPr>
          <w:noProof/>
          <w:lang w:eastAsia="zh-CN"/>
        </w:rPr>
        <w:drawing>
          <wp:inline distT="0" distB="0" distL="0" distR="0">
            <wp:extent cx="4256405" cy="1687195"/>
            <wp:effectExtent l="1905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4256405" cy="1687195"/>
                    </a:xfrm>
                    <a:prstGeom prst="rect">
                      <a:avLst/>
                    </a:prstGeom>
                    <a:noFill/>
                    <a:ln w="9525">
                      <a:noFill/>
                      <a:miter lim="800000"/>
                      <a:headEnd/>
                      <a:tailEnd/>
                    </a:ln>
                  </pic:spPr>
                </pic:pic>
              </a:graphicData>
            </a:graphic>
          </wp:inline>
        </w:drawing>
      </w:r>
    </w:p>
    <w:p w:rsidR="000361CF" w:rsidRDefault="000361CF" w:rsidP="000361CF">
      <w:pPr>
        <w:pStyle w:val="af9"/>
        <w:jc w:val="center"/>
        <w:rPr>
          <w:lang w:eastAsia="zh-CN"/>
        </w:rPr>
      </w:pPr>
      <w:bookmarkStart w:id="4" w:name="_Ref434566919"/>
      <w:r>
        <w:t xml:space="preserve">Figure </w:t>
      </w:r>
      <w:fldSimple w:instr=" SEQ Figure \* ARABIC ">
        <w:r w:rsidR="00FF392B">
          <w:rPr>
            <w:noProof/>
          </w:rPr>
          <w:t>3</w:t>
        </w:r>
      </w:fldSimple>
      <w:bookmarkEnd w:id="4"/>
      <w:r>
        <w:rPr>
          <w:noProof/>
        </w:rPr>
        <w:t>: UE specific RS antenna port {7, 8, 9, 10, 11, 12, 13, 14]</w:t>
      </w:r>
    </w:p>
    <w:p w:rsidR="000361CF" w:rsidRDefault="000361CF" w:rsidP="000361CF">
      <w:pPr>
        <w:jc w:val="center"/>
        <w:rPr>
          <w:b/>
          <w:bCs/>
          <w:color w:val="000000"/>
        </w:rPr>
      </w:pPr>
    </w:p>
    <w:p w:rsidR="000361CF" w:rsidRDefault="00FF392B" w:rsidP="00FF392B">
      <w:pPr>
        <w:rPr>
          <w:b/>
          <w:bCs/>
          <w:color w:val="000000"/>
        </w:rPr>
      </w:pPr>
      <w:r>
        <w:rPr>
          <w:b/>
          <w:bCs/>
          <w:color w:val="000000"/>
        </w:rPr>
        <w:t>Proposal 3</w:t>
      </w:r>
      <w:r w:rsidR="000361CF">
        <w:rPr>
          <w:b/>
          <w:bCs/>
          <w:color w:val="000000"/>
        </w:rPr>
        <w:t>: T</w:t>
      </w:r>
      <w:r w:rsidR="000361CF" w:rsidRPr="00C2046E">
        <w:rPr>
          <w:b/>
          <w:bCs/>
          <w:color w:val="000000"/>
        </w:rPr>
        <w:t>he UE-specific RS needs to be enhanced without OCC across the slots for</w:t>
      </w:r>
      <w:r w:rsidR="00722DAB">
        <w:rPr>
          <w:b/>
          <w:bCs/>
          <w:color w:val="000000"/>
        </w:rPr>
        <w:t xml:space="preserve"> PDSCH in slot-based TTI </w:t>
      </w:r>
      <w:r>
        <w:rPr>
          <w:b/>
          <w:bCs/>
          <w:color w:val="000000"/>
        </w:rPr>
        <w:t xml:space="preserve"> </w:t>
      </w:r>
    </w:p>
    <w:p w:rsidR="00722DAB" w:rsidRPr="00FF392B" w:rsidRDefault="00722DAB" w:rsidP="00FF392B">
      <w:pPr>
        <w:rPr>
          <w:b/>
          <w:bCs/>
          <w:color w:val="000000"/>
        </w:rPr>
      </w:pPr>
    </w:p>
    <w:p w:rsidR="008B2CC7" w:rsidRPr="004D3A55" w:rsidRDefault="00932969" w:rsidP="00B7683E">
      <w:pPr>
        <w:numPr>
          <w:ilvl w:val="0"/>
          <w:numId w:val="40"/>
        </w:numPr>
        <w:rPr>
          <w:lang w:val="en-US" w:eastAsia="ja-JP"/>
        </w:rPr>
      </w:pPr>
      <w:r>
        <w:rPr>
          <w:lang w:val="en-US" w:eastAsia="ja-JP"/>
        </w:rPr>
        <w:t xml:space="preserve">New DM RS for </w:t>
      </w:r>
      <w:r w:rsidR="00FF392B">
        <w:rPr>
          <w:lang w:val="en-US" w:eastAsia="ja-JP"/>
        </w:rPr>
        <w:t xml:space="preserve">symbol-based TTI for </w:t>
      </w:r>
      <w:r>
        <w:rPr>
          <w:lang w:val="en-US" w:eastAsia="ja-JP"/>
        </w:rPr>
        <w:t xml:space="preserve">demodulation and possible Channel tracking – New DM RS is need at every symbol for demodulation for symbol-based TTI.   The preferable DM RS pattern should be designed to reuse the existing channel estimation filter with spacing of 6 REs.   New DM RS pattern could also be used for channel tracking in addition to CRS.   </w:t>
      </w:r>
    </w:p>
    <w:p w:rsidR="00722DAB" w:rsidRPr="00722DAB" w:rsidRDefault="00722DAB" w:rsidP="00722DAB">
      <w:pPr>
        <w:rPr>
          <w:b/>
          <w:bCs/>
          <w:color w:val="000000"/>
        </w:rPr>
      </w:pPr>
      <w:r w:rsidRPr="00722DAB">
        <w:rPr>
          <w:b/>
          <w:bCs/>
          <w:color w:val="000000"/>
        </w:rPr>
        <w:t xml:space="preserve">Proposal </w:t>
      </w:r>
      <w:r>
        <w:rPr>
          <w:b/>
          <w:bCs/>
          <w:color w:val="000000"/>
        </w:rPr>
        <w:t>4: New DM RS pattern is needed for PDSCH in symbol-based TTI (1</w:t>
      </w:r>
      <w:proofErr w:type="gramStart"/>
      <w:r>
        <w:rPr>
          <w:b/>
          <w:bCs/>
          <w:color w:val="000000"/>
        </w:rPr>
        <w:t>,2</w:t>
      </w:r>
      <w:proofErr w:type="gramEnd"/>
      <w:r>
        <w:rPr>
          <w:b/>
          <w:bCs/>
          <w:color w:val="000000"/>
        </w:rPr>
        <w:t>, 3,4 symbols)</w:t>
      </w:r>
    </w:p>
    <w:p w:rsidR="004D3A55" w:rsidRDefault="004D3A55" w:rsidP="004D3A55">
      <w:pPr>
        <w:rPr>
          <w:lang w:val="en-US" w:eastAsia="ja-JP"/>
        </w:rPr>
      </w:pPr>
    </w:p>
    <w:p w:rsidR="00932969" w:rsidRDefault="004D3A55" w:rsidP="00932969">
      <w:pPr>
        <w:keepNext/>
        <w:jc w:val="center"/>
      </w:pPr>
      <w:r w:rsidRPr="004D3A55">
        <w:rPr>
          <w:b/>
          <w:noProof/>
          <w:lang w:val="en-US" w:eastAsia="zh-CN"/>
        </w:rPr>
        <w:lastRenderedPageBreak/>
        <w:drawing>
          <wp:inline distT="0" distB="0" distL="0" distR="0">
            <wp:extent cx="1454150" cy="3098800"/>
            <wp:effectExtent l="19050" t="0" r="0" b="0"/>
            <wp:docPr id="12" name="对象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808312" cy="5111988"/>
                      <a:chOff x="6156176" y="1412776"/>
                      <a:chExt cx="2808312" cy="5111988"/>
                    </a:xfrm>
                  </a:grpSpPr>
                  <a:grpSp>
                    <a:nvGrpSpPr>
                      <a:cNvPr id="30" name="组合 29"/>
                      <a:cNvGrpSpPr/>
                    </a:nvGrpSpPr>
                    <a:grpSpPr>
                      <a:xfrm>
                        <a:off x="6156176" y="1412776"/>
                        <a:ext cx="2808312" cy="5111988"/>
                        <a:chOff x="6156176" y="1412776"/>
                        <a:chExt cx="2808312" cy="5111988"/>
                      </a:xfrm>
                    </a:grpSpPr>
                    <a:sp>
                      <a:nvSpPr>
                        <a:cNvPr id="5" name="矩形 4"/>
                        <a:cNvSpPr/>
                      </a:nvSpPr>
                      <a:spPr>
                        <a:xfrm>
                          <a:off x="7164288" y="1412776"/>
                          <a:ext cx="360040" cy="460851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7524328" y="1412776"/>
                          <a:ext cx="360040" cy="460851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7884368" y="1412776"/>
                          <a:ext cx="360040" cy="460851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8244408" y="1412776"/>
                          <a:ext cx="360040" cy="460851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6804248" y="1412776"/>
                          <a:ext cx="360040" cy="460851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6444208" y="1412776"/>
                          <a:ext cx="360040" cy="460851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10"/>
                        <a:cNvSpPr/>
                      </a:nvSpPr>
                      <a:spPr>
                        <a:xfrm>
                          <a:off x="8604448" y="1412776"/>
                          <a:ext cx="360040" cy="4608512"/>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6444208" y="1412776"/>
                          <a:ext cx="360040" cy="1110608"/>
                        </a:xfrm>
                        <a:prstGeom prst="rect">
                          <a:avLst/>
                        </a:prstGeom>
                        <a:solidFill>
                          <a:srgbClr val="FF0000"/>
                        </a:solidFill>
                      </a:spPr>
                      <a:txSp>
                        <a:txBody>
                          <a:bodyPr vert="vert"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L-PDCCH</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6804248" y="1412776"/>
                          <a:ext cx="360040" cy="1110608"/>
                        </a:xfrm>
                        <a:prstGeom prst="rect">
                          <a:avLst/>
                        </a:prstGeom>
                        <a:solidFill>
                          <a:srgbClr val="FF0000"/>
                        </a:solidFill>
                      </a:spPr>
                      <a:txSp>
                        <a:txBody>
                          <a:bodyPr vert="vert"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L-PDCCH</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矩形 14"/>
                        <a:cNvSpPr/>
                      </a:nvSpPr>
                      <a:spPr>
                        <a:xfrm>
                          <a:off x="7524328" y="1412776"/>
                          <a:ext cx="360040" cy="1110608"/>
                        </a:xfrm>
                        <a:prstGeom prst="rect">
                          <a:avLst/>
                        </a:prstGeom>
                        <a:solidFill>
                          <a:srgbClr val="FF0000"/>
                        </a:solidFill>
                      </a:spPr>
                      <a:txSp>
                        <a:txBody>
                          <a:bodyPr vert="vert"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L-PDCCH</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矩形 15"/>
                        <a:cNvSpPr/>
                      </a:nvSpPr>
                      <a:spPr>
                        <a:xfrm>
                          <a:off x="8604448" y="1412776"/>
                          <a:ext cx="360040" cy="1110608"/>
                        </a:xfrm>
                        <a:prstGeom prst="rect">
                          <a:avLst/>
                        </a:prstGeom>
                        <a:solidFill>
                          <a:srgbClr val="FF0000"/>
                        </a:solidFill>
                      </a:spPr>
                      <a:txSp>
                        <a:txBody>
                          <a:bodyPr vert="vert" lIns="0" tIns="0" rIns="0" bIns="0" rtlCol="0" anchor="ctr">
                            <a:noAutofit/>
                          </a:bodyP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000" dirty="0" smtClean="0">
                                <a:solidFill>
                                  <a:schemeClr val="tx1"/>
                                </a:solidFill>
                              </a:rPr>
                              <a:t>L-PDCCH</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6444208" y="1844824"/>
                          <a:ext cx="2520280" cy="45719"/>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6444208" y="2204864"/>
                          <a:ext cx="2520280" cy="45719"/>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矩形 18"/>
                        <a:cNvSpPr/>
                      </a:nvSpPr>
                      <a:spPr>
                        <a:xfrm>
                          <a:off x="6444208" y="2708920"/>
                          <a:ext cx="2520280" cy="45719"/>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矩形 19"/>
                        <a:cNvSpPr/>
                      </a:nvSpPr>
                      <a:spPr>
                        <a:xfrm>
                          <a:off x="6444208" y="3212976"/>
                          <a:ext cx="2520280" cy="45719"/>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a:off x="6444208" y="3717032"/>
                          <a:ext cx="2520280" cy="45719"/>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6444208" y="4221088"/>
                          <a:ext cx="2520280" cy="45719"/>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矩形 22"/>
                        <a:cNvSpPr/>
                      </a:nvSpPr>
                      <a:spPr>
                        <a:xfrm>
                          <a:off x="6444208" y="4725144"/>
                          <a:ext cx="2520280" cy="45719"/>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矩形 23"/>
                        <a:cNvSpPr/>
                      </a:nvSpPr>
                      <a:spPr>
                        <a:xfrm>
                          <a:off x="6444208" y="5229200"/>
                          <a:ext cx="2520280" cy="45719"/>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矩形 24"/>
                        <a:cNvSpPr/>
                      </a:nvSpPr>
                      <a:spPr>
                        <a:xfrm>
                          <a:off x="6444208" y="5661248"/>
                          <a:ext cx="2520280" cy="45719"/>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7" name="直接箭头连接符 26"/>
                        <a:cNvCxnSpPr/>
                      </a:nvCxnSpPr>
                      <a:spPr>
                        <a:xfrm>
                          <a:off x="6444208" y="6237312"/>
                          <a:ext cx="36004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28" name="TextBox 27"/>
                        <a:cNvSpPr txBox="1"/>
                      </a:nvSpPr>
                      <a:spPr>
                        <a:xfrm>
                          <a:off x="6156176" y="6309320"/>
                          <a:ext cx="779381" cy="215444"/>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OFDM Symbol</a:t>
                            </a:r>
                            <a:endParaRPr lang="en-US" sz="800" dirty="0"/>
                          </a:p>
                        </a:txBody>
                        <a:useSpRect/>
                      </a:txSp>
                    </a:sp>
                    <a:sp>
                      <a:nvSpPr>
                        <a:cNvPr id="29" name="TextBox 28"/>
                        <a:cNvSpPr txBox="1"/>
                      </a:nvSpPr>
                      <a:spPr>
                        <a:xfrm>
                          <a:off x="6876256" y="2852936"/>
                          <a:ext cx="460382" cy="215444"/>
                        </a:xfrm>
                        <a:prstGeom prst="rect">
                          <a:avLst/>
                        </a:prstGeom>
                        <a:solidFill>
                          <a:schemeClr val="bg1"/>
                        </a:solidFill>
                      </a:spPr>
                      <a:txSp>
                        <a:txBody>
                          <a:bodyPr wrap="non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800" dirty="0" smtClean="0"/>
                              <a:t>DM RS</a:t>
                            </a:r>
                            <a:endParaRPr lang="en-US" sz="800" dirty="0"/>
                          </a:p>
                        </a:txBody>
                        <a:useSpRect/>
                      </a:txSp>
                    </a:sp>
                    <a:cxnSp>
                      <a:nvCxnSpPr>
                        <a:cNvPr id="31" name="直接箭头连接符 30"/>
                        <a:cNvCxnSpPr/>
                      </a:nvCxnSpPr>
                      <a:spPr>
                        <a:xfrm>
                          <a:off x="7452320" y="2996952"/>
                          <a:ext cx="576064" cy="288032"/>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cxnSp>
                      <a:nvCxnSpPr>
                        <a:cNvPr id="34" name="直接箭头连接符 33"/>
                        <a:cNvCxnSpPr/>
                      </a:nvCxnSpPr>
                      <a:spPr>
                        <a:xfrm flipV="1">
                          <a:off x="7452320" y="2780928"/>
                          <a:ext cx="504056" cy="216024"/>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4D3A55" w:rsidRPr="004D3A55" w:rsidRDefault="00932969" w:rsidP="00932969">
      <w:pPr>
        <w:pStyle w:val="af9"/>
        <w:jc w:val="center"/>
        <w:rPr>
          <w:lang w:val="en-US" w:eastAsia="ja-JP"/>
        </w:rPr>
      </w:pPr>
      <w:bookmarkStart w:id="5" w:name="_Ref434482131"/>
      <w:r>
        <w:t xml:space="preserve">Figure </w:t>
      </w:r>
      <w:r w:rsidR="00B31D93">
        <w:fldChar w:fldCharType="begin"/>
      </w:r>
      <w:r w:rsidR="009821B3">
        <w:instrText xml:space="preserve"> SEQ Figure \* ARABIC </w:instrText>
      </w:r>
      <w:r w:rsidR="00B31D93">
        <w:fldChar w:fldCharType="separate"/>
      </w:r>
      <w:r w:rsidR="00FF392B">
        <w:rPr>
          <w:noProof/>
        </w:rPr>
        <w:t>4</w:t>
      </w:r>
      <w:r w:rsidR="00B31D93">
        <w:fldChar w:fldCharType="end"/>
      </w:r>
      <w:bookmarkEnd w:id="5"/>
      <w:r>
        <w:t>: An example of RS (blue) and control channel (</w:t>
      </w:r>
      <w:r>
        <w:rPr>
          <w:noProof/>
        </w:rPr>
        <w:t>Red) design for symbol-based TTI with TTI-bundling</w:t>
      </w:r>
    </w:p>
    <w:p w:rsidR="00A743CD" w:rsidRPr="00A743CD" w:rsidRDefault="00A743CD" w:rsidP="004D3A55">
      <w:pPr>
        <w:rPr>
          <w:b/>
          <w:lang w:eastAsia="ja-JP"/>
        </w:rPr>
      </w:pPr>
    </w:p>
    <w:p w:rsidR="000859B2" w:rsidRPr="001D1EC3" w:rsidRDefault="000859B2" w:rsidP="000859B2">
      <w:pPr>
        <w:pStyle w:val="2"/>
        <w:numPr>
          <w:ilvl w:val="0"/>
          <w:numId w:val="1"/>
        </w:numPr>
        <w:rPr>
          <w:rFonts w:cs="Arial"/>
          <w:lang w:eastAsia="ja-JP"/>
        </w:rPr>
      </w:pPr>
      <w:r>
        <w:rPr>
          <w:rFonts w:cs="Arial"/>
          <w:lang w:eastAsia="ja-JP"/>
        </w:rPr>
        <w:t>Conclusion</w:t>
      </w:r>
    </w:p>
    <w:p w:rsidR="00017155" w:rsidRDefault="00380740" w:rsidP="00DF2522">
      <w:r>
        <w:t>This paper provides the preliminary system analysis of the enhancemen</w:t>
      </w:r>
      <w:r w:rsidR="00B17872">
        <w:t xml:space="preserve">ts of frame structure and D </w:t>
      </w:r>
      <w:r>
        <w:t>control channels and RS in supporting of shorten TTI for la</w:t>
      </w:r>
      <w:r w:rsidR="00B17872">
        <w:t>tency reduction.   We have the following proposals,</w:t>
      </w:r>
      <w:r>
        <w:t xml:space="preserve">  </w:t>
      </w:r>
    </w:p>
    <w:p w:rsidR="00722DAB" w:rsidRPr="00722DAB" w:rsidRDefault="00722DAB" w:rsidP="00722DAB">
      <w:pPr>
        <w:pStyle w:val="afa"/>
        <w:numPr>
          <w:ilvl w:val="0"/>
          <w:numId w:val="40"/>
        </w:numPr>
        <w:rPr>
          <w:sz w:val="20"/>
          <w:szCs w:val="20"/>
          <w:lang w:eastAsia="zh-CN"/>
        </w:rPr>
      </w:pPr>
      <w:r w:rsidRPr="00722DAB">
        <w:rPr>
          <w:sz w:val="20"/>
          <w:szCs w:val="20"/>
          <w:lang w:eastAsia="zh-CN"/>
        </w:rPr>
        <w:t xml:space="preserve">Proposal 1: Enhancements of PDCCH and EPDCCH are needed for slot-based TTI.  The potential solutions of PDCCH enhancement for slot-based TTI are cross-slot and multi-slot scheduling.  New RE mapping and slot-based DM RS is a viable </w:t>
      </w:r>
      <w:proofErr w:type="gramStart"/>
      <w:r w:rsidRPr="00722DAB">
        <w:rPr>
          <w:sz w:val="20"/>
          <w:szCs w:val="20"/>
          <w:lang w:eastAsia="zh-CN"/>
        </w:rPr>
        <w:t>solutions</w:t>
      </w:r>
      <w:proofErr w:type="gramEnd"/>
      <w:r w:rsidRPr="00722DAB">
        <w:rPr>
          <w:sz w:val="20"/>
          <w:szCs w:val="20"/>
          <w:lang w:eastAsia="zh-CN"/>
        </w:rPr>
        <w:t xml:space="preserve"> for EPDCCH enhancement for slot-based TTI.  </w:t>
      </w:r>
    </w:p>
    <w:p w:rsidR="00722DAB" w:rsidRPr="00722DAB" w:rsidRDefault="00722DAB" w:rsidP="00722DAB">
      <w:pPr>
        <w:pStyle w:val="afa"/>
        <w:numPr>
          <w:ilvl w:val="0"/>
          <w:numId w:val="40"/>
        </w:numPr>
        <w:rPr>
          <w:sz w:val="20"/>
          <w:szCs w:val="20"/>
          <w:lang w:eastAsia="ja-JP"/>
        </w:rPr>
      </w:pPr>
      <w:r w:rsidRPr="00722DAB">
        <w:rPr>
          <w:sz w:val="20"/>
          <w:szCs w:val="20"/>
          <w:lang w:eastAsia="ja-JP"/>
        </w:rPr>
        <w:t xml:space="preserve">Proposal 2:  For symbol-level TTI, new DL control channel needs to be designed with flexibility and minimizing the overhead.  </w:t>
      </w:r>
    </w:p>
    <w:p w:rsidR="00722DAB" w:rsidRPr="00722DAB" w:rsidRDefault="00722DAB" w:rsidP="00722DAB">
      <w:pPr>
        <w:pStyle w:val="afa"/>
        <w:numPr>
          <w:ilvl w:val="0"/>
          <w:numId w:val="40"/>
        </w:numPr>
        <w:rPr>
          <w:bCs/>
          <w:color w:val="000000"/>
          <w:sz w:val="20"/>
          <w:szCs w:val="20"/>
        </w:rPr>
      </w:pPr>
      <w:r w:rsidRPr="00722DAB">
        <w:rPr>
          <w:bCs/>
          <w:color w:val="000000"/>
          <w:sz w:val="20"/>
          <w:szCs w:val="20"/>
        </w:rPr>
        <w:t xml:space="preserve">Proposal 3: The UE-specific RS needs to be enhanced without OCC across the slots for PDSCH in slot-based TTI  </w:t>
      </w:r>
    </w:p>
    <w:p w:rsidR="00722DAB" w:rsidRPr="00722DAB" w:rsidRDefault="00722DAB" w:rsidP="00722DAB">
      <w:pPr>
        <w:pStyle w:val="afa"/>
        <w:numPr>
          <w:ilvl w:val="0"/>
          <w:numId w:val="40"/>
        </w:numPr>
        <w:rPr>
          <w:bCs/>
          <w:color w:val="000000"/>
          <w:sz w:val="20"/>
          <w:szCs w:val="20"/>
        </w:rPr>
      </w:pPr>
      <w:r w:rsidRPr="00722DAB">
        <w:rPr>
          <w:bCs/>
          <w:color w:val="000000"/>
          <w:sz w:val="20"/>
          <w:szCs w:val="20"/>
        </w:rPr>
        <w:t>Proposal 4: New DM RS pattern is needed for PDSCH in symbol-based TTI (1,2, 3,4 symbols)</w:t>
      </w:r>
    </w:p>
    <w:p w:rsidR="00722DAB" w:rsidRDefault="00722DAB" w:rsidP="00722DAB">
      <w:pPr>
        <w:rPr>
          <w:lang w:val="en-US" w:eastAsia="ja-JP"/>
        </w:rPr>
      </w:pPr>
    </w:p>
    <w:p w:rsidR="00B17872" w:rsidRPr="00722DAB" w:rsidRDefault="00B17872" w:rsidP="00DF2522">
      <w:pPr>
        <w:rPr>
          <w:lang w:val="en-US"/>
        </w:rPr>
      </w:pPr>
    </w:p>
    <w:p w:rsidR="00017155" w:rsidRPr="001D1EC3" w:rsidRDefault="00017155" w:rsidP="00017155">
      <w:pPr>
        <w:pStyle w:val="2"/>
        <w:numPr>
          <w:ilvl w:val="0"/>
          <w:numId w:val="1"/>
        </w:numPr>
        <w:rPr>
          <w:rFonts w:cs="Arial"/>
          <w:lang w:eastAsia="ja-JP"/>
        </w:rPr>
      </w:pPr>
      <w:r>
        <w:rPr>
          <w:rFonts w:cs="Arial"/>
          <w:lang w:eastAsia="ja-JP"/>
        </w:rPr>
        <w:t>Reference</w:t>
      </w:r>
    </w:p>
    <w:p w:rsidR="00017155" w:rsidRPr="00DF2522" w:rsidRDefault="00017155" w:rsidP="00DF2522"/>
    <w:p w:rsidR="0066736A" w:rsidRPr="00231E9F" w:rsidRDefault="0066736A" w:rsidP="00017155">
      <w:pPr>
        <w:pStyle w:val="afa"/>
        <w:numPr>
          <w:ilvl w:val="0"/>
          <w:numId w:val="29"/>
        </w:numPr>
        <w:rPr>
          <w:rFonts w:eastAsia="MS Mincho"/>
          <w:iCs/>
          <w:sz w:val="20"/>
          <w:szCs w:val="20"/>
          <w:lang w:eastAsia="ja-JP"/>
        </w:rPr>
      </w:pPr>
      <w:bookmarkStart w:id="6" w:name="_Ref434215512"/>
      <w:bookmarkStart w:id="7" w:name="_Ref430885014"/>
      <w:r w:rsidRPr="00231E9F">
        <w:rPr>
          <w:rFonts w:eastAsia="MS Mincho"/>
          <w:iCs/>
          <w:sz w:val="20"/>
          <w:szCs w:val="20"/>
          <w:lang w:eastAsia="ja-JP"/>
        </w:rPr>
        <w:t>RP-150465, “Study on Latency reduction techniques for LTE”, Ericsson, Huawei</w:t>
      </w:r>
      <w:bookmarkEnd w:id="6"/>
    </w:p>
    <w:p w:rsidR="00017155" w:rsidRDefault="0066736A" w:rsidP="00017155">
      <w:pPr>
        <w:pStyle w:val="afa"/>
        <w:numPr>
          <w:ilvl w:val="0"/>
          <w:numId w:val="29"/>
        </w:numPr>
        <w:rPr>
          <w:rFonts w:eastAsia="MS Mincho"/>
          <w:iCs/>
          <w:sz w:val="20"/>
          <w:szCs w:val="20"/>
          <w:lang w:eastAsia="ja-JP"/>
        </w:rPr>
      </w:pPr>
      <w:r w:rsidRPr="00231E9F">
        <w:rPr>
          <w:rFonts w:eastAsia="MS Mincho"/>
          <w:iCs/>
          <w:sz w:val="20"/>
          <w:szCs w:val="20"/>
          <w:lang w:eastAsia="ja-JP"/>
        </w:rPr>
        <w:t>TR36.881v0.1.3, “Study on latency reduction techniques for LTE”</w:t>
      </w:r>
      <w:bookmarkEnd w:id="7"/>
    </w:p>
    <w:p w:rsidR="00231E9F" w:rsidRPr="00231E9F" w:rsidRDefault="00231E9F" w:rsidP="00231E9F">
      <w:pPr>
        <w:pStyle w:val="afa"/>
        <w:numPr>
          <w:ilvl w:val="0"/>
          <w:numId w:val="29"/>
        </w:numPr>
        <w:rPr>
          <w:rFonts w:eastAsia="MS Mincho"/>
          <w:b/>
          <w:iCs/>
          <w:sz w:val="20"/>
          <w:szCs w:val="20"/>
          <w:lang w:eastAsia="ja-JP"/>
        </w:rPr>
      </w:pPr>
      <w:r w:rsidRPr="00231E9F">
        <w:rPr>
          <w:rFonts w:eastAsia="MS Mincho" w:hint="eastAsia"/>
          <w:iCs/>
          <w:sz w:val="20"/>
          <w:szCs w:val="20"/>
          <w:lang w:eastAsia="ja-JP"/>
        </w:rPr>
        <w:t>R1-161418</w:t>
      </w:r>
      <w:r>
        <w:rPr>
          <w:rFonts w:eastAsia="MS Mincho"/>
          <w:b/>
          <w:iCs/>
          <w:sz w:val="20"/>
          <w:szCs w:val="20"/>
          <w:lang w:eastAsia="ja-JP"/>
        </w:rPr>
        <w:t>, “</w:t>
      </w:r>
      <w:r w:rsidRPr="00231E9F">
        <w:rPr>
          <w:rFonts w:eastAsia="MS Mincho"/>
          <w:iCs/>
          <w:sz w:val="20"/>
          <w:szCs w:val="20"/>
          <w:lang w:eastAsia="ja-JP"/>
        </w:rPr>
        <w:t xml:space="preserve">WF on the shortened TTI design </w:t>
      </w:r>
      <w:r>
        <w:rPr>
          <w:rFonts w:eastAsia="MS Mincho"/>
          <w:iCs/>
          <w:sz w:val="20"/>
          <w:szCs w:val="20"/>
          <w:lang w:eastAsia="ja-JP"/>
        </w:rPr>
        <w:t xml:space="preserve">“, </w:t>
      </w:r>
      <w:r w:rsidRPr="00231E9F">
        <w:rPr>
          <w:rFonts w:eastAsia="MS Mincho"/>
          <w:iCs/>
          <w:sz w:val="20"/>
          <w:szCs w:val="20"/>
          <w:lang w:eastAsia="ja-JP"/>
        </w:rPr>
        <w:t xml:space="preserve">    LG Electronics</w:t>
      </w:r>
    </w:p>
    <w:p w:rsidR="00231E9F" w:rsidRPr="00231E9F" w:rsidRDefault="00231E9F" w:rsidP="00231E9F">
      <w:pPr>
        <w:pStyle w:val="afa"/>
        <w:numPr>
          <w:ilvl w:val="0"/>
          <w:numId w:val="29"/>
        </w:numPr>
        <w:rPr>
          <w:rFonts w:eastAsia="MS Mincho"/>
          <w:sz w:val="20"/>
          <w:szCs w:val="20"/>
          <w:lang w:eastAsia="ja-JP"/>
        </w:rPr>
      </w:pPr>
      <w:r w:rsidRPr="00231E9F">
        <w:rPr>
          <w:rFonts w:eastAsia="MS Mincho"/>
          <w:sz w:val="20"/>
          <w:szCs w:val="20"/>
          <w:lang w:eastAsia="ja-JP"/>
        </w:rPr>
        <w:t>R1-160373</w:t>
      </w:r>
      <w:r>
        <w:rPr>
          <w:rFonts w:eastAsia="MS Mincho"/>
          <w:sz w:val="20"/>
          <w:szCs w:val="20"/>
          <w:lang w:eastAsia="ja-JP"/>
        </w:rPr>
        <w:t>, “</w:t>
      </w:r>
      <w:r w:rsidRPr="00231E9F">
        <w:rPr>
          <w:rFonts w:eastAsia="MS Mincho"/>
          <w:sz w:val="20"/>
          <w:szCs w:val="20"/>
          <w:lang w:eastAsia="ja-JP"/>
        </w:rPr>
        <w:t>System Analysis of DL TTI Shortening</w:t>
      </w:r>
      <w:r>
        <w:rPr>
          <w:rFonts w:eastAsia="MS Mincho"/>
          <w:sz w:val="20"/>
          <w:szCs w:val="20"/>
          <w:lang w:eastAsia="ja-JP"/>
        </w:rPr>
        <w:t xml:space="preserve">”, </w:t>
      </w:r>
      <w:r w:rsidRPr="00231E9F">
        <w:rPr>
          <w:rFonts w:eastAsia="MS Mincho"/>
          <w:sz w:val="20"/>
          <w:szCs w:val="20"/>
          <w:lang w:eastAsia="ja-JP"/>
        </w:rPr>
        <w:t>CATT</w:t>
      </w:r>
    </w:p>
    <w:p w:rsidR="00231E9F" w:rsidRPr="00231E9F" w:rsidRDefault="00231E9F" w:rsidP="00231E9F">
      <w:pPr>
        <w:pStyle w:val="afa"/>
        <w:numPr>
          <w:ilvl w:val="0"/>
          <w:numId w:val="29"/>
        </w:numPr>
        <w:rPr>
          <w:rFonts w:eastAsia="MS Mincho"/>
          <w:sz w:val="20"/>
          <w:szCs w:val="20"/>
          <w:lang w:eastAsia="ja-JP"/>
        </w:rPr>
      </w:pPr>
      <w:r w:rsidRPr="00231E9F">
        <w:rPr>
          <w:rFonts w:eastAsia="MS Mincho"/>
          <w:sz w:val="20"/>
          <w:szCs w:val="20"/>
          <w:lang w:eastAsia="ja-JP"/>
        </w:rPr>
        <w:t>R1-160374</w:t>
      </w:r>
      <w:r>
        <w:rPr>
          <w:rFonts w:eastAsia="MS Mincho"/>
          <w:sz w:val="20"/>
          <w:szCs w:val="20"/>
          <w:lang w:eastAsia="ja-JP"/>
        </w:rPr>
        <w:t>, “</w:t>
      </w:r>
      <w:r w:rsidRPr="00231E9F">
        <w:rPr>
          <w:rFonts w:eastAsia="MS Mincho"/>
          <w:sz w:val="20"/>
          <w:szCs w:val="20"/>
          <w:lang w:eastAsia="ja-JP"/>
        </w:rPr>
        <w:t>TDD Delay Analysis and Challenges in the TTI shortening</w:t>
      </w:r>
      <w:r>
        <w:rPr>
          <w:rFonts w:eastAsia="MS Mincho"/>
          <w:sz w:val="20"/>
          <w:szCs w:val="20"/>
          <w:lang w:eastAsia="ja-JP"/>
        </w:rPr>
        <w:t xml:space="preserve">”, </w:t>
      </w:r>
      <w:r w:rsidRPr="00231E9F">
        <w:rPr>
          <w:rFonts w:eastAsia="MS Mincho"/>
          <w:sz w:val="20"/>
          <w:szCs w:val="20"/>
          <w:lang w:eastAsia="ja-JP"/>
        </w:rPr>
        <w:t>CATT</w:t>
      </w:r>
    </w:p>
    <w:p w:rsidR="00231E9F" w:rsidRPr="00231E9F" w:rsidRDefault="00231E9F" w:rsidP="00231E9F">
      <w:pPr>
        <w:pStyle w:val="afa"/>
        <w:ind w:left="420"/>
        <w:rPr>
          <w:rFonts w:eastAsia="MS Mincho"/>
          <w:iCs/>
          <w:sz w:val="20"/>
          <w:szCs w:val="20"/>
          <w:lang w:eastAsia="ja-JP"/>
        </w:rPr>
      </w:pPr>
    </w:p>
    <w:p w:rsidR="00E42E42" w:rsidRPr="00017155" w:rsidRDefault="00E42E42" w:rsidP="00DF2522">
      <w:pPr>
        <w:rPr>
          <w:b/>
        </w:rPr>
      </w:pPr>
    </w:p>
    <w:sectPr w:rsidR="00E42E42" w:rsidRPr="00017155" w:rsidSect="002D51E6">
      <w:headerReference w:type="default" r:id="rId13"/>
      <w:foot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1266" w:rsidRDefault="00101266">
      <w:r>
        <w:separator/>
      </w:r>
    </w:p>
  </w:endnote>
  <w:endnote w:type="continuationSeparator" w:id="0">
    <w:p w:rsidR="00101266" w:rsidRDefault="0010126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55">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Times New Roman"/>
    <w:panose1 w:val="02010600030101010101"/>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B31D93"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B31D93"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231E9F">
      <w:rPr>
        <w:rStyle w:val="af6"/>
      </w:rPr>
      <w:t>4</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1266" w:rsidRDefault="00101266">
      <w:r>
        <w:separator/>
      </w:r>
    </w:p>
  </w:footnote>
  <w:footnote w:type="continuationSeparator" w:id="0">
    <w:p w:rsidR="00101266" w:rsidRDefault="001012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6.1pt;height:16.1pt" o:bullet="t">
        <v:imagedata r:id="rId1" o:title="art10"/>
      </v:shape>
    </w:pict>
  </w:numPicBullet>
  <w:abstractNum w:abstractNumId="0">
    <w:nsid w:val="05CA4FF3"/>
    <w:multiLevelType w:val="hybridMultilevel"/>
    <w:tmpl w:val="D7AC8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7316C8"/>
    <w:multiLevelType w:val="hybridMultilevel"/>
    <w:tmpl w:val="4754C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6B30CD"/>
    <w:multiLevelType w:val="hybridMultilevel"/>
    <w:tmpl w:val="ED127CDE"/>
    <w:lvl w:ilvl="0" w:tplc="F57072C8">
      <w:start w:val="1"/>
      <w:numFmt w:val="bullet"/>
      <w:lvlText w:val="–"/>
      <w:lvlJc w:val="left"/>
      <w:pPr>
        <w:tabs>
          <w:tab w:val="num" w:pos="720"/>
        </w:tabs>
        <w:ind w:left="720" w:hanging="360"/>
      </w:pPr>
      <w:rPr>
        <w:rFonts w:ascii="Arial" w:hAnsi="Arial" w:hint="default"/>
      </w:rPr>
    </w:lvl>
    <w:lvl w:ilvl="1" w:tplc="EF02BF2A">
      <w:start w:val="1"/>
      <w:numFmt w:val="bullet"/>
      <w:lvlText w:val="–"/>
      <w:lvlJc w:val="left"/>
      <w:pPr>
        <w:tabs>
          <w:tab w:val="num" w:pos="1440"/>
        </w:tabs>
        <w:ind w:left="1440" w:hanging="360"/>
      </w:pPr>
      <w:rPr>
        <w:rFonts w:ascii="Arial" w:hAnsi="Arial" w:hint="default"/>
      </w:rPr>
    </w:lvl>
    <w:lvl w:ilvl="2" w:tplc="1E46DA06" w:tentative="1">
      <w:start w:val="1"/>
      <w:numFmt w:val="bullet"/>
      <w:lvlText w:val="–"/>
      <w:lvlJc w:val="left"/>
      <w:pPr>
        <w:tabs>
          <w:tab w:val="num" w:pos="2160"/>
        </w:tabs>
        <w:ind w:left="2160" w:hanging="360"/>
      </w:pPr>
      <w:rPr>
        <w:rFonts w:ascii="Arial" w:hAnsi="Arial" w:hint="default"/>
      </w:rPr>
    </w:lvl>
    <w:lvl w:ilvl="3" w:tplc="B684598E" w:tentative="1">
      <w:start w:val="1"/>
      <w:numFmt w:val="bullet"/>
      <w:lvlText w:val="–"/>
      <w:lvlJc w:val="left"/>
      <w:pPr>
        <w:tabs>
          <w:tab w:val="num" w:pos="2880"/>
        </w:tabs>
        <w:ind w:left="2880" w:hanging="360"/>
      </w:pPr>
      <w:rPr>
        <w:rFonts w:ascii="Arial" w:hAnsi="Arial" w:hint="default"/>
      </w:rPr>
    </w:lvl>
    <w:lvl w:ilvl="4" w:tplc="0C3CB8CC" w:tentative="1">
      <w:start w:val="1"/>
      <w:numFmt w:val="bullet"/>
      <w:lvlText w:val="–"/>
      <w:lvlJc w:val="left"/>
      <w:pPr>
        <w:tabs>
          <w:tab w:val="num" w:pos="3600"/>
        </w:tabs>
        <w:ind w:left="3600" w:hanging="360"/>
      </w:pPr>
      <w:rPr>
        <w:rFonts w:ascii="Arial" w:hAnsi="Arial" w:hint="default"/>
      </w:rPr>
    </w:lvl>
    <w:lvl w:ilvl="5" w:tplc="E432FB2E" w:tentative="1">
      <w:start w:val="1"/>
      <w:numFmt w:val="bullet"/>
      <w:lvlText w:val="–"/>
      <w:lvlJc w:val="left"/>
      <w:pPr>
        <w:tabs>
          <w:tab w:val="num" w:pos="4320"/>
        </w:tabs>
        <w:ind w:left="4320" w:hanging="360"/>
      </w:pPr>
      <w:rPr>
        <w:rFonts w:ascii="Arial" w:hAnsi="Arial" w:hint="default"/>
      </w:rPr>
    </w:lvl>
    <w:lvl w:ilvl="6" w:tplc="99B65650" w:tentative="1">
      <w:start w:val="1"/>
      <w:numFmt w:val="bullet"/>
      <w:lvlText w:val="–"/>
      <w:lvlJc w:val="left"/>
      <w:pPr>
        <w:tabs>
          <w:tab w:val="num" w:pos="5040"/>
        </w:tabs>
        <w:ind w:left="5040" w:hanging="360"/>
      </w:pPr>
      <w:rPr>
        <w:rFonts w:ascii="Arial" w:hAnsi="Arial" w:hint="default"/>
      </w:rPr>
    </w:lvl>
    <w:lvl w:ilvl="7" w:tplc="9BB84DDE" w:tentative="1">
      <w:start w:val="1"/>
      <w:numFmt w:val="bullet"/>
      <w:lvlText w:val="–"/>
      <w:lvlJc w:val="left"/>
      <w:pPr>
        <w:tabs>
          <w:tab w:val="num" w:pos="5760"/>
        </w:tabs>
        <w:ind w:left="5760" w:hanging="360"/>
      </w:pPr>
      <w:rPr>
        <w:rFonts w:ascii="Arial" w:hAnsi="Arial" w:hint="default"/>
      </w:rPr>
    </w:lvl>
    <w:lvl w:ilvl="8" w:tplc="D5D01612" w:tentative="1">
      <w:start w:val="1"/>
      <w:numFmt w:val="bullet"/>
      <w:lvlText w:val="–"/>
      <w:lvlJc w:val="left"/>
      <w:pPr>
        <w:tabs>
          <w:tab w:val="num" w:pos="6480"/>
        </w:tabs>
        <w:ind w:left="6480" w:hanging="360"/>
      </w:pPr>
      <w:rPr>
        <w:rFonts w:ascii="Arial" w:hAnsi="Arial" w:hint="default"/>
      </w:rPr>
    </w:lvl>
  </w:abstractNum>
  <w:abstractNum w:abstractNumId="3">
    <w:nsid w:val="0D3675BB"/>
    <w:multiLevelType w:val="hybridMultilevel"/>
    <w:tmpl w:val="306877EE"/>
    <w:lvl w:ilvl="0" w:tplc="4ABA58C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253CE7"/>
    <w:multiLevelType w:val="hybridMultilevel"/>
    <w:tmpl w:val="30D60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1652EA"/>
    <w:multiLevelType w:val="hybridMultilevel"/>
    <w:tmpl w:val="D0F4D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A30312"/>
    <w:multiLevelType w:val="hybridMultilevel"/>
    <w:tmpl w:val="D46CC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C447CD"/>
    <w:multiLevelType w:val="hybridMultilevel"/>
    <w:tmpl w:val="AC082AB6"/>
    <w:lvl w:ilvl="0" w:tplc="D75C8F48">
      <w:start w:val="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0A10BA"/>
    <w:multiLevelType w:val="hybridMultilevel"/>
    <w:tmpl w:val="EE9690D8"/>
    <w:lvl w:ilvl="0" w:tplc="D75C8F48">
      <w:start w:val="4"/>
      <w:numFmt w:val="bullet"/>
      <w:lvlText w:val="•"/>
      <w:lvlJc w:val="left"/>
      <w:pPr>
        <w:ind w:left="720" w:hanging="360"/>
      </w:pPr>
      <w:rPr>
        <w:rFonts w:ascii="Times New Roman" w:eastAsia="MS Mincho" w:hAnsi="Times New Roman" w:cs="Times New Roman" w:hint="default"/>
      </w:rPr>
    </w:lvl>
    <w:lvl w:ilvl="1" w:tplc="23944D74">
      <w:start w:val="4"/>
      <w:numFmt w:val="bullet"/>
      <w:lvlText w:val=""/>
      <w:lvlJc w:val="left"/>
      <w:pPr>
        <w:ind w:left="1440" w:hanging="360"/>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0D1AC7"/>
    <w:multiLevelType w:val="hybridMultilevel"/>
    <w:tmpl w:val="07F6ED32"/>
    <w:lvl w:ilvl="0" w:tplc="6F2E97FC">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0">
    <w:nsid w:val="200643AE"/>
    <w:multiLevelType w:val="hybridMultilevel"/>
    <w:tmpl w:val="C6FAEFD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796DBB"/>
    <w:multiLevelType w:val="hybridMultilevel"/>
    <w:tmpl w:val="B8ECED22"/>
    <w:lvl w:ilvl="0" w:tplc="61DE0BA0">
      <w:start w:val="7"/>
      <w:numFmt w:val="bullet"/>
      <w:lvlText w:val="-"/>
      <w:lvlJc w:val="left"/>
      <w:pPr>
        <w:tabs>
          <w:tab w:val="num" w:pos="720"/>
        </w:tabs>
        <w:ind w:left="720" w:hanging="360"/>
      </w:pPr>
      <w:rPr>
        <w:rFonts w:ascii="Times" w:eastAsia="Batang" w:hAnsi="Times" w:cs="Univers 55"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28B273D4"/>
    <w:multiLevelType w:val="hybridMultilevel"/>
    <w:tmpl w:val="306877EE"/>
    <w:lvl w:ilvl="0" w:tplc="4ABA58C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E35D08"/>
    <w:multiLevelType w:val="hybridMultilevel"/>
    <w:tmpl w:val="714CD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4C586D"/>
    <w:multiLevelType w:val="hybridMultilevel"/>
    <w:tmpl w:val="D76CE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55A6D96"/>
    <w:multiLevelType w:val="hybridMultilevel"/>
    <w:tmpl w:val="78BA0E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740A26"/>
    <w:multiLevelType w:val="hybridMultilevel"/>
    <w:tmpl w:val="585A0134"/>
    <w:lvl w:ilvl="0" w:tplc="081EE0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FFA2989"/>
    <w:multiLevelType w:val="hybridMultilevel"/>
    <w:tmpl w:val="3282F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288305C"/>
    <w:multiLevelType w:val="hybridMultilevel"/>
    <w:tmpl w:val="E24E7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4EB3A8F"/>
    <w:multiLevelType w:val="hybridMultilevel"/>
    <w:tmpl w:val="2E42E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519019A"/>
    <w:multiLevelType w:val="hybridMultilevel"/>
    <w:tmpl w:val="5C56A40E"/>
    <w:lvl w:ilvl="0" w:tplc="1FCADDB2">
      <w:start w:val="1"/>
      <w:numFmt w:val="bullet"/>
      <w:lvlText w:val="•"/>
      <w:lvlJc w:val="left"/>
      <w:pPr>
        <w:tabs>
          <w:tab w:val="num" w:pos="720"/>
        </w:tabs>
        <w:ind w:left="720" w:hanging="360"/>
      </w:pPr>
      <w:rPr>
        <w:rFonts w:ascii="Arial" w:hAnsi="Arial" w:hint="default"/>
      </w:rPr>
    </w:lvl>
    <w:lvl w:ilvl="1" w:tplc="8FAC5A26">
      <w:start w:val="1603"/>
      <w:numFmt w:val="bullet"/>
      <w:lvlText w:val="–"/>
      <w:lvlJc w:val="left"/>
      <w:pPr>
        <w:tabs>
          <w:tab w:val="num" w:pos="1440"/>
        </w:tabs>
        <w:ind w:left="1440" w:hanging="360"/>
      </w:pPr>
      <w:rPr>
        <w:rFonts w:ascii="Arial" w:hAnsi="Arial" w:hint="default"/>
      </w:rPr>
    </w:lvl>
    <w:lvl w:ilvl="2" w:tplc="CEAC13C6">
      <w:start w:val="1603"/>
      <w:numFmt w:val="bullet"/>
      <w:lvlText w:val="•"/>
      <w:lvlJc w:val="left"/>
      <w:pPr>
        <w:tabs>
          <w:tab w:val="num" w:pos="2160"/>
        </w:tabs>
        <w:ind w:left="2160" w:hanging="360"/>
      </w:pPr>
      <w:rPr>
        <w:rFonts w:ascii="Arial" w:hAnsi="Arial" w:hint="default"/>
      </w:rPr>
    </w:lvl>
    <w:lvl w:ilvl="3" w:tplc="E7A4FF08">
      <w:start w:val="1603"/>
      <w:numFmt w:val="bullet"/>
      <w:lvlText w:val="–"/>
      <w:lvlJc w:val="left"/>
      <w:pPr>
        <w:tabs>
          <w:tab w:val="num" w:pos="2880"/>
        </w:tabs>
        <w:ind w:left="2880" w:hanging="360"/>
      </w:pPr>
      <w:rPr>
        <w:rFonts w:ascii="Arial" w:hAnsi="Arial" w:hint="default"/>
      </w:rPr>
    </w:lvl>
    <w:lvl w:ilvl="4" w:tplc="9B1E7E76" w:tentative="1">
      <w:start w:val="1"/>
      <w:numFmt w:val="bullet"/>
      <w:lvlText w:val="•"/>
      <w:lvlJc w:val="left"/>
      <w:pPr>
        <w:tabs>
          <w:tab w:val="num" w:pos="3600"/>
        </w:tabs>
        <w:ind w:left="3600" w:hanging="360"/>
      </w:pPr>
      <w:rPr>
        <w:rFonts w:ascii="Arial" w:hAnsi="Arial" w:hint="default"/>
      </w:rPr>
    </w:lvl>
    <w:lvl w:ilvl="5" w:tplc="FD844932" w:tentative="1">
      <w:start w:val="1"/>
      <w:numFmt w:val="bullet"/>
      <w:lvlText w:val="•"/>
      <w:lvlJc w:val="left"/>
      <w:pPr>
        <w:tabs>
          <w:tab w:val="num" w:pos="4320"/>
        </w:tabs>
        <w:ind w:left="4320" w:hanging="360"/>
      </w:pPr>
      <w:rPr>
        <w:rFonts w:ascii="Arial" w:hAnsi="Arial" w:hint="default"/>
      </w:rPr>
    </w:lvl>
    <w:lvl w:ilvl="6" w:tplc="6C2C44C2" w:tentative="1">
      <w:start w:val="1"/>
      <w:numFmt w:val="bullet"/>
      <w:lvlText w:val="•"/>
      <w:lvlJc w:val="left"/>
      <w:pPr>
        <w:tabs>
          <w:tab w:val="num" w:pos="5040"/>
        </w:tabs>
        <w:ind w:left="5040" w:hanging="360"/>
      </w:pPr>
      <w:rPr>
        <w:rFonts w:ascii="Arial" w:hAnsi="Arial" w:hint="default"/>
      </w:rPr>
    </w:lvl>
    <w:lvl w:ilvl="7" w:tplc="1FAC8A44" w:tentative="1">
      <w:start w:val="1"/>
      <w:numFmt w:val="bullet"/>
      <w:lvlText w:val="•"/>
      <w:lvlJc w:val="left"/>
      <w:pPr>
        <w:tabs>
          <w:tab w:val="num" w:pos="5760"/>
        </w:tabs>
        <w:ind w:left="5760" w:hanging="360"/>
      </w:pPr>
      <w:rPr>
        <w:rFonts w:ascii="Arial" w:hAnsi="Arial" w:hint="default"/>
      </w:rPr>
    </w:lvl>
    <w:lvl w:ilvl="8" w:tplc="E99A76EA" w:tentative="1">
      <w:start w:val="1"/>
      <w:numFmt w:val="bullet"/>
      <w:lvlText w:val="•"/>
      <w:lvlJc w:val="left"/>
      <w:pPr>
        <w:tabs>
          <w:tab w:val="num" w:pos="6480"/>
        </w:tabs>
        <w:ind w:left="6480" w:hanging="360"/>
      </w:pPr>
      <w:rPr>
        <w:rFonts w:ascii="Arial" w:hAnsi="Arial" w:hint="default"/>
      </w:rPr>
    </w:lvl>
  </w:abstractNum>
  <w:abstractNum w:abstractNumId="21">
    <w:nsid w:val="45F45AEF"/>
    <w:multiLevelType w:val="hybridMultilevel"/>
    <w:tmpl w:val="6D9A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6F429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496326A0"/>
    <w:multiLevelType w:val="hybridMultilevel"/>
    <w:tmpl w:val="6AA0F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96473F"/>
    <w:multiLevelType w:val="hybridMultilevel"/>
    <w:tmpl w:val="4B3809C8"/>
    <w:lvl w:ilvl="0" w:tplc="24B460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0E81229"/>
    <w:multiLevelType w:val="hybridMultilevel"/>
    <w:tmpl w:val="C5107C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38E2706"/>
    <w:multiLevelType w:val="hybridMultilevel"/>
    <w:tmpl w:val="8F08936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7">
    <w:nsid w:val="53A94D60"/>
    <w:multiLevelType w:val="hybridMultilevel"/>
    <w:tmpl w:val="2F0406B0"/>
    <w:lvl w:ilvl="0" w:tplc="EC287F16">
      <w:start w:val="1"/>
      <w:numFmt w:val="bullet"/>
      <w:lvlText w:val="•"/>
      <w:lvlJc w:val="left"/>
      <w:pPr>
        <w:tabs>
          <w:tab w:val="num" w:pos="720"/>
        </w:tabs>
        <w:ind w:left="720" w:hanging="360"/>
      </w:pPr>
      <w:rPr>
        <w:rFonts w:ascii="Arial" w:hAnsi="Arial" w:hint="default"/>
      </w:rPr>
    </w:lvl>
    <w:lvl w:ilvl="1" w:tplc="1234D688">
      <w:start w:val="6950"/>
      <w:numFmt w:val="bullet"/>
      <w:lvlText w:val="–"/>
      <w:lvlJc w:val="left"/>
      <w:pPr>
        <w:tabs>
          <w:tab w:val="num" w:pos="1440"/>
        </w:tabs>
        <w:ind w:left="1440" w:hanging="360"/>
      </w:pPr>
      <w:rPr>
        <w:rFonts w:ascii="Arial" w:hAnsi="Arial" w:hint="default"/>
      </w:rPr>
    </w:lvl>
    <w:lvl w:ilvl="2" w:tplc="C1E60FC4">
      <w:start w:val="6950"/>
      <w:numFmt w:val="bullet"/>
      <w:lvlText w:val="•"/>
      <w:lvlJc w:val="left"/>
      <w:pPr>
        <w:tabs>
          <w:tab w:val="num" w:pos="2160"/>
        </w:tabs>
        <w:ind w:left="2160" w:hanging="360"/>
      </w:pPr>
      <w:rPr>
        <w:rFonts w:ascii="Arial" w:hAnsi="Arial" w:hint="default"/>
      </w:rPr>
    </w:lvl>
    <w:lvl w:ilvl="3" w:tplc="0FF0B644">
      <w:start w:val="1"/>
      <w:numFmt w:val="bullet"/>
      <w:lvlText w:val="•"/>
      <w:lvlJc w:val="left"/>
      <w:pPr>
        <w:tabs>
          <w:tab w:val="num" w:pos="2880"/>
        </w:tabs>
        <w:ind w:left="2880" w:hanging="360"/>
      </w:pPr>
      <w:rPr>
        <w:rFonts w:ascii="Arial" w:hAnsi="Arial" w:hint="default"/>
      </w:rPr>
    </w:lvl>
    <w:lvl w:ilvl="4" w:tplc="F3BADAB0" w:tentative="1">
      <w:start w:val="1"/>
      <w:numFmt w:val="bullet"/>
      <w:lvlText w:val="•"/>
      <w:lvlJc w:val="left"/>
      <w:pPr>
        <w:tabs>
          <w:tab w:val="num" w:pos="3600"/>
        </w:tabs>
        <w:ind w:left="3600" w:hanging="360"/>
      </w:pPr>
      <w:rPr>
        <w:rFonts w:ascii="Arial" w:hAnsi="Arial" w:hint="default"/>
      </w:rPr>
    </w:lvl>
    <w:lvl w:ilvl="5" w:tplc="38EE4D36" w:tentative="1">
      <w:start w:val="1"/>
      <w:numFmt w:val="bullet"/>
      <w:lvlText w:val="•"/>
      <w:lvlJc w:val="left"/>
      <w:pPr>
        <w:tabs>
          <w:tab w:val="num" w:pos="4320"/>
        </w:tabs>
        <w:ind w:left="4320" w:hanging="360"/>
      </w:pPr>
      <w:rPr>
        <w:rFonts w:ascii="Arial" w:hAnsi="Arial" w:hint="default"/>
      </w:rPr>
    </w:lvl>
    <w:lvl w:ilvl="6" w:tplc="6E52E28A" w:tentative="1">
      <w:start w:val="1"/>
      <w:numFmt w:val="bullet"/>
      <w:lvlText w:val="•"/>
      <w:lvlJc w:val="left"/>
      <w:pPr>
        <w:tabs>
          <w:tab w:val="num" w:pos="5040"/>
        </w:tabs>
        <w:ind w:left="5040" w:hanging="360"/>
      </w:pPr>
      <w:rPr>
        <w:rFonts w:ascii="Arial" w:hAnsi="Arial" w:hint="default"/>
      </w:rPr>
    </w:lvl>
    <w:lvl w:ilvl="7" w:tplc="5C16547C" w:tentative="1">
      <w:start w:val="1"/>
      <w:numFmt w:val="bullet"/>
      <w:lvlText w:val="•"/>
      <w:lvlJc w:val="left"/>
      <w:pPr>
        <w:tabs>
          <w:tab w:val="num" w:pos="5760"/>
        </w:tabs>
        <w:ind w:left="5760" w:hanging="360"/>
      </w:pPr>
      <w:rPr>
        <w:rFonts w:ascii="Arial" w:hAnsi="Arial" w:hint="default"/>
      </w:rPr>
    </w:lvl>
    <w:lvl w:ilvl="8" w:tplc="8CBA57EE" w:tentative="1">
      <w:start w:val="1"/>
      <w:numFmt w:val="bullet"/>
      <w:lvlText w:val="•"/>
      <w:lvlJc w:val="left"/>
      <w:pPr>
        <w:tabs>
          <w:tab w:val="num" w:pos="6480"/>
        </w:tabs>
        <w:ind w:left="6480" w:hanging="360"/>
      </w:pPr>
      <w:rPr>
        <w:rFonts w:ascii="Arial" w:hAnsi="Arial" w:hint="default"/>
      </w:rPr>
    </w:lvl>
  </w:abstractNum>
  <w:abstractNum w:abstractNumId="28">
    <w:nsid w:val="54D77D3E"/>
    <w:multiLevelType w:val="hybridMultilevel"/>
    <w:tmpl w:val="0172B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5C4E5771"/>
    <w:multiLevelType w:val="hybridMultilevel"/>
    <w:tmpl w:val="C8C49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E37928"/>
    <w:multiLevelType w:val="hybridMultilevel"/>
    <w:tmpl w:val="F036FBBC"/>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2">
    <w:nsid w:val="66CA2909"/>
    <w:multiLevelType w:val="hybridMultilevel"/>
    <w:tmpl w:val="CE648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7CD7832"/>
    <w:multiLevelType w:val="hybridMultilevel"/>
    <w:tmpl w:val="CDA83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8706A58"/>
    <w:multiLevelType w:val="hybridMultilevel"/>
    <w:tmpl w:val="FDEAA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9E4169E"/>
    <w:multiLevelType w:val="hybridMultilevel"/>
    <w:tmpl w:val="A91C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C0F3A9F"/>
    <w:multiLevelType w:val="hybridMultilevel"/>
    <w:tmpl w:val="B8589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C1B151C"/>
    <w:multiLevelType w:val="hybridMultilevel"/>
    <w:tmpl w:val="1EA4C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F13725D"/>
    <w:multiLevelType w:val="hybridMultilevel"/>
    <w:tmpl w:val="7A9AE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10B111C"/>
    <w:multiLevelType w:val="hybridMultilevel"/>
    <w:tmpl w:val="08F64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13311D1"/>
    <w:multiLevelType w:val="hybridMultilevel"/>
    <w:tmpl w:val="3488C21C"/>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41">
    <w:nsid w:val="76630665"/>
    <w:multiLevelType w:val="hybridMultilevel"/>
    <w:tmpl w:val="FF54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7735787"/>
    <w:multiLevelType w:val="hybridMultilevel"/>
    <w:tmpl w:val="4C1A07C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7B76E55"/>
    <w:multiLevelType w:val="hybridMultilevel"/>
    <w:tmpl w:val="F1D05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7E153EA"/>
    <w:multiLevelType w:val="hybridMultilevel"/>
    <w:tmpl w:val="04709CE2"/>
    <w:lvl w:ilvl="0" w:tplc="F7C602AE">
      <w:start w:val="1"/>
      <w:numFmt w:val="bullet"/>
      <w:lvlText w:val="•"/>
      <w:lvlJc w:val="left"/>
      <w:pPr>
        <w:tabs>
          <w:tab w:val="num" w:pos="720"/>
        </w:tabs>
        <w:ind w:left="720" w:hanging="360"/>
      </w:pPr>
      <w:rPr>
        <w:rFonts w:ascii="Arial" w:hAnsi="Arial" w:hint="default"/>
      </w:rPr>
    </w:lvl>
    <w:lvl w:ilvl="1" w:tplc="0FB2752E">
      <w:start w:val="1140"/>
      <w:numFmt w:val="bullet"/>
      <w:lvlText w:val="–"/>
      <w:lvlJc w:val="left"/>
      <w:pPr>
        <w:tabs>
          <w:tab w:val="num" w:pos="1440"/>
        </w:tabs>
        <w:ind w:left="1440" w:hanging="360"/>
      </w:pPr>
      <w:rPr>
        <w:rFonts w:ascii="Arial" w:hAnsi="Arial" w:hint="default"/>
      </w:rPr>
    </w:lvl>
    <w:lvl w:ilvl="2" w:tplc="D1C882AC">
      <w:start w:val="1140"/>
      <w:numFmt w:val="bullet"/>
      <w:lvlText w:val="•"/>
      <w:lvlJc w:val="left"/>
      <w:pPr>
        <w:tabs>
          <w:tab w:val="num" w:pos="2160"/>
        </w:tabs>
        <w:ind w:left="2160" w:hanging="360"/>
      </w:pPr>
      <w:rPr>
        <w:rFonts w:ascii="Arial" w:hAnsi="Arial" w:hint="default"/>
      </w:rPr>
    </w:lvl>
    <w:lvl w:ilvl="3" w:tplc="6B1CA8B2" w:tentative="1">
      <w:start w:val="1"/>
      <w:numFmt w:val="bullet"/>
      <w:lvlText w:val="•"/>
      <w:lvlJc w:val="left"/>
      <w:pPr>
        <w:tabs>
          <w:tab w:val="num" w:pos="2880"/>
        </w:tabs>
        <w:ind w:left="2880" w:hanging="360"/>
      </w:pPr>
      <w:rPr>
        <w:rFonts w:ascii="Arial" w:hAnsi="Arial" w:hint="default"/>
      </w:rPr>
    </w:lvl>
    <w:lvl w:ilvl="4" w:tplc="3BAEF24E" w:tentative="1">
      <w:start w:val="1"/>
      <w:numFmt w:val="bullet"/>
      <w:lvlText w:val="•"/>
      <w:lvlJc w:val="left"/>
      <w:pPr>
        <w:tabs>
          <w:tab w:val="num" w:pos="3600"/>
        </w:tabs>
        <w:ind w:left="3600" w:hanging="360"/>
      </w:pPr>
      <w:rPr>
        <w:rFonts w:ascii="Arial" w:hAnsi="Arial" w:hint="default"/>
      </w:rPr>
    </w:lvl>
    <w:lvl w:ilvl="5" w:tplc="3DBCD57E" w:tentative="1">
      <w:start w:val="1"/>
      <w:numFmt w:val="bullet"/>
      <w:lvlText w:val="•"/>
      <w:lvlJc w:val="left"/>
      <w:pPr>
        <w:tabs>
          <w:tab w:val="num" w:pos="4320"/>
        </w:tabs>
        <w:ind w:left="4320" w:hanging="360"/>
      </w:pPr>
      <w:rPr>
        <w:rFonts w:ascii="Arial" w:hAnsi="Arial" w:hint="default"/>
      </w:rPr>
    </w:lvl>
    <w:lvl w:ilvl="6" w:tplc="DA70A9E2" w:tentative="1">
      <w:start w:val="1"/>
      <w:numFmt w:val="bullet"/>
      <w:lvlText w:val="•"/>
      <w:lvlJc w:val="left"/>
      <w:pPr>
        <w:tabs>
          <w:tab w:val="num" w:pos="5040"/>
        </w:tabs>
        <w:ind w:left="5040" w:hanging="360"/>
      </w:pPr>
      <w:rPr>
        <w:rFonts w:ascii="Arial" w:hAnsi="Arial" w:hint="default"/>
      </w:rPr>
    </w:lvl>
    <w:lvl w:ilvl="7" w:tplc="B55C39EC" w:tentative="1">
      <w:start w:val="1"/>
      <w:numFmt w:val="bullet"/>
      <w:lvlText w:val="•"/>
      <w:lvlJc w:val="left"/>
      <w:pPr>
        <w:tabs>
          <w:tab w:val="num" w:pos="5760"/>
        </w:tabs>
        <w:ind w:left="5760" w:hanging="360"/>
      </w:pPr>
      <w:rPr>
        <w:rFonts w:ascii="Arial" w:hAnsi="Arial" w:hint="default"/>
      </w:rPr>
    </w:lvl>
    <w:lvl w:ilvl="8" w:tplc="6CBCE66E" w:tentative="1">
      <w:start w:val="1"/>
      <w:numFmt w:val="bullet"/>
      <w:lvlText w:val="•"/>
      <w:lvlJc w:val="left"/>
      <w:pPr>
        <w:tabs>
          <w:tab w:val="num" w:pos="6480"/>
        </w:tabs>
        <w:ind w:left="6480" w:hanging="360"/>
      </w:pPr>
      <w:rPr>
        <w:rFonts w:ascii="Arial" w:hAnsi="Arial" w:hint="default"/>
      </w:rPr>
    </w:lvl>
  </w:abstractNum>
  <w:abstractNum w:abstractNumId="45">
    <w:nsid w:val="7CF92156"/>
    <w:multiLevelType w:val="hybridMultilevel"/>
    <w:tmpl w:val="2774DA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0"/>
  </w:num>
  <w:num w:numId="2">
    <w:abstractNumId w:val="19"/>
  </w:num>
  <w:num w:numId="3">
    <w:abstractNumId w:val="6"/>
  </w:num>
  <w:num w:numId="4">
    <w:abstractNumId w:val="0"/>
  </w:num>
  <w:num w:numId="5">
    <w:abstractNumId w:val="37"/>
  </w:num>
  <w:num w:numId="6">
    <w:abstractNumId w:val="43"/>
  </w:num>
  <w:num w:numId="7">
    <w:abstractNumId w:val="39"/>
  </w:num>
  <w:num w:numId="8">
    <w:abstractNumId w:val="34"/>
  </w:num>
  <w:num w:numId="9">
    <w:abstractNumId w:val="38"/>
  </w:num>
  <w:num w:numId="10">
    <w:abstractNumId w:val="41"/>
  </w:num>
  <w:num w:numId="11">
    <w:abstractNumId w:val="42"/>
  </w:num>
  <w:num w:numId="12">
    <w:abstractNumId w:val="21"/>
  </w:num>
  <w:num w:numId="13">
    <w:abstractNumId w:val="4"/>
  </w:num>
  <w:num w:numId="14">
    <w:abstractNumId w:val="35"/>
  </w:num>
  <w:num w:numId="15">
    <w:abstractNumId w:val="33"/>
  </w:num>
  <w:num w:numId="16">
    <w:abstractNumId w:val="45"/>
  </w:num>
  <w:num w:numId="17">
    <w:abstractNumId w:val="1"/>
  </w:num>
  <w:num w:numId="18">
    <w:abstractNumId w:val="13"/>
  </w:num>
  <w:num w:numId="19">
    <w:abstractNumId w:val="31"/>
  </w:num>
  <w:num w:numId="20">
    <w:abstractNumId w:val="26"/>
  </w:num>
  <w:num w:numId="21">
    <w:abstractNumId w:val="15"/>
  </w:num>
  <w:num w:numId="22">
    <w:abstractNumId w:val="5"/>
  </w:num>
  <w:num w:numId="23">
    <w:abstractNumId w:val="18"/>
  </w:num>
  <w:num w:numId="24">
    <w:abstractNumId w:val="14"/>
  </w:num>
  <w:num w:numId="25">
    <w:abstractNumId w:val="2"/>
  </w:num>
  <w:num w:numId="26">
    <w:abstractNumId w:val="30"/>
  </w:num>
  <w:num w:numId="27">
    <w:abstractNumId w:val="25"/>
  </w:num>
  <w:num w:numId="28">
    <w:abstractNumId w:val="28"/>
  </w:num>
  <w:num w:numId="29">
    <w:abstractNumId w:val="9"/>
  </w:num>
  <w:num w:numId="30">
    <w:abstractNumId w:val="11"/>
  </w:num>
  <w:num w:numId="31">
    <w:abstractNumId w:val="36"/>
  </w:num>
  <w:num w:numId="32">
    <w:abstractNumId w:val="22"/>
  </w:num>
  <w:num w:numId="33">
    <w:abstractNumId w:val="29"/>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7"/>
  </w:num>
  <w:num w:numId="37">
    <w:abstractNumId w:val="8"/>
  </w:num>
  <w:num w:numId="38">
    <w:abstractNumId w:val="12"/>
  </w:num>
  <w:num w:numId="39">
    <w:abstractNumId w:val="20"/>
  </w:num>
  <w:num w:numId="40">
    <w:abstractNumId w:val="23"/>
  </w:num>
  <w:num w:numId="41">
    <w:abstractNumId w:val="44"/>
  </w:num>
  <w:num w:numId="42">
    <w:abstractNumId w:val="7"/>
  </w:num>
  <w:num w:numId="43">
    <w:abstractNumId w:val="16"/>
  </w:num>
  <w:num w:numId="44">
    <w:abstractNumId w:val="24"/>
  </w:num>
  <w:num w:numId="45">
    <w:abstractNumId w:val="32"/>
  </w:num>
  <w:num w:numId="46">
    <w:abstractNumId w:val="27"/>
  </w:num>
  <w:num w:numId="47">
    <w:abstractNumId w:val="1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1506">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3DAD"/>
    <w:rsid w:val="0000526E"/>
    <w:rsid w:val="0000585D"/>
    <w:rsid w:val="00006D48"/>
    <w:rsid w:val="0000746F"/>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4075"/>
    <w:rsid w:val="0002541F"/>
    <w:rsid w:val="00026CD4"/>
    <w:rsid w:val="00026F1B"/>
    <w:rsid w:val="000303E4"/>
    <w:rsid w:val="000314F2"/>
    <w:rsid w:val="000347B8"/>
    <w:rsid w:val="00034F0A"/>
    <w:rsid w:val="00035AB3"/>
    <w:rsid w:val="00035C47"/>
    <w:rsid w:val="00036173"/>
    <w:rsid w:val="000361CF"/>
    <w:rsid w:val="000362AC"/>
    <w:rsid w:val="000363F1"/>
    <w:rsid w:val="00037D1D"/>
    <w:rsid w:val="000403E1"/>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571"/>
    <w:rsid w:val="00086D94"/>
    <w:rsid w:val="00087B64"/>
    <w:rsid w:val="00090E36"/>
    <w:rsid w:val="00091984"/>
    <w:rsid w:val="00091E5B"/>
    <w:rsid w:val="00093257"/>
    <w:rsid w:val="0009375D"/>
    <w:rsid w:val="000945B8"/>
    <w:rsid w:val="00094BBC"/>
    <w:rsid w:val="0009539E"/>
    <w:rsid w:val="00095583"/>
    <w:rsid w:val="000958BD"/>
    <w:rsid w:val="000965C6"/>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5684"/>
    <w:rsid w:val="000D6276"/>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1266"/>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7BA7"/>
    <w:rsid w:val="00127C6B"/>
    <w:rsid w:val="0013006F"/>
    <w:rsid w:val="00130397"/>
    <w:rsid w:val="0013319A"/>
    <w:rsid w:val="001335CC"/>
    <w:rsid w:val="0013394B"/>
    <w:rsid w:val="00133A6E"/>
    <w:rsid w:val="00133C5F"/>
    <w:rsid w:val="00134DA1"/>
    <w:rsid w:val="00137A2D"/>
    <w:rsid w:val="001401A0"/>
    <w:rsid w:val="00140338"/>
    <w:rsid w:val="00140435"/>
    <w:rsid w:val="00140D03"/>
    <w:rsid w:val="00141A0C"/>
    <w:rsid w:val="0014212C"/>
    <w:rsid w:val="001424D2"/>
    <w:rsid w:val="001424F8"/>
    <w:rsid w:val="00142775"/>
    <w:rsid w:val="00142AE1"/>
    <w:rsid w:val="001444E2"/>
    <w:rsid w:val="0014524C"/>
    <w:rsid w:val="00147408"/>
    <w:rsid w:val="00147B9C"/>
    <w:rsid w:val="00150792"/>
    <w:rsid w:val="00150DFA"/>
    <w:rsid w:val="00152220"/>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C54"/>
    <w:rsid w:val="001B5481"/>
    <w:rsid w:val="001B5925"/>
    <w:rsid w:val="001B77FD"/>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DAD"/>
    <w:rsid w:val="001D1022"/>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2106"/>
    <w:rsid w:val="00202226"/>
    <w:rsid w:val="00203216"/>
    <w:rsid w:val="002060FA"/>
    <w:rsid w:val="00206533"/>
    <w:rsid w:val="002103CB"/>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4AD8"/>
    <w:rsid w:val="00224B7A"/>
    <w:rsid w:val="00225803"/>
    <w:rsid w:val="00226F0A"/>
    <w:rsid w:val="00227558"/>
    <w:rsid w:val="00227CB5"/>
    <w:rsid w:val="00230943"/>
    <w:rsid w:val="002312E0"/>
    <w:rsid w:val="00231E9F"/>
    <w:rsid w:val="00232217"/>
    <w:rsid w:val="0023233B"/>
    <w:rsid w:val="00232381"/>
    <w:rsid w:val="00232814"/>
    <w:rsid w:val="00232A41"/>
    <w:rsid w:val="00233315"/>
    <w:rsid w:val="00233A95"/>
    <w:rsid w:val="00234DC4"/>
    <w:rsid w:val="00234F38"/>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2018"/>
    <w:rsid w:val="00262C46"/>
    <w:rsid w:val="00262F12"/>
    <w:rsid w:val="00264FC7"/>
    <w:rsid w:val="002660F8"/>
    <w:rsid w:val="002664C8"/>
    <w:rsid w:val="002668A1"/>
    <w:rsid w:val="00270DAE"/>
    <w:rsid w:val="00271849"/>
    <w:rsid w:val="00272C1F"/>
    <w:rsid w:val="00273E95"/>
    <w:rsid w:val="002753B8"/>
    <w:rsid w:val="00277900"/>
    <w:rsid w:val="00281169"/>
    <w:rsid w:val="002811A1"/>
    <w:rsid w:val="002816BC"/>
    <w:rsid w:val="00282754"/>
    <w:rsid w:val="00283143"/>
    <w:rsid w:val="002831C8"/>
    <w:rsid w:val="00285DB9"/>
    <w:rsid w:val="002860E0"/>
    <w:rsid w:val="00286797"/>
    <w:rsid w:val="00287689"/>
    <w:rsid w:val="00290E5E"/>
    <w:rsid w:val="00291BFC"/>
    <w:rsid w:val="00291F3E"/>
    <w:rsid w:val="00297999"/>
    <w:rsid w:val="00297BA8"/>
    <w:rsid w:val="00297C57"/>
    <w:rsid w:val="002A229D"/>
    <w:rsid w:val="002A25E7"/>
    <w:rsid w:val="002A263F"/>
    <w:rsid w:val="002A2B70"/>
    <w:rsid w:val="002A303F"/>
    <w:rsid w:val="002A3367"/>
    <w:rsid w:val="002A34D0"/>
    <w:rsid w:val="002A3508"/>
    <w:rsid w:val="002A3818"/>
    <w:rsid w:val="002A423D"/>
    <w:rsid w:val="002A47F2"/>
    <w:rsid w:val="002A506E"/>
    <w:rsid w:val="002A5B31"/>
    <w:rsid w:val="002A5E6E"/>
    <w:rsid w:val="002A5F67"/>
    <w:rsid w:val="002A6C72"/>
    <w:rsid w:val="002B0AC8"/>
    <w:rsid w:val="002B1734"/>
    <w:rsid w:val="002B2B9D"/>
    <w:rsid w:val="002B2C29"/>
    <w:rsid w:val="002B501A"/>
    <w:rsid w:val="002B55C7"/>
    <w:rsid w:val="002B6249"/>
    <w:rsid w:val="002B63BC"/>
    <w:rsid w:val="002C017B"/>
    <w:rsid w:val="002C050A"/>
    <w:rsid w:val="002C05EB"/>
    <w:rsid w:val="002C1202"/>
    <w:rsid w:val="002C2731"/>
    <w:rsid w:val="002C2F93"/>
    <w:rsid w:val="002C3195"/>
    <w:rsid w:val="002C3FB4"/>
    <w:rsid w:val="002C40FE"/>
    <w:rsid w:val="002C5102"/>
    <w:rsid w:val="002C7232"/>
    <w:rsid w:val="002D0399"/>
    <w:rsid w:val="002D0934"/>
    <w:rsid w:val="002D0AE4"/>
    <w:rsid w:val="002D1C53"/>
    <w:rsid w:val="002D1F9F"/>
    <w:rsid w:val="002D4081"/>
    <w:rsid w:val="002D5122"/>
    <w:rsid w:val="002D51E6"/>
    <w:rsid w:val="002D574B"/>
    <w:rsid w:val="002D5CB0"/>
    <w:rsid w:val="002D5EED"/>
    <w:rsid w:val="002D61A8"/>
    <w:rsid w:val="002D6E51"/>
    <w:rsid w:val="002D7364"/>
    <w:rsid w:val="002D773F"/>
    <w:rsid w:val="002D77E2"/>
    <w:rsid w:val="002E0B88"/>
    <w:rsid w:val="002E1073"/>
    <w:rsid w:val="002E14B4"/>
    <w:rsid w:val="002E1AC7"/>
    <w:rsid w:val="002E3FB7"/>
    <w:rsid w:val="002E4EC4"/>
    <w:rsid w:val="002E4F4A"/>
    <w:rsid w:val="002E4FB8"/>
    <w:rsid w:val="002E5210"/>
    <w:rsid w:val="002E569E"/>
    <w:rsid w:val="002E6216"/>
    <w:rsid w:val="002E623B"/>
    <w:rsid w:val="002F113A"/>
    <w:rsid w:val="002F2A63"/>
    <w:rsid w:val="002F2B02"/>
    <w:rsid w:val="002F3262"/>
    <w:rsid w:val="002F3897"/>
    <w:rsid w:val="002F4563"/>
    <w:rsid w:val="002F4F9A"/>
    <w:rsid w:val="002F6EE1"/>
    <w:rsid w:val="002F7854"/>
    <w:rsid w:val="003001FD"/>
    <w:rsid w:val="00304063"/>
    <w:rsid w:val="003058B2"/>
    <w:rsid w:val="00306AF0"/>
    <w:rsid w:val="003077A7"/>
    <w:rsid w:val="00311C13"/>
    <w:rsid w:val="003121BE"/>
    <w:rsid w:val="00312CF5"/>
    <w:rsid w:val="00313ADB"/>
    <w:rsid w:val="00315510"/>
    <w:rsid w:val="00317434"/>
    <w:rsid w:val="00320783"/>
    <w:rsid w:val="00320EFA"/>
    <w:rsid w:val="00321DB8"/>
    <w:rsid w:val="003237A3"/>
    <w:rsid w:val="003243C8"/>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80740"/>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AD8"/>
    <w:rsid w:val="003B0EB6"/>
    <w:rsid w:val="003B1F5A"/>
    <w:rsid w:val="003B2A8D"/>
    <w:rsid w:val="003B455E"/>
    <w:rsid w:val="003B5766"/>
    <w:rsid w:val="003B60D0"/>
    <w:rsid w:val="003B6C53"/>
    <w:rsid w:val="003C1159"/>
    <w:rsid w:val="003C1493"/>
    <w:rsid w:val="003C2726"/>
    <w:rsid w:val="003C285F"/>
    <w:rsid w:val="003C3D53"/>
    <w:rsid w:val="003C55C1"/>
    <w:rsid w:val="003C71E0"/>
    <w:rsid w:val="003C72D2"/>
    <w:rsid w:val="003C7B69"/>
    <w:rsid w:val="003C7C68"/>
    <w:rsid w:val="003D066F"/>
    <w:rsid w:val="003D0FB8"/>
    <w:rsid w:val="003D223A"/>
    <w:rsid w:val="003D247A"/>
    <w:rsid w:val="003D53C9"/>
    <w:rsid w:val="003D57C9"/>
    <w:rsid w:val="003D679E"/>
    <w:rsid w:val="003E1000"/>
    <w:rsid w:val="003E1730"/>
    <w:rsid w:val="003E273E"/>
    <w:rsid w:val="003E3EC0"/>
    <w:rsid w:val="003E49DE"/>
    <w:rsid w:val="003E4D42"/>
    <w:rsid w:val="003E5186"/>
    <w:rsid w:val="003E6F85"/>
    <w:rsid w:val="003E7874"/>
    <w:rsid w:val="003E7D91"/>
    <w:rsid w:val="003F0C32"/>
    <w:rsid w:val="003F1B94"/>
    <w:rsid w:val="003F253B"/>
    <w:rsid w:val="003F254D"/>
    <w:rsid w:val="003F289F"/>
    <w:rsid w:val="00401190"/>
    <w:rsid w:val="004014E0"/>
    <w:rsid w:val="00401651"/>
    <w:rsid w:val="00402908"/>
    <w:rsid w:val="0040304B"/>
    <w:rsid w:val="00403996"/>
    <w:rsid w:val="00403FA5"/>
    <w:rsid w:val="004051BB"/>
    <w:rsid w:val="004072DB"/>
    <w:rsid w:val="004105F8"/>
    <w:rsid w:val="00410A22"/>
    <w:rsid w:val="00410B6E"/>
    <w:rsid w:val="00410E5A"/>
    <w:rsid w:val="00413D1F"/>
    <w:rsid w:val="00414EDC"/>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FFC"/>
    <w:rsid w:val="00435176"/>
    <w:rsid w:val="00436E45"/>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68B"/>
    <w:rsid w:val="004F7531"/>
    <w:rsid w:val="0050044C"/>
    <w:rsid w:val="00501B4F"/>
    <w:rsid w:val="00501FBC"/>
    <w:rsid w:val="00502AC2"/>
    <w:rsid w:val="005047D3"/>
    <w:rsid w:val="005062D6"/>
    <w:rsid w:val="00506A42"/>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5133"/>
    <w:rsid w:val="00535E82"/>
    <w:rsid w:val="00537F2F"/>
    <w:rsid w:val="00540726"/>
    <w:rsid w:val="0054083E"/>
    <w:rsid w:val="00541720"/>
    <w:rsid w:val="00542344"/>
    <w:rsid w:val="00542E44"/>
    <w:rsid w:val="00543241"/>
    <w:rsid w:val="00543A8F"/>
    <w:rsid w:val="00544333"/>
    <w:rsid w:val="0054482B"/>
    <w:rsid w:val="00545336"/>
    <w:rsid w:val="00545912"/>
    <w:rsid w:val="00546399"/>
    <w:rsid w:val="005464D5"/>
    <w:rsid w:val="0054699E"/>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B8"/>
    <w:rsid w:val="00571445"/>
    <w:rsid w:val="005714D4"/>
    <w:rsid w:val="005714FE"/>
    <w:rsid w:val="005724A1"/>
    <w:rsid w:val="0057457C"/>
    <w:rsid w:val="005746B4"/>
    <w:rsid w:val="0057508B"/>
    <w:rsid w:val="00575E80"/>
    <w:rsid w:val="00577889"/>
    <w:rsid w:val="00577FC7"/>
    <w:rsid w:val="00581127"/>
    <w:rsid w:val="00582166"/>
    <w:rsid w:val="0058244E"/>
    <w:rsid w:val="00582939"/>
    <w:rsid w:val="00582F0A"/>
    <w:rsid w:val="00582F0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6F5B"/>
    <w:rsid w:val="005A7261"/>
    <w:rsid w:val="005A7410"/>
    <w:rsid w:val="005B0791"/>
    <w:rsid w:val="005B2475"/>
    <w:rsid w:val="005B466A"/>
    <w:rsid w:val="005B49B3"/>
    <w:rsid w:val="005B4CDC"/>
    <w:rsid w:val="005B6034"/>
    <w:rsid w:val="005B61A8"/>
    <w:rsid w:val="005B65C6"/>
    <w:rsid w:val="005B714A"/>
    <w:rsid w:val="005C0BA2"/>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A57"/>
    <w:rsid w:val="005F0778"/>
    <w:rsid w:val="005F2765"/>
    <w:rsid w:val="005F48F8"/>
    <w:rsid w:val="005F5D64"/>
    <w:rsid w:val="005F5DAD"/>
    <w:rsid w:val="005F6853"/>
    <w:rsid w:val="005F6C81"/>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39B"/>
    <w:rsid w:val="00625557"/>
    <w:rsid w:val="00625E7B"/>
    <w:rsid w:val="0062698A"/>
    <w:rsid w:val="00627D37"/>
    <w:rsid w:val="0063028C"/>
    <w:rsid w:val="00630A24"/>
    <w:rsid w:val="00633D90"/>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26AC"/>
    <w:rsid w:val="0067341A"/>
    <w:rsid w:val="00674584"/>
    <w:rsid w:val="0067467D"/>
    <w:rsid w:val="00675864"/>
    <w:rsid w:val="00676179"/>
    <w:rsid w:val="00676F5D"/>
    <w:rsid w:val="00680088"/>
    <w:rsid w:val="006800A5"/>
    <w:rsid w:val="00680D01"/>
    <w:rsid w:val="00682396"/>
    <w:rsid w:val="00682E27"/>
    <w:rsid w:val="00682EEA"/>
    <w:rsid w:val="006837B5"/>
    <w:rsid w:val="00683B81"/>
    <w:rsid w:val="00683E49"/>
    <w:rsid w:val="00685606"/>
    <w:rsid w:val="00686864"/>
    <w:rsid w:val="006905BB"/>
    <w:rsid w:val="00690F0E"/>
    <w:rsid w:val="0069123E"/>
    <w:rsid w:val="006912B6"/>
    <w:rsid w:val="00691BA6"/>
    <w:rsid w:val="0069218F"/>
    <w:rsid w:val="00692C36"/>
    <w:rsid w:val="006948EA"/>
    <w:rsid w:val="00695426"/>
    <w:rsid w:val="006963D6"/>
    <w:rsid w:val="006963F5"/>
    <w:rsid w:val="006971F8"/>
    <w:rsid w:val="006974A0"/>
    <w:rsid w:val="00697B41"/>
    <w:rsid w:val="006A00CA"/>
    <w:rsid w:val="006A4D02"/>
    <w:rsid w:val="006A6245"/>
    <w:rsid w:val="006A7BA6"/>
    <w:rsid w:val="006B0717"/>
    <w:rsid w:val="006B0737"/>
    <w:rsid w:val="006B0B2B"/>
    <w:rsid w:val="006B11A5"/>
    <w:rsid w:val="006B1CBA"/>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2AFB"/>
    <w:rsid w:val="006F30E0"/>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E15"/>
    <w:rsid w:val="00722DAB"/>
    <w:rsid w:val="00724138"/>
    <w:rsid w:val="00724321"/>
    <w:rsid w:val="00724965"/>
    <w:rsid w:val="00724EE9"/>
    <w:rsid w:val="0072530D"/>
    <w:rsid w:val="0072752A"/>
    <w:rsid w:val="00727613"/>
    <w:rsid w:val="007277FF"/>
    <w:rsid w:val="00731FDA"/>
    <w:rsid w:val="007342B3"/>
    <w:rsid w:val="007346B4"/>
    <w:rsid w:val="00736C41"/>
    <w:rsid w:val="0074048B"/>
    <w:rsid w:val="00740FE2"/>
    <w:rsid w:val="007413A0"/>
    <w:rsid w:val="007415C4"/>
    <w:rsid w:val="00742A4B"/>
    <w:rsid w:val="00743D97"/>
    <w:rsid w:val="00744569"/>
    <w:rsid w:val="00744924"/>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72BEB"/>
    <w:rsid w:val="0077344F"/>
    <w:rsid w:val="0077433D"/>
    <w:rsid w:val="0077770C"/>
    <w:rsid w:val="00777B45"/>
    <w:rsid w:val="00781EB9"/>
    <w:rsid w:val="007821E5"/>
    <w:rsid w:val="00782B01"/>
    <w:rsid w:val="00783B42"/>
    <w:rsid w:val="00783C90"/>
    <w:rsid w:val="007851DB"/>
    <w:rsid w:val="00785315"/>
    <w:rsid w:val="00790501"/>
    <w:rsid w:val="00790BDF"/>
    <w:rsid w:val="007915EE"/>
    <w:rsid w:val="00791DFA"/>
    <w:rsid w:val="00792686"/>
    <w:rsid w:val="007926BB"/>
    <w:rsid w:val="00792E35"/>
    <w:rsid w:val="00794CDA"/>
    <w:rsid w:val="00794F2E"/>
    <w:rsid w:val="00794FAF"/>
    <w:rsid w:val="00795D16"/>
    <w:rsid w:val="00796479"/>
    <w:rsid w:val="007964BD"/>
    <w:rsid w:val="00796D2A"/>
    <w:rsid w:val="007970D4"/>
    <w:rsid w:val="007A14EE"/>
    <w:rsid w:val="007A1526"/>
    <w:rsid w:val="007A2CEB"/>
    <w:rsid w:val="007A2F92"/>
    <w:rsid w:val="007A38EB"/>
    <w:rsid w:val="007A55A4"/>
    <w:rsid w:val="007A5908"/>
    <w:rsid w:val="007B0FEF"/>
    <w:rsid w:val="007B11E6"/>
    <w:rsid w:val="007B18B4"/>
    <w:rsid w:val="007B2908"/>
    <w:rsid w:val="007B2B2C"/>
    <w:rsid w:val="007B3F45"/>
    <w:rsid w:val="007B4109"/>
    <w:rsid w:val="007B4F35"/>
    <w:rsid w:val="007B54BF"/>
    <w:rsid w:val="007B5A08"/>
    <w:rsid w:val="007B5A89"/>
    <w:rsid w:val="007B62F5"/>
    <w:rsid w:val="007B6FF1"/>
    <w:rsid w:val="007B736B"/>
    <w:rsid w:val="007B7817"/>
    <w:rsid w:val="007B7A28"/>
    <w:rsid w:val="007C0C4B"/>
    <w:rsid w:val="007C0EE2"/>
    <w:rsid w:val="007C1A72"/>
    <w:rsid w:val="007C26B3"/>
    <w:rsid w:val="007C3FBD"/>
    <w:rsid w:val="007C5B5C"/>
    <w:rsid w:val="007C779E"/>
    <w:rsid w:val="007C7866"/>
    <w:rsid w:val="007C7B25"/>
    <w:rsid w:val="007D13E9"/>
    <w:rsid w:val="007D1CC2"/>
    <w:rsid w:val="007D4098"/>
    <w:rsid w:val="007D5123"/>
    <w:rsid w:val="007D53CC"/>
    <w:rsid w:val="007D567F"/>
    <w:rsid w:val="007D78A8"/>
    <w:rsid w:val="007E16F7"/>
    <w:rsid w:val="007E30CB"/>
    <w:rsid w:val="007E36FE"/>
    <w:rsid w:val="007E3ECD"/>
    <w:rsid w:val="007E4A00"/>
    <w:rsid w:val="007E4A4A"/>
    <w:rsid w:val="007E4C86"/>
    <w:rsid w:val="007E5079"/>
    <w:rsid w:val="007F0DC5"/>
    <w:rsid w:val="007F1345"/>
    <w:rsid w:val="007F15D5"/>
    <w:rsid w:val="007F1CA3"/>
    <w:rsid w:val="007F2669"/>
    <w:rsid w:val="007F2756"/>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7224"/>
    <w:rsid w:val="00807FEC"/>
    <w:rsid w:val="0081111D"/>
    <w:rsid w:val="00811CE8"/>
    <w:rsid w:val="00812091"/>
    <w:rsid w:val="0081316F"/>
    <w:rsid w:val="00813365"/>
    <w:rsid w:val="00813C4D"/>
    <w:rsid w:val="00813C7F"/>
    <w:rsid w:val="008148C8"/>
    <w:rsid w:val="0081707A"/>
    <w:rsid w:val="00821BE1"/>
    <w:rsid w:val="00822AB7"/>
    <w:rsid w:val="00823ED2"/>
    <w:rsid w:val="008249B8"/>
    <w:rsid w:val="00824F40"/>
    <w:rsid w:val="0083097D"/>
    <w:rsid w:val="00831F5C"/>
    <w:rsid w:val="008327C5"/>
    <w:rsid w:val="00833152"/>
    <w:rsid w:val="00833813"/>
    <w:rsid w:val="00833A82"/>
    <w:rsid w:val="00834D3F"/>
    <w:rsid w:val="00835D54"/>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3E45"/>
    <w:rsid w:val="008A5382"/>
    <w:rsid w:val="008A5816"/>
    <w:rsid w:val="008A71F1"/>
    <w:rsid w:val="008B0487"/>
    <w:rsid w:val="008B04B7"/>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E71"/>
    <w:rsid w:val="008C7E85"/>
    <w:rsid w:val="008D12CE"/>
    <w:rsid w:val="008D171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10742"/>
    <w:rsid w:val="00911061"/>
    <w:rsid w:val="0091291A"/>
    <w:rsid w:val="00914AC0"/>
    <w:rsid w:val="00914C35"/>
    <w:rsid w:val="00914FFE"/>
    <w:rsid w:val="0091575C"/>
    <w:rsid w:val="0091604B"/>
    <w:rsid w:val="00917C91"/>
    <w:rsid w:val="00920D83"/>
    <w:rsid w:val="0092276C"/>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AF"/>
    <w:rsid w:val="00936012"/>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3EE0"/>
    <w:rsid w:val="00964FFC"/>
    <w:rsid w:val="00966184"/>
    <w:rsid w:val="00967F52"/>
    <w:rsid w:val="0097027A"/>
    <w:rsid w:val="00970851"/>
    <w:rsid w:val="009709EF"/>
    <w:rsid w:val="00970ECC"/>
    <w:rsid w:val="00973D3B"/>
    <w:rsid w:val="00975096"/>
    <w:rsid w:val="0097577C"/>
    <w:rsid w:val="00975EB8"/>
    <w:rsid w:val="00976A93"/>
    <w:rsid w:val="00980A6A"/>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1BA7"/>
    <w:rsid w:val="009E2526"/>
    <w:rsid w:val="009E26AB"/>
    <w:rsid w:val="009E2BD6"/>
    <w:rsid w:val="009E44DB"/>
    <w:rsid w:val="009E4578"/>
    <w:rsid w:val="009E5733"/>
    <w:rsid w:val="009E70CB"/>
    <w:rsid w:val="009F1C34"/>
    <w:rsid w:val="009F3358"/>
    <w:rsid w:val="009F3B53"/>
    <w:rsid w:val="009F46AD"/>
    <w:rsid w:val="009F676A"/>
    <w:rsid w:val="009F6E3C"/>
    <w:rsid w:val="00A00952"/>
    <w:rsid w:val="00A0632E"/>
    <w:rsid w:val="00A1002D"/>
    <w:rsid w:val="00A11621"/>
    <w:rsid w:val="00A11922"/>
    <w:rsid w:val="00A136A1"/>
    <w:rsid w:val="00A16017"/>
    <w:rsid w:val="00A16575"/>
    <w:rsid w:val="00A16746"/>
    <w:rsid w:val="00A16BB2"/>
    <w:rsid w:val="00A17067"/>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EAC"/>
    <w:rsid w:val="00A422A2"/>
    <w:rsid w:val="00A42643"/>
    <w:rsid w:val="00A42EFE"/>
    <w:rsid w:val="00A44A4E"/>
    <w:rsid w:val="00A46029"/>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54AB"/>
    <w:rsid w:val="00A766FF"/>
    <w:rsid w:val="00A76A37"/>
    <w:rsid w:val="00A777D6"/>
    <w:rsid w:val="00A77F20"/>
    <w:rsid w:val="00A81866"/>
    <w:rsid w:val="00A81B2B"/>
    <w:rsid w:val="00A81C90"/>
    <w:rsid w:val="00A831D5"/>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A0B"/>
    <w:rsid w:val="00B26B94"/>
    <w:rsid w:val="00B26D2C"/>
    <w:rsid w:val="00B278A4"/>
    <w:rsid w:val="00B27BDF"/>
    <w:rsid w:val="00B27C72"/>
    <w:rsid w:val="00B300CD"/>
    <w:rsid w:val="00B30665"/>
    <w:rsid w:val="00B3082F"/>
    <w:rsid w:val="00B309EA"/>
    <w:rsid w:val="00B318B1"/>
    <w:rsid w:val="00B31D93"/>
    <w:rsid w:val="00B32994"/>
    <w:rsid w:val="00B330D8"/>
    <w:rsid w:val="00B33D8B"/>
    <w:rsid w:val="00B34021"/>
    <w:rsid w:val="00B346DF"/>
    <w:rsid w:val="00B34D53"/>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413C"/>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683E"/>
    <w:rsid w:val="00B776F7"/>
    <w:rsid w:val="00B804DB"/>
    <w:rsid w:val="00B80AB7"/>
    <w:rsid w:val="00B815C3"/>
    <w:rsid w:val="00B81BAE"/>
    <w:rsid w:val="00B826D3"/>
    <w:rsid w:val="00B82C8F"/>
    <w:rsid w:val="00B82D54"/>
    <w:rsid w:val="00B83B34"/>
    <w:rsid w:val="00B8446D"/>
    <w:rsid w:val="00B855DB"/>
    <w:rsid w:val="00B869BE"/>
    <w:rsid w:val="00B86C54"/>
    <w:rsid w:val="00B86CD1"/>
    <w:rsid w:val="00B86F8F"/>
    <w:rsid w:val="00B874A8"/>
    <w:rsid w:val="00B87F92"/>
    <w:rsid w:val="00B9078B"/>
    <w:rsid w:val="00B90BA7"/>
    <w:rsid w:val="00B92411"/>
    <w:rsid w:val="00B93111"/>
    <w:rsid w:val="00B93909"/>
    <w:rsid w:val="00B97052"/>
    <w:rsid w:val="00BA0D93"/>
    <w:rsid w:val="00BA3653"/>
    <w:rsid w:val="00BA3703"/>
    <w:rsid w:val="00BA3A0B"/>
    <w:rsid w:val="00BA3B15"/>
    <w:rsid w:val="00BA4845"/>
    <w:rsid w:val="00BA4900"/>
    <w:rsid w:val="00BA5F8B"/>
    <w:rsid w:val="00BA674C"/>
    <w:rsid w:val="00BA710E"/>
    <w:rsid w:val="00BA7BD1"/>
    <w:rsid w:val="00BB0AC3"/>
    <w:rsid w:val="00BB13AC"/>
    <w:rsid w:val="00BB15F0"/>
    <w:rsid w:val="00BB2E23"/>
    <w:rsid w:val="00BB2FB6"/>
    <w:rsid w:val="00BB40BA"/>
    <w:rsid w:val="00BB5AC3"/>
    <w:rsid w:val="00BB6677"/>
    <w:rsid w:val="00BB6A6A"/>
    <w:rsid w:val="00BB7295"/>
    <w:rsid w:val="00BB7D10"/>
    <w:rsid w:val="00BC057D"/>
    <w:rsid w:val="00BC0D17"/>
    <w:rsid w:val="00BC1430"/>
    <w:rsid w:val="00BC1DE0"/>
    <w:rsid w:val="00BC2FCC"/>
    <w:rsid w:val="00BC3119"/>
    <w:rsid w:val="00BC3998"/>
    <w:rsid w:val="00BC39E0"/>
    <w:rsid w:val="00BC4360"/>
    <w:rsid w:val="00BC60EC"/>
    <w:rsid w:val="00BC792A"/>
    <w:rsid w:val="00BC7A2B"/>
    <w:rsid w:val="00BD066C"/>
    <w:rsid w:val="00BD2D7E"/>
    <w:rsid w:val="00BD31AC"/>
    <w:rsid w:val="00BD322E"/>
    <w:rsid w:val="00BD3C2B"/>
    <w:rsid w:val="00BD4CD4"/>
    <w:rsid w:val="00BD5EF2"/>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318D"/>
    <w:rsid w:val="00BF34AF"/>
    <w:rsid w:val="00BF4DE9"/>
    <w:rsid w:val="00BF5E24"/>
    <w:rsid w:val="00BF761B"/>
    <w:rsid w:val="00BF784A"/>
    <w:rsid w:val="00BF7EB2"/>
    <w:rsid w:val="00C00732"/>
    <w:rsid w:val="00C0211E"/>
    <w:rsid w:val="00C029D7"/>
    <w:rsid w:val="00C02A5C"/>
    <w:rsid w:val="00C02B59"/>
    <w:rsid w:val="00C03308"/>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A57"/>
    <w:rsid w:val="00C36D5D"/>
    <w:rsid w:val="00C37E9B"/>
    <w:rsid w:val="00C400E7"/>
    <w:rsid w:val="00C4056E"/>
    <w:rsid w:val="00C40A03"/>
    <w:rsid w:val="00C4100E"/>
    <w:rsid w:val="00C41131"/>
    <w:rsid w:val="00C414E3"/>
    <w:rsid w:val="00C435FC"/>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DFA"/>
    <w:rsid w:val="00C60124"/>
    <w:rsid w:val="00C60852"/>
    <w:rsid w:val="00C612BA"/>
    <w:rsid w:val="00C624C3"/>
    <w:rsid w:val="00C64240"/>
    <w:rsid w:val="00C64574"/>
    <w:rsid w:val="00C65571"/>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6498"/>
    <w:rsid w:val="00CB6A3E"/>
    <w:rsid w:val="00CB6C1B"/>
    <w:rsid w:val="00CB743B"/>
    <w:rsid w:val="00CB7DD7"/>
    <w:rsid w:val="00CC0BFE"/>
    <w:rsid w:val="00CC2092"/>
    <w:rsid w:val="00CC2406"/>
    <w:rsid w:val="00CC2C60"/>
    <w:rsid w:val="00CC35C2"/>
    <w:rsid w:val="00CC5453"/>
    <w:rsid w:val="00CC5736"/>
    <w:rsid w:val="00CC5A57"/>
    <w:rsid w:val="00CC6624"/>
    <w:rsid w:val="00CC6716"/>
    <w:rsid w:val="00CD01A0"/>
    <w:rsid w:val="00CD1D14"/>
    <w:rsid w:val="00CD317C"/>
    <w:rsid w:val="00CD3361"/>
    <w:rsid w:val="00CD3433"/>
    <w:rsid w:val="00CD41B7"/>
    <w:rsid w:val="00CD4D85"/>
    <w:rsid w:val="00CD5436"/>
    <w:rsid w:val="00CD57FB"/>
    <w:rsid w:val="00CD6C4B"/>
    <w:rsid w:val="00CE017C"/>
    <w:rsid w:val="00CE0234"/>
    <w:rsid w:val="00CE1CB0"/>
    <w:rsid w:val="00CE2B2D"/>
    <w:rsid w:val="00CE2EBD"/>
    <w:rsid w:val="00CE3E8E"/>
    <w:rsid w:val="00CE4E8F"/>
    <w:rsid w:val="00CE4F19"/>
    <w:rsid w:val="00CE5519"/>
    <w:rsid w:val="00CE556A"/>
    <w:rsid w:val="00CE5838"/>
    <w:rsid w:val="00CE62BF"/>
    <w:rsid w:val="00CE6D53"/>
    <w:rsid w:val="00CE7CEC"/>
    <w:rsid w:val="00CF13A3"/>
    <w:rsid w:val="00CF365D"/>
    <w:rsid w:val="00CF42D3"/>
    <w:rsid w:val="00CF4827"/>
    <w:rsid w:val="00CF5230"/>
    <w:rsid w:val="00CF5991"/>
    <w:rsid w:val="00CF5D74"/>
    <w:rsid w:val="00CF5FA6"/>
    <w:rsid w:val="00CF614B"/>
    <w:rsid w:val="00D000AF"/>
    <w:rsid w:val="00D0098A"/>
    <w:rsid w:val="00D01688"/>
    <w:rsid w:val="00D01901"/>
    <w:rsid w:val="00D01DA2"/>
    <w:rsid w:val="00D02547"/>
    <w:rsid w:val="00D0550E"/>
    <w:rsid w:val="00D0573E"/>
    <w:rsid w:val="00D069A9"/>
    <w:rsid w:val="00D06A3E"/>
    <w:rsid w:val="00D1038C"/>
    <w:rsid w:val="00D10887"/>
    <w:rsid w:val="00D10F80"/>
    <w:rsid w:val="00D11466"/>
    <w:rsid w:val="00D11640"/>
    <w:rsid w:val="00D11673"/>
    <w:rsid w:val="00D11AD9"/>
    <w:rsid w:val="00D1278C"/>
    <w:rsid w:val="00D12AFD"/>
    <w:rsid w:val="00D13280"/>
    <w:rsid w:val="00D1426D"/>
    <w:rsid w:val="00D149DB"/>
    <w:rsid w:val="00D1578E"/>
    <w:rsid w:val="00D16398"/>
    <w:rsid w:val="00D208F5"/>
    <w:rsid w:val="00D209C0"/>
    <w:rsid w:val="00D21537"/>
    <w:rsid w:val="00D22311"/>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61D3"/>
    <w:rsid w:val="00D36A82"/>
    <w:rsid w:val="00D36BE2"/>
    <w:rsid w:val="00D37F25"/>
    <w:rsid w:val="00D41495"/>
    <w:rsid w:val="00D417AD"/>
    <w:rsid w:val="00D41D21"/>
    <w:rsid w:val="00D41D98"/>
    <w:rsid w:val="00D41F7D"/>
    <w:rsid w:val="00D420EE"/>
    <w:rsid w:val="00D42746"/>
    <w:rsid w:val="00D42838"/>
    <w:rsid w:val="00D42F4F"/>
    <w:rsid w:val="00D447E5"/>
    <w:rsid w:val="00D509FB"/>
    <w:rsid w:val="00D51F6E"/>
    <w:rsid w:val="00D54412"/>
    <w:rsid w:val="00D55C17"/>
    <w:rsid w:val="00D579F5"/>
    <w:rsid w:val="00D57EF6"/>
    <w:rsid w:val="00D60061"/>
    <w:rsid w:val="00D601D9"/>
    <w:rsid w:val="00D603FB"/>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76BBF"/>
    <w:rsid w:val="00D808DF"/>
    <w:rsid w:val="00D809E1"/>
    <w:rsid w:val="00D8191C"/>
    <w:rsid w:val="00D81A15"/>
    <w:rsid w:val="00D81A35"/>
    <w:rsid w:val="00D83417"/>
    <w:rsid w:val="00D83736"/>
    <w:rsid w:val="00D87D5C"/>
    <w:rsid w:val="00D90343"/>
    <w:rsid w:val="00D9164D"/>
    <w:rsid w:val="00D9229F"/>
    <w:rsid w:val="00D927F0"/>
    <w:rsid w:val="00D937C4"/>
    <w:rsid w:val="00D9405D"/>
    <w:rsid w:val="00D9693C"/>
    <w:rsid w:val="00D97AF6"/>
    <w:rsid w:val="00DA0F22"/>
    <w:rsid w:val="00DA0FC5"/>
    <w:rsid w:val="00DA4389"/>
    <w:rsid w:val="00DA43AC"/>
    <w:rsid w:val="00DA591D"/>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2522"/>
    <w:rsid w:val="00DF4684"/>
    <w:rsid w:val="00DF54A7"/>
    <w:rsid w:val="00E03168"/>
    <w:rsid w:val="00E0384A"/>
    <w:rsid w:val="00E03B52"/>
    <w:rsid w:val="00E048FA"/>
    <w:rsid w:val="00E04ABE"/>
    <w:rsid w:val="00E05FD8"/>
    <w:rsid w:val="00E06059"/>
    <w:rsid w:val="00E06383"/>
    <w:rsid w:val="00E06862"/>
    <w:rsid w:val="00E06B06"/>
    <w:rsid w:val="00E0737E"/>
    <w:rsid w:val="00E0741C"/>
    <w:rsid w:val="00E07B14"/>
    <w:rsid w:val="00E1035C"/>
    <w:rsid w:val="00E109EE"/>
    <w:rsid w:val="00E112CD"/>
    <w:rsid w:val="00E11750"/>
    <w:rsid w:val="00E11B9A"/>
    <w:rsid w:val="00E13E1D"/>
    <w:rsid w:val="00E13F6E"/>
    <w:rsid w:val="00E15141"/>
    <w:rsid w:val="00E156BF"/>
    <w:rsid w:val="00E15D5B"/>
    <w:rsid w:val="00E20F48"/>
    <w:rsid w:val="00E21828"/>
    <w:rsid w:val="00E231E4"/>
    <w:rsid w:val="00E250E1"/>
    <w:rsid w:val="00E259D3"/>
    <w:rsid w:val="00E25FBC"/>
    <w:rsid w:val="00E261D0"/>
    <w:rsid w:val="00E26E1E"/>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4CD7"/>
    <w:rsid w:val="00E45182"/>
    <w:rsid w:val="00E45717"/>
    <w:rsid w:val="00E46632"/>
    <w:rsid w:val="00E4682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5920"/>
    <w:rsid w:val="00E65EF7"/>
    <w:rsid w:val="00E65FBB"/>
    <w:rsid w:val="00E67191"/>
    <w:rsid w:val="00E70EF5"/>
    <w:rsid w:val="00E713C6"/>
    <w:rsid w:val="00E7461F"/>
    <w:rsid w:val="00E75D19"/>
    <w:rsid w:val="00E7601F"/>
    <w:rsid w:val="00E761E7"/>
    <w:rsid w:val="00E77069"/>
    <w:rsid w:val="00E77326"/>
    <w:rsid w:val="00E77D0F"/>
    <w:rsid w:val="00E77E61"/>
    <w:rsid w:val="00E80869"/>
    <w:rsid w:val="00E80D79"/>
    <w:rsid w:val="00E80FDA"/>
    <w:rsid w:val="00E818EC"/>
    <w:rsid w:val="00E82D14"/>
    <w:rsid w:val="00E832B3"/>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4D80"/>
    <w:rsid w:val="00ED53E0"/>
    <w:rsid w:val="00ED5508"/>
    <w:rsid w:val="00ED69C8"/>
    <w:rsid w:val="00ED7090"/>
    <w:rsid w:val="00EE00BA"/>
    <w:rsid w:val="00EE0DB8"/>
    <w:rsid w:val="00EE0E1C"/>
    <w:rsid w:val="00EE1F35"/>
    <w:rsid w:val="00EE26DE"/>
    <w:rsid w:val="00EE351D"/>
    <w:rsid w:val="00EE402E"/>
    <w:rsid w:val="00EE582B"/>
    <w:rsid w:val="00EE5B59"/>
    <w:rsid w:val="00EE6CAC"/>
    <w:rsid w:val="00EE74DF"/>
    <w:rsid w:val="00EF185F"/>
    <w:rsid w:val="00EF3246"/>
    <w:rsid w:val="00EF44A4"/>
    <w:rsid w:val="00EF678F"/>
    <w:rsid w:val="00EF6A71"/>
    <w:rsid w:val="00F0000C"/>
    <w:rsid w:val="00F03C74"/>
    <w:rsid w:val="00F05050"/>
    <w:rsid w:val="00F06F6C"/>
    <w:rsid w:val="00F10684"/>
    <w:rsid w:val="00F114DC"/>
    <w:rsid w:val="00F115C8"/>
    <w:rsid w:val="00F11995"/>
    <w:rsid w:val="00F11E14"/>
    <w:rsid w:val="00F11FA1"/>
    <w:rsid w:val="00F12157"/>
    <w:rsid w:val="00F13414"/>
    <w:rsid w:val="00F135C2"/>
    <w:rsid w:val="00F144BD"/>
    <w:rsid w:val="00F15081"/>
    <w:rsid w:val="00F1538C"/>
    <w:rsid w:val="00F163F9"/>
    <w:rsid w:val="00F17759"/>
    <w:rsid w:val="00F20A0F"/>
    <w:rsid w:val="00F20DA7"/>
    <w:rsid w:val="00F216FD"/>
    <w:rsid w:val="00F21A07"/>
    <w:rsid w:val="00F227FB"/>
    <w:rsid w:val="00F2413B"/>
    <w:rsid w:val="00F243C7"/>
    <w:rsid w:val="00F24763"/>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4669"/>
    <w:rsid w:val="00F44BDE"/>
    <w:rsid w:val="00F4530E"/>
    <w:rsid w:val="00F457B3"/>
    <w:rsid w:val="00F47583"/>
    <w:rsid w:val="00F475A3"/>
    <w:rsid w:val="00F47708"/>
    <w:rsid w:val="00F519F7"/>
    <w:rsid w:val="00F51AAC"/>
    <w:rsid w:val="00F5221C"/>
    <w:rsid w:val="00F528C3"/>
    <w:rsid w:val="00F52AF6"/>
    <w:rsid w:val="00F53F26"/>
    <w:rsid w:val="00F5417D"/>
    <w:rsid w:val="00F54F0F"/>
    <w:rsid w:val="00F5640C"/>
    <w:rsid w:val="00F564D5"/>
    <w:rsid w:val="00F565FC"/>
    <w:rsid w:val="00F6031F"/>
    <w:rsid w:val="00F6179A"/>
    <w:rsid w:val="00F62C03"/>
    <w:rsid w:val="00F62F9E"/>
    <w:rsid w:val="00F63955"/>
    <w:rsid w:val="00F63AC0"/>
    <w:rsid w:val="00F648DE"/>
    <w:rsid w:val="00F64EC5"/>
    <w:rsid w:val="00F65BAB"/>
    <w:rsid w:val="00F65EB3"/>
    <w:rsid w:val="00F66025"/>
    <w:rsid w:val="00F66508"/>
    <w:rsid w:val="00F67F48"/>
    <w:rsid w:val="00F704FE"/>
    <w:rsid w:val="00F70F2B"/>
    <w:rsid w:val="00F71EA1"/>
    <w:rsid w:val="00F73C6B"/>
    <w:rsid w:val="00F74A60"/>
    <w:rsid w:val="00F75FBE"/>
    <w:rsid w:val="00F766A3"/>
    <w:rsid w:val="00F80D60"/>
    <w:rsid w:val="00F80F57"/>
    <w:rsid w:val="00F82559"/>
    <w:rsid w:val="00F834F9"/>
    <w:rsid w:val="00F839D3"/>
    <w:rsid w:val="00F84060"/>
    <w:rsid w:val="00F87D29"/>
    <w:rsid w:val="00F914BE"/>
    <w:rsid w:val="00F93644"/>
    <w:rsid w:val="00F936F7"/>
    <w:rsid w:val="00F93EA3"/>
    <w:rsid w:val="00F954DC"/>
    <w:rsid w:val="00F95D8C"/>
    <w:rsid w:val="00F97D1E"/>
    <w:rsid w:val="00FA0BD3"/>
    <w:rsid w:val="00FA12BE"/>
    <w:rsid w:val="00FA202B"/>
    <w:rsid w:val="00FA424B"/>
    <w:rsid w:val="00FA4BEF"/>
    <w:rsid w:val="00FA7861"/>
    <w:rsid w:val="00FA7CF1"/>
    <w:rsid w:val="00FB097A"/>
    <w:rsid w:val="00FB0C14"/>
    <w:rsid w:val="00FB12C4"/>
    <w:rsid w:val="00FB194A"/>
    <w:rsid w:val="00FB2B62"/>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392B"/>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3D92"/>
    <w:pPr>
      <w:spacing w:after="180"/>
    </w:pPr>
    <w:rPr>
      <w:rFonts w:ascii="Times New Roman" w:hAnsi="Times New Roman"/>
      <w:lang w:val="en-GB" w:eastAsia="en-US"/>
    </w:rPr>
  </w:style>
  <w:style w:type="paragraph" w:styleId="1">
    <w:name w:val="heading 1"/>
    <w:aliases w:val="H1,h1"/>
    <w:next w:val="a"/>
    <w:link w:val="1Char"/>
    <w:uiPriority w:val="9"/>
    <w:qFormat/>
    <w:rsid w:val="002D51E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Char"/>
    <w:qFormat/>
    <w:rsid w:val="002D51E6"/>
    <w:pPr>
      <w:pBdr>
        <w:top w:val="none" w:sz="0" w:space="0" w:color="auto"/>
      </w:pBdr>
      <w:spacing w:before="180"/>
      <w:outlineLvl w:val="1"/>
    </w:pPr>
    <w:rPr>
      <w:sz w:val="32"/>
    </w:rPr>
  </w:style>
  <w:style w:type="paragraph" w:styleId="3">
    <w:name w:val="heading 3"/>
    <w:aliases w:val="h3,H3,Underrubrik2,no break,3"/>
    <w:basedOn w:val="2"/>
    <w:next w:val="a"/>
    <w:link w:val="3Char"/>
    <w:qFormat/>
    <w:rsid w:val="00AC584C"/>
    <w:pPr>
      <w:numPr>
        <w:ilvl w:val="1"/>
        <w:numId w:val="33"/>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rPr>
      <w:lang w:eastAsia="ja-JP"/>
    </w:rPr>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0"/>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rPr>
      <w:lang w:eastAsia="ja-JP"/>
    </w:rPr>
  </w:style>
  <w:style w:type="paragraph" w:styleId="25">
    <w:name w:val="Body Text Indent 2"/>
    <w:basedOn w:val="a"/>
    <w:rsid w:val="002D51E6"/>
    <w:pPr>
      <w:ind w:leftChars="100" w:left="200"/>
    </w:pPr>
    <w:rPr>
      <w:lang w:eastAsia="ja-JP"/>
    </w:r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lang w:eastAsia="ja-JP"/>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1"/>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rPr>
      <w:lang w:eastAsia="ja-JP"/>
    </w:r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0">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B27C72"/>
    <w:rPr>
      <w:b/>
      <w:bCs/>
    </w:rPr>
  </w:style>
  <w:style w:type="character" w:customStyle="1" w:styleId="2Char">
    <w:name w:val="标题 2 Char"/>
    <w:aliases w:val="Head2A Char,2 Char,H2 Char,h2 Char"/>
    <w:link w:val="2"/>
    <w:rsid w:val="009262D5"/>
    <w:rPr>
      <w:rFonts w:ascii="Arial" w:hAnsi="Arial"/>
      <w:sz w:val="32"/>
      <w:lang w:val="en-GB"/>
    </w:rPr>
  </w:style>
  <w:style w:type="paragraph" w:styleId="afa">
    <w:name w:val="List Paragraph"/>
    <w:basedOn w:val="a"/>
    <w:link w:val="Char2"/>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9824BF"/>
    <w:rPr>
      <w:rFonts w:ascii="Arial" w:hAnsi="Arial"/>
      <w:sz w:val="36"/>
      <w:lang w:val="en-GB"/>
    </w:rPr>
  </w:style>
  <w:style w:type="character" w:customStyle="1" w:styleId="Char2">
    <w:name w:val="列出段落 Char"/>
    <w:link w:val="afa"/>
    <w:uiPriority w:val="34"/>
    <w:rsid w:val="00910742"/>
    <w:rPr>
      <w:rFonts w:ascii="Times New Roman" w:eastAsia="Times New Roman" w:hAnsi="Times New Roman"/>
      <w:sz w:val="24"/>
      <w:szCs w:val="24"/>
      <w:lang w:eastAsia="en-US"/>
    </w:rPr>
  </w:style>
  <w:style w:type="character" w:customStyle="1" w:styleId="Char1">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4EB50F0A-A4E4-4EE2-A445-388E08AD8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4</Pages>
  <Words>1400</Words>
  <Characters>7983</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9365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7</cp:revision>
  <cp:lastPrinted>2006-02-09T13:55:00Z</cp:lastPrinted>
  <dcterms:created xsi:type="dcterms:W3CDTF">2016-02-04T11:18:00Z</dcterms:created>
  <dcterms:modified xsi:type="dcterms:W3CDTF">2016-04-01T04:22:00Z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