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512" w:rsidRPr="001D0484" w:rsidRDefault="006359CD" w:rsidP="00033512">
      <w:pPr>
        <w:pStyle w:val="Header"/>
        <w:widowControl w:val="0"/>
        <w:tabs>
          <w:tab w:val="right" w:pos="8280"/>
          <w:tab w:val="right" w:pos="9781"/>
        </w:tabs>
        <w:ind w:right="-58"/>
        <w:rPr>
          <w:b/>
          <w:bCs/>
          <w:lang w:eastAsia="zh-CN"/>
        </w:rPr>
      </w:pPr>
      <w:r w:rsidRPr="006359CD">
        <w:rPr>
          <w:b/>
          <w:bCs/>
        </w:rPr>
        <w:t>3GPP TSG RAN WG1 Meeting #84</w:t>
      </w:r>
      <w:r w:rsidR="006B11B7">
        <w:rPr>
          <w:b/>
          <w:bCs/>
        </w:rPr>
        <w:t>bis</w:t>
      </w:r>
      <w:r w:rsidRPr="006359CD">
        <w:rPr>
          <w:b/>
          <w:bCs/>
        </w:rPr>
        <w:tab/>
      </w:r>
      <w:r w:rsidRPr="006359CD">
        <w:rPr>
          <w:b/>
          <w:bCs/>
        </w:rPr>
        <w:tab/>
        <w:t>R1-</w:t>
      </w:r>
      <w:r w:rsidR="009D7F7C" w:rsidRPr="006359CD">
        <w:rPr>
          <w:b/>
          <w:bCs/>
        </w:rPr>
        <w:t>16</w:t>
      </w:r>
      <w:r w:rsidR="00CE297E">
        <w:rPr>
          <w:b/>
          <w:bCs/>
          <w:lang w:eastAsia="zh-CN"/>
        </w:rPr>
        <w:t>2150</w:t>
      </w:r>
    </w:p>
    <w:p w:rsidR="00086502" w:rsidRPr="00181640" w:rsidRDefault="00F63048" w:rsidP="00033512">
      <w:pPr>
        <w:rPr>
          <w:b/>
          <w:bCs/>
        </w:rPr>
      </w:pPr>
      <w:r w:rsidRPr="00F63048">
        <w:rPr>
          <w:b/>
          <w:bCs/>
        </w:rPr>
        <w:t>Busan, Korea, 11</w:t>
      </w:r>
      <w:r w:rsidRPr="00F63048">
        <w:rPr>
          <w:b/>
          <w:bCs/>
          <w:vertAlign w:val="superscript"/>
        </w:rPr>
        <w:t>th</w:t>
      </w:r>
      <w:r w:rsidRPr="00F63048">
        <w:rPr>
          <w:b/>
          <w:bCs/>
        </w:rPr>
        <w:t xml:space="preserve"> - 15</w:t>
      </w:r>
      <w:r w:rsidRPr="00F63048">
        <w:rPr>
          <w:b/>
          <w:bCs/>
          <w:vertAlign w:val="superscript"/>
        </w:rPr>
        <w:t xml:space="preserve"> th</w:t>
      </w:r>
      <w:r w:rsidRPr="00F63048">
        <w:rPr>
          <w:b/>
          <w:bCs/>
        </w:rPr>
        <w:t xml:space="preserve"> April, 2016</w:t>
      </w:r>
    </w:p>
    <w:p w:rsidR="009C0564" w:rsidRPr="00181640" w:rsidRDefault="009C0564" w:rsidP="0011557B">
      <w:pPr>
        <w:pBdr>
          <w:top w:val="single" w:sz="8" w:space="0" w:color="auto"/>
        </w:pBdr>
        <w:tabs>
          <w:tab w:val="left" w:pos="1710"/>
        </w:tabs>
        <w:spacing w:after="0"/>
        <w:ind w:right="936"/>
        <w:rPr>
          <w:b/>
          <w:bCs/>
          <w:sz w:val="16"/>
          <w:szCs w:val="16"/>
        </w:rPr>
      </w:pPr>
    </w:p>
    <w:p w:rsidR="009C0564" w:rsidRPr="00F94AA2" w:rsidRDefault="00F63048" w:rsidP="0011557B">
      <w:pPr>
        <w:pStyle w:val="Heading3"/>
        <w:numPr>
          <w:ilvl w:val="3"/>
          <w:numId w:val="0"/>
        </w:numPr>
        <w:tabs>
          <w:tab w:val="num" w:pos="1560"/>
        </w:tabs>
        <w:autoSpaceDE/>
        <w:autoSpaceDN/>
        <w:adjustRightInd/>
        <w:spacing w:after="60"/>
        <w:ind w:left="864" w:hanging="864"/>
        <w:jc w:val="left"/>
        <w:rPr>
          <w:rFonts w:eastAsia="MS PGothic"/>
          <w:b w:val="0"/>
          <w:lang w:eastAsia="zh-CN"/>
        </w:rPr>
      </w:pPr>
      <w:r w:rsidRPr="00F63048">
        <w:rPr>
          <w:bCs/>
        </w:rPr>
        <w:t>Agenda Item:</w:t>
      </w:r>
      <w:r w:rsidRPr="00F63048">
        <w:rPr>
          <w:bCs/>
        </w:rPr>
        <w:tab/>
      </w:r>
      <w:r w:rsidR="00CE297E">
        <w:rPr>
          <w:bCs/>
        </w:rPr>
        <w:t>8</w:t>
      </w:r>
      <w:r w:rsidR="00417487">
        <w:rPr>
          <w:bCs/>
        </w:rPr>
        <w:t>.1.</w:t>
      </w:r>
      <w:r w:rsidR="00CE297E">
        <w:rPr>
          <w:bCs/>
        </w:rPr>
        <w:t>4</w:t>
      </w:r>
    </w:p>
    <w:p w:rsidR="00BC1C3C" w:rsidRPr="00C46B15" w:rsidRDefault="00305FF9" w:rsidP="00BC1C3C">
      <w:pPr>
        <w:pStyle w:val="Heading3"/>
        <w:numPr>
          <w:ilvl w:val="0"/>
          <w:numId w:val="0"/>
        </w:numPr>
        <w:tabs>
          <w:tab w:val="left" w:pos="1530"/>
        </w:tabs>
        <w:rPr>
          <w:b w:val="0"/>
          <w:bCs/>
        </w:rPr>
      </w:pPr>
      <w:r w:rsidRPr="00C46B15">
        <w:rPr>
          <w:bCs/>
        </w:rPr>
        <w:t>Source:</w:t>
      </w:r>
      <w:r w:rsidRPr="00C46B15">
        <w:rPr>
          <w:bCs/>
        </w:rPr>
        <w:tab/>
      </w:r>
      <w:r w:rsidR="009C0564" w:rsidRPr="00C46B15">
        <w:rPr>
          <w:bCs/>
        </w:rPr>
        <w:t>Huawei</w:t>
      </w:r>
      <w:r w:rsidR="005E6F53">
        <w:rPr>
          <w:bCs/>
        </w:rPr>
        <w:t>, HiSilicon</w:t>
      </w:r>
    </w:p>
    <w:p w:rsidR="0026538C" w:rsidRPr="00C46B15" w:rsidRDefault="009C0564" w:rsidP="00290647">
      <w:pPr>
        <w:pStyle w:val="Heading3"/>
        <w:numPr>
          <w:ilvl w:val="0"/>
          <w:numId w:val="0"/>
        </w:numPr>
        <w:tabs>
          <w:tab w:val="left" w:pos="1530"/>
        </w:tabs>
        <w:ind w:left="1560" w:hanging="1560"/>
        <w:rPr>
          <w:b w:val="0"/>
          <w:bCs/>
          <w:lang w:eastAsia="zh-CN"/>
        </w:rPr>
      </w:pPr>
      <w:r w:rsidRPr="00C46B15">
        <w:rPr>
          <w:bCs/>
        </w:rPr>
        <w:t>Title:</w:t>
      </w:r>
      <w:r w:rsidRPr="00C46B15">
        <w:rPr>
          <w:bCs/>
        </w:rPr>
        <w:tab/>
      </w:r>
      <w:r w:rsidR="006B11B7" w:rsidRPr="006B11B7">
        <w:rPr>
          <w:bCs/>
        </w:rPr>
        <w:t xml:space="preserve">Room for possible improvement of LTE spectral efficiency in </w:t>
      </w:r>
      <w:r w:rsidR="0079599D">
        <w:rPr>
          <w:bCs/>
        </w:rPr>
        <w:t>New Radio of 5G</w:t>
      </w:r>
    </w:p>
    <w:p w:rsidR="009C0564" w:rsidRPr="00C46B15" w:rsidRDefault="009C0564">
      <w:pPr>
        <w:tabs>
          <w:tab w:val="left" w:pos="1530"/>
        </w:tabs>
        <w:spacing w:after="0"/>
        <w:ind w:right="936"/>
      </w:pPr>
      <w:r w:rsidRPr="00C46B15">
        <w:rPr>
          <w:b/>
          <w:bCs/>
        </w:rPr>
        <w:t>Document for:</w:t>
      </w:r>
      <w:r w:rsidRPr="00C46B15">
        <w:rPr>
          <w:b/>
          <w:bCs/>
        </w:rPr>
        <w:tab/>
      </w:r>
      <w:r w:rsidR="001F7121">
        <w:rPr>
          <w:b/>
          <w:bCs/>
        </w:rPr>
        <w:t>Discussion</w:t>
      </w:r>
      <w:r w:rsidR="006D1F40">
        <w:rPr>
          <w:b/>
          <w:bCs/>
        </w:rPr>
        <w:t>/D</w:t>
      </w:r>
      <w:r w:rsidR="001F7121">
        <w:rPr>
          <w:b/>
          <w:bCs/>
        </w:rPr>
        <w:t>ecision</w:t>
      </w:r>
      <w:r w:rsidR="002D0439">
        <w:rPr>
          <w:b/>
          <w:bCs/>
        </w:rPr>
        <w:t xml:space="preserve"> </w:t>
      </w:r>
    </w:p>
    <w:p w:rsidR="009C0564" w:rsidRPr="003A3D39" w:rsidRDefault="009C0564" w:rsidP="00AD2852">
      <w:pPr>
        <w:pBdr>
          <w:bottom w:val="single" w:sz="8" w:space="0" w:color="auto"/>
        </w:pBdr>
        <w:ind w:right="936"/>
        <w:rPr>
          <w:b/>
          <w:bCs/>
          <w:sz w:val="16"/>
          <w:szCs w:val="16"/>
        </w:rPr>
      </w:pPr>
    </w:p>
    <w:p w:rsidR="00290A3D" w:rsidRDefault="00BB1D5A" w:rsidP="00290A3D">
      <w:pPr>
        <w:pStyle w:val="Heading1"/>
        <w:ind w:left="431" w:hanging="431"/>
      </w:pPr>
      <w:r>
        <w:t>Introduction</w:t>
      </w:r>
    </w:p>
    <w:p w:rsidR="0093212C" w:rsidRDefault="0093212C" w:rsidP="0093212C">
      <w:pPr>
        <w:rPr>
          <w:lang w:val="en-GB"/>
        </w:rPr>
      </w:pPr>
      <w:r>
        <w:rPr>
          <w:lang w:val="en-GB"/>
        </w:rPr>
        <w:t>The new generation radio air interface</w:t>
      </w:r>
      <w:r w:rsidR="0079599D">
        <w:rPr>
          <w:lang w:val="en-GB"/>
        </w:rPr>
        <w:t>, New Radio of 5G (NR),</w:t>
      </w:r>
      <w:r>
        <w:rPr>
          <w:lang w:val="en-GB"/>
        </w:rPr>
        <w:t xml:space="preserve"> is going to support much more demanding requirements than LTE, e.g., for peak data rate, spectral efficiency (SE) and latency [1]. As the LTE is already a very well-developed and capable system, and is going to evolve further, it is not obvious which technical areas of the new air interface should be the major sources of required improved performances. </w:t>
      </w:r>
      <w:r w:rsidR="00ED3C70">
        <w:rPr>
          <w:lang w:val="en-GB"/>
        </w:rPr>
        <w:t>T</w:t>
      </w:r>
      <w:r>
        <w:rPr>
          <w:lang w:val="en-GB"/>
        </w:rPr>
        <w:t>o answer this question, in this contribution we start from a simple numerical analysis of the peak downlink SE of the LTE air interface, in order to calculate both an overall spectral efficiency overhead, i.e., loss in the LTE system</w:t>
      </w:r>
      <w:r w:rsidR="00ED3C70">
        <w:rPr>
          <w:lang w:val="en-GB"/>
        </w:rPr>
        <w:t>,</w:t>
      </w:r>
      <w:r>
        <w:rPr>
          <w:lang w:val="en-GB"/>
        </w:rPr>
        <w:t xml:space="preserve"> and the </w:t>
      </w:r>
      <w:r w:rsidR="007E6D09">
        <w:rPr>
          <w:lang w:val="en-GB"/>
        </w:rPr>
        <w:t>key elements</w:t>
      </w:r>
      <w:r>
        <w:rPr>
          <w:lang w:val="en-GB"/>
        </w:rPr>
        <w:t xml:space="preserve"> that contribute to that overhead. The overall SE overhead in LTE will serve us as an indication of the total room for the SE improvement, while the technologies that contribute most to that overhead will help us to define the key improved features of the new air interface.</w:t>
      </w:r>
    </w:p>
    <w:p w:rsidR="0093212C" w:rsidRDefault="0093212C" w:rsidP="0093212C">
      <w:r>
        <w:t xml:space="preserve">Based on the above analysis, we further try to identify </w:t>
      </w:r>
      <w:r w:rsidR="00ED3C70">
        <w:t xml:space="preserve">the </w:t>
      </w:r>
      <w:r>
        <w:t xml:space="preserve">consequences of changing some basic parameters of the LTE air interface in order to meet new RAT requirements, such as low latency and larger bandwidth. Assuming </w:t>
      </w:r>
      <w:r w:rsidR="00DB58A4">
        <w:t xml:space="preserve">as an example </w:t>
      </w:r>
      <w:r>
        <w:t xml:space="preserve">the subcarrier spacing of 60 kHz in order to keep reasonable implementation complexity with new signal bandwidth of about few hundred MHz, we analyze impact on CP overhead, control channel overhead, reference signals, maximum coding rate, etc. </w:t>
      </w:r>
    </w:p>
    <w:p w:rsidR="0093212C" w:rsidRDefault="0093212C" w:rsidP="0093212C">
      <w:pPr>
        <w:rPr>
          <w:lang w:val="en-GB"/>
        </w:rPr>
      </w:pPr>
      <w:r>
        <w:t xml:space="preserve">Finally, based on the above analysis and targeted spectral efficiency of 30 bps/Hz, we propose to focus the study on finding solutions that allow reduction of CP and spectrum guard band, and </w:t>
      </w:r>
      <w:r>
        <w:rPr>
          <w:lang w:val="en-GB"/>
        </w:rPr>
        <w:t>indicate how some relatively new technologies, not yet exploited in LTE, can help to achieve these goals.</w:t>
      </w:r>
    </w:p>
    <w:p w:rsidR="00290A3D" w:rsidRDefault="007B0477" w:rsidP="00290A3D">
      <w:pPr>
        <w:pStyle w:val="Heading1"/>
        <w:ind w:left="431" w:hanging="431"/>
        <w:rPr>
          <w:bCs w:val="0"/>
        </w:rPr>
      </w:pPr>
      <w:bookmarkStart w:id="0" w:name="_Ref129681832"/>
      <w:r>
        <w:rPr>
          <w:bCs w:val="0"/>
        </w:rPr>
        <w:t xml:space="preserve">Peak </w:t>
      </w:r>
      <w:r w:rsidR="00507178">
        <w:rPr>
          <w:bCs w:val="0"/>
        </w:rPr>
        <w:t xml:space="preserve">downlink </w:t>
      </w:r>
      <w:r>
        <w:rPr>
          <w:bCs w:val="0"/>
        </w:rPr>
        <w:t>spectr</w:t>
      </w:r>
      <w:r w:rsidR="00CA5519">
        <w:rPr>
          <w:bCs w:val="0"/>
        </w:rPr>
        <w:t>al</w:t>
      </w:r>
      <w:r>
        <w:rPr>
          <w:bCs w:val="0"/>
        </w:rPr>
        <w:t xml:space="preserve"> efficiency in LTE</w:t>
      </w:r>
    </w:p>
    <w:p w:rsidR="00082550" w:rsidRDefault="003C0A12">
      <w:r>
        <w:t>In this section, some insight to the next generation radio air interface design will be achieved by studying the downlink peak spectral efficiency of LTE.</w:t>
      </w:r>
    </w:p>
    <w:p w:rsidR="00CA5519" w:rsidRPr="00CA5519" w:rsidRDefault="00CA5519" w:rsidP="00CA5519">
      <w:pPr>
        <w:rPr>
          <w:b/>
          <w:u w:val="single"/>
        </w:rPr>
      </w:pPr>
      <w:r>
        <w:rPr>
          <w:b/>
          <w:u w:val="single"/>
        </w:rPr>
        <w:t>Theoretical and practical peak spectral</w:t>
      </w:r>
      <w:r w:rsidR="00181640">
        <w:rPr>
          <w:b/>
          <w:u w:val="single"/>
        </w:rPr>
        <w:t xml:space="preserve"> efficiency of </w:t>
      </w:r>
      <w:r>
        <w:rPr>
          <w:b/>
          <w:u w:val="single"/>
        </w:rPr>
        <w:t>LTE</w:t>
      </w:r>
    </w:p>
    <w:p w:rsidR="00063936" w:rsidRDefault="007A3C54" w:rsidP="00290A3D">
      <w:pPr>
        <w:spacing w:after="0"/>
        <w:rPr>
          <w:rFonts w:eastAsia="Calibri"/>
          <w:lang w:eastAsia="sv-SE"/>
        </w:rPr>
      </w:pPr>
      <w:r>
        <w:rPr>
          <w:rFonts w:eastAsia="Calibri"/>
          <w:lang w:eastAsia="sv-SE"/>
        </w:rPr>
        <w:t xml:space="preserve">LTE is designed with MIMO and </w:t>
      </w:r>
      <w:r w:rsidR="00D111C8">
        <w:rPr>
          <w:rFonts w:eastAsia="Calibri"/>
          <w:lang w:eastAsia="sv-SE"/>
        </w:rPr>
        <w:t xml:space="preserve">higher order modulation </w:t>
      </w:r>
      <w:r w:rsidR="00181640">
        <w:rPr>
          <w:rFonts w:eastAsia="Calibri"/>
          <w:lang w:eastAsia="sv-SE"/>
        </w:rPr>
        <w:t>to enable</w:t>
      </w:r>
      <w:r>
        <w:rPr>
          <w:rFonts w:eastAsia="Calibri"/>
          <w:lang w:eastAsia="sv-SE"/>
        </w:rPr>
        <w:t xml:space="preserve"> </w:t>
      </w:r>
      <w:r w:rsidR="00B920F3">
        <w:rPr>
          <w:rFonts w:eastAsia="Calibri"/>
          <w:lang w:eastAsia="sv-SE"/>
        </w:rPr>
        <w:t>high spectrally efficient transmissions</w:t>
      </w:r>
      <w:r>
        <w:rPr>
          <w:rFonts w:eastAsia="Calibri"/>
          <w:lang w:eastAsia="sv-SE"/>
        </w:rPr>
        <w:t xml:space="preserve">. The main parameters </w:t>
      </w:r>
      <w:r w:rsidR="00B920F3">
        <w:rPr>
          <w:rFonts w:eastAsia="Calibri"/>
          <w:lang w:eastAsia="sv-SE"/>
        </w:rPr>
        <w:t xml:space="preserve">of </w:t>
      </w:r>
      <w:r>
        <w:rPr>
          <w:rFonts w:eastAsia="Calibri"/>
          <w:lang w:eastAsia="sv-SE"/>
        </w:rPr>
        <w:t>LTE</w:t>
      </w:r>
      <w:r w:rsidR="00D111C8">
        <w:rPr>
          <w:rFonts w:eastAsia="Calibri"/>
          <w:lang w:eastAsia="sv-SE"/>
        </w:rPr>
        <w:t xml:space="preserve"> used for</w:t>
      </w:r>
      <w:r>
        <w:rPr>
          <w:rFonts w:eastAsia="Calibri"/>
          <w:lang w:eastAsia="sv-SE"/>
        </w:rPr>
        <w:t xml:space="preserve"> potentially approaching the peak spectral efficiency </w:t>
      </w:r>
      <w:r w:rsidR="00D111C8">
        <w:rPr>
          <w:rFonts w:eastAsia="Calibri"/>
          <w:lang w:eastAsia="sv-SE"/>
        </w:rPr>
        <w:t>are</w:t>
      </w:r>
      <w:r>
        <w:rPr>
          <w:rFonts w:eastAsia="Calibri"/>
          <w:lang w:eastAsia="sv-SE"/>
        </w:rPr>
        <w:t xml:space="preserve"> provided in Table 1, where </w:t>
      </w:r>
      <w:r w:rsidR="007B0477">
        <w:rPr>
          <w:rFonts w:eastAsia="Calibri"/>
          <w:lang w:eastAsia="sv-SE"/>
        </w:rPr>
        <w:t xml:space="preserve">up to 8 </w:t>
      </w:r>
      <w:r w:rsidR="00D111C8">
        <w:rPr>
          <w:rFonts w:eastAsia="Calibri"/>
          <w:lang w:eastAsia="sv-SE"/>
        </w:rPr>
        <w:t>spatial layers</w:t>
      </w:r>
      <w:r w:rsidR="007B0477">
        <w:rPr>
          <w:rFonts w:eastAsia="Calibri"/>
          <w:lang w:eastAsia="sv-SE"/>
        </w:rPr>
        <w:t xml:space="preserve"> and 256</w:t>
      </w:r>
      <w:r w:rsidR="00D111C8">
        <w:rPr>
          <w:rFonts w:eastAsia="Calibri"/>
          <w:lang w:eastAsia="sv-SE"/>
        </w:rPr>
        <w:t>-</w:t>
      </w:r>
      <w:r w:rsidR="007B0477">
        <w:rPr>
          <w:rFonts w:eastAsia="Calibri"/>
          <w:lang w:eastAsia="sv-SE"/>
        </w:rPr>
        <w:t>QAM are supported</w:t>
      </w:r>
      <w:r w:rsidR="00063936">
        <w:rPr>
          <w:rFonts w:eastAsia="Calibri"/>
          <w:lang w:eastAsia="sv-SE"/>
        </w:rPr>
        <w:t>.</w:t>
      </w:r>
      <w:r>
        <w:rPr>
          <w:rFonts w:eastAsia="Calibri"/>
          <w:lang w:eastAsia="sv-SE"/>
        </w:rPr>
        <w:t xml:space="preserve"> </w:t>
      </w:r>
      <w:r w:rsidR="00063936">
        <w:rPr>
          <w:rFonts w:eastAsia="Calibri"/>
          <w:lang w:eastAsia="sv-SE"/>
        </w:rPr>
        <w:t>The</w:t>
      </w:r>
      <w:r w:rsidR="007B0477">
        <w:rPr>
          <w:rFonts w:eastAsia="Calibri"/>
          <w:lang w:eastAsia="sv-SE"/>
        </w:rPr>
        <w:t xml:space="preserve"> theoretical spectral efficiency</w:t>
      </w:r>
      <w:r w:rsidR="00C71EBA">
        <w:rPr>
          <w:rFonts w:eastAsia="Calibri"/>
          <w:lang w:eastAsia="sv-SE"/>
        </w:rPr>
        <w:t xml:space="preserve"> ignoring all overhead with error-free transmission can be</w:t>
      </w:r>
      <w:r w:rsidR="007B0477">
        <w:rPr>
          <w:rFonts w:eastAsia="Calibri"/>
          <w:lang w:eastAsia="sv-SE"/>
        </w:rPr>
        <w:t xml:space="preserve"> </w:t>
      </w:r>
      <w:r w:rsidR="00063936">
        <w:rPr>
          <w:rFonts w:eastAsia="Calibri"/>
          <w:lang w:eastAsia="sv-SE"/>
        </w:rPr>
        <w:t>upper</w:t>
      </w:r>
      <w:r w:rsidR="00B920F3">
        <w:rPr>
          <w:rFonts w:eastAsia="Calibri"/>
          <w:lang w:eastAsia="sv-SE"/>
        </w:rPr>
        <w:t xml:space="preserve"> </w:t>
      </w:r>
      <w:r w:rsidR="00063936">
        <w:rPr>
          <w:rFonts w:eastAsia="Calibri"/>
          <w:lang w:eastAsia="sv-SE"/>
        </w:rPr>
        <w:t>bound</w:t>
      </w:r>
      <w:r w:rsidR="00C71EBA">
        <w:rPr>
          <w:rFonts w:eastAsia="Calibri"/>
          <w:lang w:eastAsia="sv-SE"/>
        </w:rPr>
        <w:t>ed</w:t>
      </w:r>
      <w:r w:rsidR="00063936">
        <w:rPr>
          <w:rFonts w:eastAsia="Calibri"/>
          <w:lang w:eastAsia="sv-SE"/>
        </w:rPr>
        <w:t xml:space="preserve"> as:</w:t>
      </w:r>
    </w:p>
    <w:p w:rsidR="00D111C8" w:rsidRDefault="00D111C8" w:rsidP="00290A3D">
      <w:pPr>
        <w:spacing w:after="0"/>
        <w:rPr>
          <w:rFonts w:eastAsia="Calibri"/>
          <w:lang w:eastAsia="sv-SE"/>
        </w:rPr>
      </w:pPr>
    </w:p>
    <w:p w:rsidR="00290A3D" w:rsidRPr="007A3C54" w:rsidRDefault="002664CC" w:rsidP="00063936">
      <w:pPr>
        <w:spacing w:after="0"/>
        <w:jc w:val="center"/>
        <w:rPr>
          <w:rFonts w:eastAsia="Calibri"/>
          <w:lang w:eastAsia="sv-SE"/>
        </w:rPr>
      </w:pPr>
      <m:oMath>
        <m:sSub>
          <m:sSubPr>
            <m:ctrlPr>
              <w:rPr>
                <w:rFonts w:ascii="Cambria Math" w:eastAsia="Calibri" w:hAnsi="Cambria Math"/>
                <w:i/>
                <w:lang w:eastAsia="sv-SE"/>
              </w:rPr>
            </m:ctrlPr>
          </m:sSubPr>
          <m:e>
            <m:r>
              <w:rPr>
                <w:rFonts w:ascii="Cambria Math" w:eastAsia="Calibri" w:hAnsi="Cambria Math"/>
                <w:lang w:eastAsia="sv-SE"/>
              </w:rPr>
              <m:t>PSE</m:t>
            </m:r>
          </m:e>
          <m:sub>
            <m:r>
              <w:rPr>
                <w:rFonts w:ascii="Cambria Math" w:eastAsia="Calibri" w:hAnsi="Cambria Math"/>
                <w:lang w:eastAsia="sv-SE"/>
              </w:rPr>
              <m:t>ideal</m:t>
            </m:r>
          </m:sub>
        </m:sSub>
        <m:r>
          <w:rPr>
            <w:rFonts w:ascii="Cambria Math" w:eastAsia="Calibri" w:hAnsi="Cambria Math"/>
            <w:lang w:eastAsia="sv-SE"/>
          </w:rPr>
          <m:t>=</m:t>
        </m:r>
        <m:r>
          <m:rPr>
            <m:sty m:val="p"/>
          </m:rPr>
          <w:rPr>
            <w:rFonts w:ascii="Cambria Math" w:eastAsia="Calibri" w:hAnsi="Cambria Math"/>
            <w:lang w:eastAsia="sv-SE"/>
          </w:rPr>
          <m:t>Modulation order</m:t>
        </m:r>
        <m:r>
          <w:rPr>
            <w:rFonts w:ascii="Cambria Math" w:eastAsia="Calibri" w:hAnsi="Cambria Math"/>
            <w:lang w:eastAsia="sv-SE"/>
          </w:rPr>
          <m:t>*</m:t>
        </m:r>
        <m:r>
          <m:rPr>
            <m:sty m:val="p"/>
          </m:rPr>
          <w:rPr>
            <w:rFonts w:ascii="Cambria Math" w:eastAsia="Calibri" w:hAnsi="Cambria Math"/>
            <w:lang w:eastAsia="sv-SE"/>
          </w:rPr>
          <m:t>Number of spatial layers=</m:t>
        </m:r>
        <m:r>
          <w:rPr>
            <w:rFonts w:ascii="Cambria Math" w:eastAsia="Calibri" w:hAnsi="Cambria Math"/>
            <w:lang w:eastAsia="sv-SE"/>
          </w:rPr>
          <m:t>8*8=64 bps/Hz</m:t>
        </m:r>
      </m:oMath>
      <w:r w:rsidR="00063936">
        <w:rPr>
          <w:rFonts w:eastAsia="Calibri"/>
          <w:lang w:eastAsia="sv-SE"/>
        </w:rPr>
        <w:t xml:space="preserve"> </w:t>
      </w:r>
    </w:p>
    <w:p w:rsidR="007B0477" w:rsidRDefault="007B0477" w:rsidP="00290A3D">
      <w:pPr>
        <w:spacing w:after="0"/>
      </w:pPr>
    </w:p>
    <w:p w:rsidR="007A3C54" w:rsidRDefault="007A3C54" w:rsidP="007A3C54">
      <w:pPr>
        <w:pStyle w:val="CommentText"/>
        <w:jc w:val="center"/>
        <w:rPr>
          <w:rFonts w:eastAsia="Calibri"/>
          <w:b/>
          <w:sz w:val="22"/>
          <w:szCs w:val="22"/>
          <w:lang w:eastAsia="sv-SE"/>
        </w:rPr>
      </w:pPr>
      <w:r w:rsidRPr="00656A17">
        <w:rPr>
          <w:rFonts w:eastAsia="Calibri"/>
          <w:b/>
          <w:sz w:val="22"/>
          <w:szCs w:val="22"/>
          <w:lang w:eastAsia="sv-SE"/>
        </w:rPr>
        <w:t xml:space="preserve">Table </w:t>
      </w:r>
      <w:r>
        <w:rPr>
          <w:rFonts w:eastAsia="Calibri"/>
          <w:b/>
          <w:sz w:val="22"/>
          <w:szCs w:val="22"/>
          <w:lang w:eastAsia="sv-SE"/>
        </w:rPr>
        <w:t>1</w:t>
      </w:r>
      <w:r w:rsidRPr="00656A17">
        <w:rPr>
          <w:rFonts w:eastAsia="Calibri"/>
          <w:b/>
          <w:sz w:val="22"/>
          <w:szCs w:val="22"/>
          <w:lang w:eastAsia="sv-SE"/>
        </w:rPr>
        <w:t xml:space="preserve">. </w:t>
      </w:r>
      <w:r>
        <w:rPr>
          <w:rFonts w:eastAsia="Calibri"/>
          <w:b/>
          <w:sz w:val="22"/>
          <w:szCs w:val="22"/>
          <w:lang w:eastAsia="sv-SE"/>
        </w:rPr>
        <w:t xml:space="preserve">Parameters for LTE </w:t>
      </w:r>
      <w:r w:rsidR="00D111C8">
        <w:rPr>
          <w:rFonts w:eastAsia="Calibri"/>
          <w:b/>
          <w:sz w:val="22"/>
          <w:szCs w:val="22"/>
          <w:lang w:eastAsia="sv-SE"/>
        </w:rPr>
        <w:t xml:space="preserve">assumed for </w:t>
      </w:r>
      <w:r>
        <w:rPr>
          <w:rFonts w:eastAsia="Calibri"/>
          <w:b/>
          <w:sz w:val="22"/>
          <w:szCs w:val="22"/>
          <w:lang w:eastAsia="sv-SE"/>
        </w:rPr>
        <w:t>approaching the peak spectral efficiency</w:t>
      </w:r>
      <w:r w:rsidR="00D111C8">
        <w:rPr>
          <w:rFonts w:eastAsia="Calibri"/>
          <w:b/>
          <w:sz w:val="22"/>
          <w:szCs w:val="22"/>
          <w:lang w:eastAsia="sv-S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7"/>
        <w:gridCol w:w="1878"/>
        <w:gridCol w:w="4678"/>
      </w:tblGrid>
      <w:tr w:rsidR="00CC5A04" w:rsidTr="00CF175D">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bottom"/>
          </w:tcPr>
          <w:p w:rsidR="00CC5A04" w:rsidRPr="00A53DCB" w:rsidRDefault="00CC5A04" w:rsidP="007A3C54">
            <w:pPr>
              <w:jc w:val="center"/>
              <w:rPr>
                <w:rFonts w:ascii="Arial" w:hAnsi="Arial"/>
                <w:b/>
                <w:sz w:val="18"/>
              </w:rPr>
            </w:pPr>
            <w:r>
              <w:rPr>
                <w:rFonts w:ascii="Arial" w:hAnsi="Arial"/>
                <w:b/>
                <w:sz w:val="18"/>
              </w:rPr>
              <w:t>Element</w:t>
            </w:r>
          </w:p>
        </w:tc>
        <w:tc>
          <w:tcPr>
            <w:tcW w:w="1878" w:type="dxa"/>
            <w:tcBorders>
              <w:top w:val="single" w:sz="4" w:space="0" w:color="auto"/>
              <w:left w:val="single" w:sz="4" w:space="0" w:color="auto"/>
              <w:bottom w:val="single" w:sz="4" w:space="0" w:color="auto"/>
              <w:right w:val="single" w:sz="4" w:space="0" w:color="auto"/>
            </w:tcBorders>
            <w:shd w:val="clear" w:color="auto" w:fill="E0E0E0"/>
            <w:vAlign w:val="bottom"/>
          </w:tcPr>
          <w:p w:rsidR="00CC5A04" w:rsidRDefault="00CC5A04" w:rsidP="007A3C54">
            <w:pPr>
              <w:jc w:val="center"/>
              <w:rPr>
                <w:rFonts w:ascii="Arial" w:hAnsi="Arial"/>
                <w:b/>
                <w:sz w:val="18"/>
              </w:rPr>
            </w:pPr>
            <w:r>
              <w:rPr>
                <w:rFonts w:ascii="Arial" w:hAnsi="Arial"/>
                <w:b/>
                <w:sz w:val="18"/>
              </w:rPr>
              <w:t>Value</w:t>
            </w:r>
          </w:p>
        </w:tc>
        <w:tc>
          <w:tcPr>
            <w:tcW w:w="4678" w:type="dxa"/>
            <w:tcBorders>
              <w:top w:val="single" w:sz="4" w:space="0" w:color="auto"/>
              <w:left w:val="single" w:sz="4" w:space="0" w:color="auto"/>
              <w:bottom w:val="single" w:sz="4" w:space="0" w:color="auto"/>
              <w:right w:val="single" w:sz="4" w:space="0" w:color="auto"/>
            </w:tcBorders>
            <w:shd w:val="clear" w:color="auto" w:fill="E0E0E0"/>
            <w:vAlign w:val="bottom"/>
          </w:tcPr>
          <w:p w:rsidR="00CC5A04" w:rsidRDefault="00CC5A04" w:rsidP="00D111C8">
            <w:pPr>
              <w:jc w:val="center"/>
              <w:rPr>
                <w:rFonts w:ascii="Arial" w:hAnsi="Arial"/>
                <w:b/>
                <w:sz w:val="18"/>
              </w:rPr>
            </w:pPr>
            <w:r>
              <w:rPr>
                <w:rFonts w:ascii="Arial" w:hAnsi="Arial"/>
                <w:b/>
                <w:sz w:val="18"/>
              </w:rPr>
              <w:t>Comments</w:t>
            </w:r>
          </w:p>
        </w:tc>
      </w:tr>
      <w:tr w:rsidR="00CC5A04" w:rsidTr="00CF175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C5A04" w:rsidRPr="00A53DCB" w:rsidRDefault="00E27A8B" w:rsidP="00BB1948">
            <w:pPr>
              <w:pStyle w:val="TAC"/>
            </w:pPr>
            <w:r>
              <w:lastRenderedPageBreak/>
              <w:t xml:space="preserve">Number of </w:t>
            </w:r>
            <w:r w:rsidR="00BB1948">
              <w:t xml:space="preserve">spatial </w:t>
            </w:r>
            <w:r w:rsidR="00D111C8">
              <w:t>layers</w:t>
            </w:r>
          </w:p>
        </w:tc>
        <w:tc>
          <w:tcPr>
            <w:tcW w:w="1878" w:type="dxa"/>
            <w:tcBorders>
              <w:top w:val="single" w:sz="4" w:space="0" w:color="auto"/>
              <w:left w:val="single" w:sz="4" w:space="0" w:color="auto"/>
              <w:bottom w:val="single" w:sz="4" w:space="0" w:color="auto"/>
              <w:right w:val="single" w:sz="4" w:space="0" w:color="auto"/>
            </w:tcBorders>
          </w:tcPr>
          <w:p w:rsidR="00CC5A04" w:rsidRPr="000B53DC" w:rsidRDefault="00CC5A04" w:rsidP="00BB7049">
            <w:pPr>
              <w:pStyle w:val="TAC"/>
              <w:jc w:val="left"/>
            </w:pPr>
            <w:r>
              <w:t>8</w:t>
            </w:r>
          </w:p>
        </w:tc>
        <w:tc>
          <w:tcPr>
            <w:tcW w:w="4678" w:type="dxa"/>
            <w:tcBorders>
              <w:top w:val="single" w:sz="4" w:space="0" w:color="auto"/>
              <w:left w:val="single" w:sz="4" w:space="0" w:color="auto"/>
              <w:bottom w:val="single" w:sz="4" w:space="0" w:color="auto"/>
              <w:right w:val="single" w:sz="4" w:space="0" w:color="auto"/>
            </w:tcBorders>
          </w:tcPr>
          <w:p w:rsidR="00CC5A04" w:rsidRPr="000B53DC" w:rsidRDefault="00CC5A04" w:rsidP="00D111C8">
            <w:pPr>
              <w:pStyle w:val="TAC"/>
              <w:jc w:val="left"/>
            </w:pPr>
            <w:r>
              <w:t>A UE suppor</w:t>
            </w:r>
            <w:r w:rsidR="00CA5519">
              <w:t>ts 2 codewords, each correspond</w:t>
            </w:r>
            <w:r w:rsidR="00CA5519">
              <w:rPr>
                <w:rFonts w:hint="eastAsia"/>
                <w:lang w:eastAsia="zh-CN"/>
              </w:rPr>
              <w:t>ing</w:t>
            </w:r>
            <w:r>
              <w:t xml:space="preserve"> to up to 4 layers</w:t>
            </w:r>
          </w:p>
        </w:tc>
      </w:tr>
      <w:tr w:rsidR="00CC5A04" w:rsidTr="00CF175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C5A04" w:rsidRPr="00A53DCB" w:rsidRDefault="00CC5A04" w:rsidP="00D111C8">
            <w:pPr>
              <w:pStyle w:val="TAC"/>
            </w:pPr>
            <w:r>
              <w:t>Modulation Order</w:t>
            </w:r>
          </w:p>
        </w:tc>
        <w:tc>
          <w:tcPr>
            <w:tcW w:w="1878" w:type="dxa"/>
            <w:tcBorders>
              <w:top w:val="single" w:sz="4" w:space="0" w:color="auto"/>
              <w:left w:val="single" w:sz="4" w:space="0" w:color="auto"/>
              <w:bottom w:val="single" w:sz="4" w:space="0" w:color="auto"/>
              <w:right w:val="single" w:sz="4" w:space="0" w:color="auto"/>
            </w:tcBorders>
          </w:tcPr>
          <w:p w:rsidR="00CC5A04" w:rsidRPr="000B53DC" w:rsidRDefault="00CC5A04" w:rsidP="007D3024">
            <w:pPr>
              <w:pStyle w:val="TAC"/>
              <w:jc w:val="left"/>
            </w:pPr>
            <w:r>
              <w:t>256</w:t>
            </w:r>
            <w:r w:rsidR="00121DBC">
              <w:t>-</w:t>
            </w:r>
            <w:r>
              <w:t>QAM</w:t>
            </w:r>
          </w:p>
        </w:tc>
        <w:tc>
          <w:tcPr>
            <w:tcW w:w="4678" w:type="dxa"/>
            <w:tcBorders>
              <w:top w:val="single" w:sz="4" w:space="0" w:color="auto"/>
              <w:left w:val="single" w:sz="4" w:space="0" w:color="auto"/>
              <w:bottom w:val="single" w:sz="4" w:space="0" w:color="auto"/>
              <w:right w:val="single" w:sz="4" w:space="0" w:color="auto"/>
            </w:tcBorders>
          </w:tcPr>
          <w:p w:rsidR="00CC5A04" w:rsidRPr="000B53DC" w:rsidRDefault="00CC5A04" w:rsidP="00D111C8">
            <w:pPr>
              <w:pStyle w:val="TAC"/>
              <w:jc w:val="left"/>
            </w:pPr>
          </w:p>
        </w:tc>
      </w:tr>
      <w:tr w:rsidR="00CC5A04" w:rsidTr="00CF175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C5A04" w:rsidRPr="00A53DCB" w:rsidRDefault="00CC5A04" w:rsidP="00D111C8">
            <w:pPr>
              <w:pStyle w:val="TAC"/>
            </w:pPr>
            <w:r>
              <w:t>Transmission bandwidth</w:t>
            </w:r>
          </w:p>
        </w:tc>
        <w:tc>
          <w:tcPr>
            <w:tcW w:w="1878" w:type="dxa"/>
            <w:tcBorders>
              <w:top w:val="single" w:sz="4" w:space="0" w:color="auto"/>
              <w:left w:val="single" w:sz="4" w:space="0" w:color="auto"/>
              <w:bottom w:val="single" w:sz="4" w:space="0" w:color="auto"/>
              <w:right w:val="single" w:sz="4" w:space="0" w:color="auto"/>
            </w:tcBorders>
          </w:tcPr>
          <w:p w:rsidR="00CC5A04" w:rsidRPr="000B53DC" w:rsidRDefault="00CC5A04" w:rsidP="00BB7049">
            <w:pPr>
              <w:pStyle w:val="TAC"/>
              <w:jc w:val="left"/>
            </w:pPr>
            <w:r>
              <w:t>100 PRB</w:t>
            </w:r>
            <w:r w:rsidR="006242D4">
              <w:t>s</w:t>
            </w:r>
          </w:p>
        </w:tc>
        <w:tc>
          <w:tcPr>
            <w:tcW w:w="4678" w:type="dxa"/>
            <w:tcBorders>
              <w:top w:val="single" w:sz="4" w:space="0" w:color="auto"/>
              <w:left w:val="single" w:sz="4" w:space="0" w:color="auto"/>
              <w:bottom w:val="single" w:sz="4" w:space="0" w:color="auto"/>
              <w:right w:val="single" w:sz="4" w:space="0" w:color="auto"/>
            </w:tcBorders>
          </w:tcPr>
          <w:p w:rsidR="00CC5A04" w:rsidRPr="000B53DC" w:rsidRDefault="00091646" w:rsidP="00CC5A04">
            <w:pPr>
              <w:pStyle w:val="TAC"/>
              <w:jc w:val="left"/>
            </w:pPr>
            <w:r>
              <w:t>Corresponding to a 20 MHz system bandwidth</w:t>
            </w:r>
          </w:p>
        </w:tc>
      </w:tr>
      <w:tr w:rsidR="00CC5A04" w:rsidTr="00CF175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C5A04" w:rsidRDefault="00CC5A04" w:rsidP="00D111C8">
            <w:pPr>
              <w:pStyle w:val="TAC"/>
            </w:pPr>
            <w:r>
              <w:t>Subcarrier Spacing</w:t>
            </w:r>
          </w:p>
        </w:tc>
        <w:tc>
          <w:tcPr>
            <w:tcW w:w="1878" w:type="dxa"/>
            <w:tcBorders>
              <w:top w:val="single" w:sz="4" w:space="0" w:color="auto"/>
              <w:left w:val="single" w:sz="4" w:space="0" w:color="auto"/>
              <w:bottom w:val="single" w:sz="4" w:space="0" w:color="auto"/>
              <w:right w:val="single" w:sz="4" w:space="0" w:color="auto"/>
            </w:tcBorders>
          </w:tcPr>
          <w:p w:rsidR="00CC5A04" w:rsidRDefault="00CC5A04" w:rsidP="00BB7049">
            <w:pPr>
              <w:pStyle w:val="TAC"/>
              <w:jc w:val="left"/>
            </w:pPr>
            <w:r>
              <w:t>15 kHz</w:t>
            </w:r>
          </w:p>
        </w:tc>
        <w:tc>
          <w:tcPr>
            <w:tcW w:w="4678" w:type="dxa"/>
            <w:tcBorders>
              <w:top w:val="single" w:sz="4" w:space="0" w:color="auto"/>
              <w:left w:val="single" w:sz="4" w:space="0" w:color="auto"/>
              <w:bottom w:val="single" w:sz="4" w:space="0" w:color="auto"/>
              <w:right w:val="single" w:sz="4" w:space="0" w:color="auto"/>
            </w:tcBorders>
          </w:tcPr>
          <w:p w:rsidR="00CC5A04" w:rsidRDefault="00CC5A04" w:rsidP="00D111C8">
            <w:pPr>
              <w:pStyle w:val="TAC"/>
              <w:jc w:val="left"/>
            </w:pPr>
            <w:r>
              <w:t>For normal CP case</w:t>
            </w:r>
          </w:p>
        </w:tc>
      </w:tr>
      <w:tr w:rsidR="00CC5A04" w:rsidTr="00CF175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C5A04" w:rsidRDefault="00CC5A04" w:rsidP="00D111C8">
            <w:pPr>
              <w:pStyle w:val="TAC"/>
            </w:pPr>
            <w:r>
              <w:t>CP Length</w:t>
            </w:r>
          </w:p>
        </w:tc>
        <w:tc>
          <w:tcPr>
            <w:tcW w:w="1878" w:type="dxa"/>
            <w:tcBorders>
              <w:top w:val="single" w:sz="4" w:space="0" w:color="auto"/>
              <w:left w:val="single" w:sz="4" w:space="0" w:color="auto"/>
              <w:bottom w:val="single" w:sz="4" w:space="0" w:color="auto"/>
              <w:right w:val="single" w:sz="4" w:space="0" w:color="auto"/>
            </w:tcBorders>
          </w:tcPr>
          <w:p w:rsidR="00CC5A04" w:rsidRDefault="00CC5A04" w:rsidP="00BB7049">
            <w:pPr>
              <w:pStyle w:val="TAC"/>
              <w:jc w:val="left"/>
            </w:pPr>
            <w:r>
              <w:t>Normal CP</w:t>
            </w:r>
          </w:p>
        </w:tc>
        <w:tc>
          <w:tcPr>
            <w:tcW w:w="4678" w:type="dxa"/>
            <w:tcBorders>
              <w:top w:val="single" w:sz="4" w:space="0" w:color="auto"/>
              <w:left w:val="single" w:sz="4" w:space="0" w:color="auto"/>
              <w:bottom w:val="single" w:sz="4" w:space="0" w:color="auto"/>
              <w:right w:val="single" w:sz="4" w:space="0" w:color="auto"/>
            </w:tcBorders>
          </w:tcPr>
          <w:p w:rsidR="0035593E" w:rsidRPr="0035593E" w:rsidRDefault="0035593E" w:rsidP="0035593E">
            <w:pPr>
              <w:pStyle w:val="TAC"/>
              <w:jc w:val="left"/>
            </w:pPr>
            <w:r w:rsidRPr="0035593E">
              <w:t>160</w:t>
            </w:r>
            <w:r w:rsidR="0068486E">
              <w:t>*</w:t>
            </w:r>
            <w:r w:rsidRPr="0035593E">
              <w:t>Ts for the first symbol of a slot</w:t>
            </w:r>
            <w:r>
              <w:t>,</w:t>
            </w:r>
          </w:p>
          <w:p w:rsidR="00CC5A04" w:rsidRDefault="0035593E" w:rsidP="0068486E">
            <w:pPr>
              <w:pStyle w:val="TAC"/>
              <w:jc w:val="left"/>
            </w:pPr>
            <w:r w:rsidRPr="0035593E">
              <w:t>144</w:t>
            </w:r>
            <w:r w:rsidR="0068486E">
              <w:t>*</w:t>
            </w:r>
            <w:r w:rsidRPr="0035593E">
              <w:t>Ts for the remaining 6 symbols of a slot</w:t>
            </w:r>
          </w:p>
        </w:tc>
      </w:tr>
      <w:tr w:rsidR="00CC5A04" w:rsidTr="00CF175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C5A04" w:rsidRPr="00A53DCB" w:rsidRDefault="00CC5A04" w:rsidP="00D111C8">
            <w:pPr>
              <w:pStyle w:val="TAC"/>
            </w:pPr>
            <w:r>
              <w:t>Reference Signals</w:t>
            </w:r>
          </w:p>
        </w:tc>
        <w:tc>
          <w:tcPr>
            <w:tcW w:w="1878" w:type="dxa"/>
            <w:tcBorders>
              <w:top w:val="single" w:sz="4" w:space="0" w:color="auto"/>
              <w:left w:val="single" w:sz="4" w:space="0" w:color="auto"/>
              <w:bottom w:val="single" w:sz="4" w:space="0" w:color="auto"/>
              <w:right w:val="single" w:sz="4" w:space="0" w:color="auto"/>
            </w:tcBorders>
          </w:tcPr>
          <w:p w:rsidR="00CC5A04" w:rsidRPr="00A53DCB" w:rsidRDefault="00CC5A04" w:rsidP="00121DBC">
            <w:pPr>
              <w:pStyle w:val="TAC"/>
              <w:jc w:val="left"/>
            </w:pPr>
            <w:r>
              <w:t xml:space="preserve">8 </w:t>
            </w:r>
            <w:r w:rsidR="00121DBC">
              <w:t>DMRS + 1 CRS</w:t>
            </w:r>
          </w:p>
        </w:tc>
        <w:tc>
          <w:tcPr>
            <w:tcW w:w="4678" w:type="dxa"/>
            <w:tcBorders>
              <w:top w:val="single" w:sz="4" w:space="0" w:color="auto"/>
              <w:left w:val="single" w:sz="4" w:space="0" w:color="auto"/>
              <w:bottom w:val="single" w:sz="4" w:space="0" w:color="auto"/>
              <w:right w:val="single" w:sz="4" w:space="0" w:color="auto"/>
            </w:tcBorders>
          </w:tcPr>
          <w:p w:rsidR="00CC5A04" w:rsidRPr="00A53DCB" w:rsidRDefault="006242D4" w:rsidP="00D111C8">
            <w:pPr>
              <w:pStyle w:val="TAC"/>
              <w:jc w:val="left"/>
            </w:pPr>
            <w:r>
              <w:t>Assuming normal unicast subframe</w:t>
            </w:r>
          </w:p>
        </w:tc>
      </w:tr>
      <w:tr w:rsidR="00CC5A04" w:rsidTr="00CF175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C5A04" w:rsidRDefault="000A63C3" w:rsidP="007D3024">
            <w:pPr>
              <w:pStyle w:val="TAC"/>
            </w:pPr>
            <w:r>
              <w:t>Control channels</w:t>
            </w:r>
          </w:p>
        </w:tc>
        <w:tc>
          <w:tcPr>
            <w:tcW w:w="1878" w:type="dxa"/>
            <w:tcBorders>
              <w:top w:val="single" w:sz="4" w:space="0" w:color="auto"/>
              <w:left w:val="single" w:sz="4" w:space="0" w:color="auto"/>
              <w:bottom w:val="single" w:sz="4" w:space="0" w:color="auto"/>
              <w:right w:val="single" w:sz="4" w:space="0" w:color="auto"/>
            </w:tcBorders>
          </w:tcPr>
          <w:p w:rsidR="00CC5A04" w:rsidRDefault="00CC5A04" w:rsidP="007D3024">
            <w:pPr>
              <w:pStyle w:val="TAC"/>
              <w:jc w:val="left"/>
            </w:pPr>
            <w:r>
              <w:t>1 OFDM symbol</w:t>
            </w:r>
          </w:p>
        </w:tc>
        <w:tc>
          <w:tcPr>
            <w:tcW w:w="4678" w:type="dxa"/>
            <w:tcBorders>
              <w:top w:val="single" w:sz="4" w:space="0" w:color="auto"/>
              <w:left w:val="single" w:sz="4" w:space="0" w:color="auto"/>
              <w:bottom w:val="single" w:sz="4" w:space="0" w:color="auto"/>
              <w:right w:val="single" w:sz="4" w:space="0" w:color="auto"/>
            </w:tcBorders>
          </w:tcPr>
          <w:p w:rsidR="00CC5A04" w:rsidRDefault="000A63C3" w:rsidP="00D111C8">
            <w:pPr>
              <w:pStyle w:val="TAC"/>
              <w:jc w:val="left"/>
            </w:pPr>
            <w:r>
              <w:t xml:space="preserve">Normal subframe with </w:t>
            </w:r>
            <w:r w:rsidR="0035593E">
              <w:t>1</w:t>
            </w:r>
            <w:r w:rsidR="006242D4">
              <w:t xml:space="preserve"> </w:t>
            </w:r>
            <w:r w:rsidR="0035593E">
              <w:t xml:space="preserve">OFDM symbol </w:t>
            </w:r>
            <w:r w:rsidR="006242D4">
              <w:t>control region</w:t>
            </w:r>
          </w:p>
          <w:p w:rsidR="0035593E" w:rsidRDefault="0035593E" w:rsidP="00D111C8">
            <w:pPr>
              <w:pStyle w:val="TAC"/>
              <w:jc w:val="left"/>
            </w:pPr>
          </w:p>
        </w:tc>
      </w:tr>
    </w:tbl>
    <w:p w:rsidR="007A3C54" w:rsidRDefault="007A3C54" w:rsidP="00063936">
      <w:pPr>
        <w:pStyle w:val="CommentText"/>
        <w:rPr>
          <w:rFonts w:eastAsia="Calibri"/>
          <w:b/>
          <w:sz w:val="22"/>
          <w:szCs w:val="22"/>
          <w:lang w:eastAsia="sv-SE"/>
        </w:rPr>
      </w:pPr>
    </w:p>
    <w:p w:rsidR="00063936" w:rsidRDefault="00063936" w:rsidP="00063936">
      <w:pPr>
        <w:pStyle w:val="CommentText"/>
        <w:rPr>
          <w:rFonts w:eastAsia="Calibri"/>
          <w:sz w:val="22"/>
          <w:szCs w:val="22"/>
          <w:lang w:eastAsia="sv-SE"/>
        </w:rPr>
      </w:pPr>
      <w:r w:rsidRPr="00063936">
        <w:rPr>
          <w:rFonts w:eastAsia="Calibri"/>
          <w:sz w:val="22"/>
          <w:szCs w:val="22"/>
          <w:lang w:eastAsia="sv-SE"/>
        </w:rPr>
        <w:t xml:space="preserve">However, the actual </w:t>
      </w:r>
      <w:r>
        <w:rPr>
          <w:rFonts w:eastAsia="Calibri"/>
          <w:sz w:val="22"/>
          <w:szCs w:val="22"/>
          <w:lang w:eastAsia="sv-SE"/>
        </w:rPr>
        <w:t>spectral efficiency is largely related to the system design, e.g.</w:t>
      </w:r>
      <w:r w:rsidR="00503914">
        <w:rPr>
          <w:rFonts w:eastAsia="Calibri"/>
          <w:sz w:val="22"/>
          <w:szCs w:val="22"/>
          <w:lang w:eastAsia="sv-SE"/>
        </w:rPr>
        <w:t>,</w:t>
      </w:r>
      <w:r>
        <w:rPr>
          <w:rFonts w:eastAsia="Calibri"/>
          <w:sz w:val="22"/>
          <w:szCs w:val="22"/>
          <w:lang w:eastAsia="sv-SE"/>
        </w:rPr>
        <w:t xml:space="preserve"> the overhead and the implementation </w:t>
      </w:r>
      <w:r w:rsidR="002464B7">
        <w:rPr>
          <w:rFonts w:eastAsia="Calibri"/>
          <w:sz w:val="22"/>
          <w:szCs w:val="22"/>
          <w:lang w:eastAsia="sv-SE"/>
        </w:rPr>
        <w:t>such as the TBS limitation</w:t>
      </w:r>
      <w:r>
        <w:rPr>
          <w:rFonts w:eastAsia="Calibri"/>
          <w:sz w:val="22"/>
          <w:szCs w:val="22"/>
          <w:lang w:eastAsia="sv-SE"/>
        </w:rPr>
        <w:t>. The practical</w:t>
      </w:r>
      <w:r w:rsidR="00ED3C70">
        <w:rPr>
          <w:rFonts w:eastAsia="Calibri"/>
          <w:sz w:val="22"/>
          <w:szCs w:val="22"/>
          <w:lang w:eastAsia="sv-SE"/>
        </w:rPr>
        <w:t>ly</w:t>
      </w:r>
      <w:r>
        <w:rPr>
          <w:rFonts w:eastAsia="Calibri"/>
          <w:sz w:val="22"/>
          <w:szCs w:val="22"/>
          <w:lang w:eastAsia="sv-SE"/>
        </w:rPr>
        <w:t xml:space="preserve"> achi</w:t>
      </w:r>
      <w:r w:rsidR="00CC5A04">
        <w:rPr>
          <w:rFonts w:eastAsia="Calibri"/>
          <w:sz w:val="22"/>
          <w:szCs w:val="22"/>
          <w:lang w:eastAsia="sv-SE"/>
        </w:rPr>
        <w:t>e</w:t>
      </w:r>
      <w:r>
        <w:rPr>
          <w:rFonts w:eastAsia="Calibri"/>
          <w:sz w:val="22"/>
          <w:szCs w:val="22"/>
          <w:lang w:eastAsia="sv-SE"/>
        </w:rPr>
        <w:t xml:space="preserve">vable LTE peak performance </w:t>
      </w:r>
      <w:r w:rsidR="002464B7">
        <w:rPr>
          <w:rFonts w:eastAsia="Calibri"/>
          <w:sz w:val="22"/>
          <w:szCs w:val="22"/>
          <w:lang w:eastAsia="sv-SE"/>
        </w:rPr>
        <w:t>could then be found as</w:t>
      </w:r>
      <w:r>
        <w:rPr>
          <w:rFonts w:eastAsia="Calibri"/>
          <w:sz w:val="22"/>
          <w:szCs w:val="22"/>
          <w:lang w:eastAsia="sv-SE"/>
        </w:rPr>
        <w:t>:</w:t>
      </w:r>
    </w:p>
    <w:p w:rsidR="00063936" w:rsidRPr="00063936" w:rsidRDefault="002664CC" w:rsidP="00BB7049">
      <w:pPr>
        <w:pStyle w:val="CommentText"/>
        <w:jc w:val="center"/>
        <w:rPr>
          <w:rFonts w:eastAsia="Calibri"/>
          <w:sz w:val="22"/>
          <w:szCs w:val="22"/>
          <w:lang w:eastAsia="sv-SE"/>
        </w:rPr>
      </w:pPr>
      <m:oMathPara>
        <m:oMath>
          <m:sSub>
            <m:sSubPr>
              <m:ctrlPr>
                <w:rPr>
                  <w:rFonts w:ascii="Cambria Math" w:eastAsia="Calibri" w:hAnsi="Cambria Math"/>
                  <w:i/>
                  <w:sz w:val="22"/>
                  <w:szCs w:val="22"/>
                  <w:lang w:eastAsia="sv-SE"/>
                </w:rPr>
              </m:ctrlPr>
            </m:sSubPr>
            <m:e>
              <m:r>
                <w:rPr>
                  <w:rFonts w:ascii="Cambria Math" w:eastAsia="Calibri" w:hAnsi="Cambria Math"/>
                  <w:lang w:eastAsia="sv-SE"/>
                </w:rPr>
                <m:t>PSE</m:t>
              </m:r>
            </m:e>
            <m:sub>
              <m:r>
                <w:rPr>
                  <w:rFonts w:ascii="Cambria Math" w:eastAsia="Calibri" w:hAnsi="Cambria Math"/>
                  <w:lang w:eastAsia="sv-SE"/>
                </w:rPr>
                <m:t>practical</m:t>
              </m:r>
            </m:sub>
          </m:sSub>
          <m:r>
            <w:rPr>
              <w:rFonts w:ascii="Cambria Math" w:eastAsia="Calibri" w:hAnsi="Cambria Math"/>
              <w:lang w:eastAsia="sv-SE"/>
            </w:rPr>
            <m:t>=</m:t>
          </m:r>
          <m:f>
            <m:fPr>
              <m:ctrlPr>
                <w:rPr>
                  <w:rFonts w:ascii="Cambria Math" w:eastAsia="Calibri" w:hAnsi="Cambria Math"/>
                  <w:i/>
                  <w:lang w:eastAsia="sv-SE"/>
                </w:rPr>
              </m:ctrlPr>
            </m:fPr>
            <m:num>
              <m:r>
                <m:rPr>
                  <m:nor/>
                </m:rPr>
                <w:rPr>
                  <w:rFonts w:ascii="Cambria Math" w:eastAsia="Calibri" w:hAnsi="Cambria Math"/>
                  <w:lang w:eastAsia="sv-SE"/>
                </w:rPr>
                <m:t>Maximum TBS * Number of codewords</m:t>
              </m:r>
            </m:num>
            <m:den>
              <m:r>
                <m:rPr>
                  <m:nor/>
                </m:rPr>
                <w:rPr>
                  <w:rFonts w:ascii="Cambria Math" w:eastAsia="Calibri" w:hAnsi="Cambria Math"/>
                  <w:lang w:eastAsia="sv-SE"/>
                </w:rPr>
                <m:t>Carrier bandwidth * Subframe length</m:t>
              </m:r>
            </m:den>
          </m:f>
          <m:r>
            <w:rPr>
              <w:rFonts w:ascii="Cambria Math" w:eastAsia="Calibri" w:hAnsi="Cambria Math"/>
              <w:lang w:eastAsia="sv-SE"/>
            </w:rPr>
            <m:t>=</m:t>
          </m:r>
          <m:f>
            <m:fPr>
              <m:ctrlPr>
                <w:rPr>
                  <w:rFonts w:ascii="Cambria Math" w:eastAsia="Calibri" w:hAnsi="Cambria Math"/>
                  <w:i/>
                  <w:lang w:eastAsia="sv-SE"/>
                </w:rPr>
              </m:ctrlPr>
            </m:fPr>
            <m:num>
              <m:r>
                <w:rPr>
                  <w:rFonts w:ascii="Cambria Math" w:eastAsia="Calibri" w:hAnsi="Cambria Math"/>
                  <w:lang w:eastAsia="sv-SE"/>
                </w:rPr>
                <m:t>391656 *2</m:t>
              </m:r>
            </m:num>
            <m:den>
              <m:r>
                <w:rPr>
                  <w:rFonts w:ascii="Cambria Math" w:eastAsia="Calibri" w:hAnsi="Cambria Math"/>
                  <w:lang w:eastAsia="sv-SE"/>
                </w:rPr>
                <m:t xml:space="preserve">20 </m:t>
              </m:r>
              <m:r>
                <m:rPr>
                  <m:nor/>
                </m:rPr>
                <w:rPr>
                  <w:rFonts w:ascii="Cambria Math" w:eastAsia="Calibri" w:hAnsi="Cambria Math"/>
                  <w:lang w:eastAsia="sv-SE"/>
                </w:rPr>
                <m:t>MHz</m:t>
              </m:r>
              <m:r>
                <w:rPr>
                  <w:rFonts w:ascii="Cambria Math" w:eastAsia="Calibri" w:hAnsi="Cambria Math"/>
                  <w:lang w:eastAsia="sv-SE"/>
                </w:rPr>
                <m:t xml:space="preserve">*1 </m:t>
              </m:r>
              <m:r>
                <m:rPr>
                  <m:nor/>
                </m:rPr>
                <w:rPr>
                  <w:rFonts w:ascii="Cambria Math" w:eastAsia="Calibri" w:hAnsi="Cambria Math"/>
                  <w:lang w:eastAsia="sv-SE"/>
                </w:rPr>
                <m:t>ms</m:t>
              </m:r>
            </m:den>
          </m:f>
          <m:r>
            <w:rPr>
              <w:rFonts w:ascii="Cambria Math" w:eastAsia="Calibri" w:hAnsi="Cambria Math"/>
              <w:lang w:eastAsia="sv-SE"/>
            </w:rPr>
            <m:t xml:space="preserve">=39 </m:t>
          </m:r>
          <m:r>
            <m:rPr>
              <m:nor/>
            </m:rPr>
            <w:rPr>
              <w:rFonts w:ascii="Cambria Math" w:eastAsia="Calibri" w:hAnsi="Cambria Math"/>
              <w:lang w:eastAsia="sv-SE"/>
            </w:rPr>
            <m:t>bps/Hz</m:t>
          </m:r>
        </m:oMath>
      </m:oMathPara>
    </w:p>
    <w:p w:rsidR="00063936" w:rsidRDefault="002464B7" w:rsidP="00063936">
      <w:pPr>
        <w:pStyle w:val="CommentText"/>
        <w:rPr>
          <w:rFonts w:eastAsia="Calibri"/>
          <w:sz w:val="22"/>
          <w:szCs w:val="22"/>
          <w:lang w:eastAsia="sv-SE"/>
        </w:rPr>
      </w:pPr>
      <w:r>
        <w:rPr>
          <w:rFonts w:eastAsia="Calibri"/>
          <w:sz w:val="22"/>
          <w:szCs w:val="22"/>
          <w:lang w:eastAsia="sv-SE"/>
        </w:rPr>
        <w:t>assuming 100 PRBs are used</w:t>
      </w:r>
      <w:r w:rsidR="007D3024" w:rsidRPr="00F30572">
        <w:rPr>
          <w:rFonts w:eastAsia="Calibri"/>
          <w:sz w:val="22"/>
          <w:szCs w:val="22"/>
          <w:lang w:eastAsia="sv-SE"/>
        </w:rPr>
        <w:t>.</w:t>
      </w:r>
      <w:r w:rsidR="0035593E" w:rsidRPr="00F30572">
        <w:rPr>
          <w:rFonts w:eastAsia="Calibri"/>
          <w:sz w:val="22"/>
          <w:szCs w:val="22"/>
          <w:lang w:eastAsia="sv-SE"/>
        </w:rPr>
        <w:t xml:space="preserve"> </w:t>
      </w:r>
      <w:r w:rsidR="00503914">
        <w:rPr>
          <w:rFonts w:eastAsia="Calibri"/>
          <w:sz w:val="22"/>
          <w:szCs w:val="22"/>
          <w:lang w:eastAsia="sv-SE"/>
        </w:rPr>
        <w:t>T</w:t>
      </w:r>
      <w:r w:rsidR="0035593E" w:rsidRPr="00F30572">
        <w:rPr>
          <w:rFonts w:eastAsia="Calibri"/>
          <w:sz w:val="22"/>
          <w:szCs w:val="22"/>
          <w:lang w:eastAsia="sv-SE"/>
        </w:rPr>
        <w:t xml:space="preserve">herefore </w:t>
      </w:r>
      <w:r w:rsidR="00503914">
        <w:rPr>
          <w:rFonts w:eastAsia="Calibri"/>
          <w:sz w:val="22"/>
          <w:szCs w:val="22"/>
          <w:lang w:eastAsia="sv-SE"/>
        </w:rPr>
        <w:t>an equivalent overhead of</w:t>
      </w:r>
      <w:r w:rsidR="0035593E" w:rsidRPr="00F30572">
        <w:rPr>
          <w:rFonts w:eastAsia="Calibri"/>
          <w:sz w:val="22"/>
          <w:szCs w:val="22"/>
          <w:lang w:eastAsia="sv-SE"/>
        </w:rPr>
        <w:t xml:space="preserve"> LTE </w:t>
      </w:r>
      <w:r w:rsidR="00503914">
        <w:rPr>
          <w:rFonts w:eastAsia="Calibri"/>
          <w:sz w:val="22"/>
          <w:szCs w:val="22"/>
          <w:lang w:eastAsia="sv-SE"/>
        </w:rPr>
        <w:t>working at its capacity could be determined by</w:t>
      </w:r>
      <w:r>
        <w:rPr>
          <w:rFonts w:eastAsia="Calibri"/>
          <w:sz w:val="22"/>
          <w:szCs w:val="22"/>
          <w:lang w:eastAsia="sv-SE"/>
        </w:rPr>
        <w:t xml:space="preserve"> </w:t>
      </w:r>
      <m:oMath>
        <m:d>
          <m:dPr>
            <m:ctrlPr>
              <w:rPr>
                <w:rFonts w:ascii="Cambria Math" w:eastAsia="Calibri" w:hAnsi="Cambria Math"/>
                <w:i/>
                <w:lang w:eastAsia="sv-SE"/>
              </w:rPr>
            </m:ctrlPr>
          </m:dPr>
          <m:e>
            <m:r>
              <w:rPr>
                <w:rFonts w:ascii="Cambria Math" w:eastAsia="Calibri" w:hAnsi="Cambria Math"/>
                <w:sz w:val="22"/>
                <w:szCs w:val="22"/>
                <w:lang w:eastAsia="sv-SE"/>
              </w:rPr>
              <m:t>1-</m:t>
            </m:r>
            <m:f>
              <m:fPr>
                <m:ctrlPr>
                  <w:rPr>
                    <w:rFonts w:ascii="Cambria Math" w:eastAsia="Calibri" w:hAnsi="Cambria Math"/>
                    <w:i/>
                    <w:sz w:val="22"/>
                    <w:szCs w:val="22"/>
                    <w:lang w:eastAsia="sv-SE"/>
                  </w:rPr>
                </m:ctrlPr>
              </m:fPr>
              <m:num>
                <m:sSub>
                  <m:sSubPr>
                    <m:ctrlPr>
                      <w:rPr>
                        <w:rFonts w:ascii="Cambria Math" w:eastAsia="Calibri" w:hAnsi="Cambria Math"/>
                        <w:i/>
                        <w:sz w:val="22"/>
                        <w:szCs w:val="22"/>
                        <w:lang w:eastAsia="sv-SE"/>
                      </w:rPr>
                    </m:ctrlPr>
                  </m:sSubPr>
                  <m:e>
                    <m:r>
                      <w:rPr>
                        <w:rFonts w:ascii="Cambria Math" w:eastAsia="Calibri" w:hAnsi="Cambria Math"/>
                        <w:sz w:val="22"/>
                        <w:szCs w:val="22"/>
                        <w:lang w:eastAsia="sv-SE"/>
                      </w:rPr>
                      <m:t>PSE</m:t>
                    </m:r>
                  </m:e>
                  <m:sub>
                    <m:r>
                      <w:rPr>
                        <w:rFonts w:ascii="Cambria Math" w:eastAsia="Calibri" w:hAnsi="Cambria Math"/>
                        <w:sz w:val="22"/>
                        <w:szCs w:val="22"/>
                        <w:lang w:eastAsia="sv-SE"/>
                      </w:rPr>
                      <m:t>practical</m:t>
                    </m:r>
                  </m:sub>
                </m:sSub>
              </m:num>
              <m:den>
                <m:sSub>
                  <m:sSubPr>
                    <m:ctrlPr>
                      <w:rPr>
                        <w:rFonts w:ascii="Cambria Math" w:eastAsia="Calibri" w:hAnsi="Cambria Math"/>
                        <w:i/>
                        <w:sz w:val="22"/>
                        <w:szCs w:val="22"/>
                        <w:lang w:eastAsia="sv-SE"/>
                      </w:rPr>
                    </m:ctrlPr>
                  </m:sSubPr>
                  <m:e>
                    <m:r>
                      <w:rPr>
                        <w:rFonts w:ascii="Cambria Math" w:eastAsia="Calibri" w:hAnsi="Cambria Math"/>
                        <w:sz w:val="22"/>
                        <w:szCs w:val="22"/>
                        <w:lang w:eastAsia="sv-SE"/>
                      </w:rPr>
                      <m:t>PSE</m:t>
                    </m:r>
                  </m:e>
                  <m:sub>
                    <m:r>
                      <w:rPr>
                        <w:rFonts w:ascii="Cambria Math" w:eastAsia="Calibri" w:hAnsi="Cambria Math"/>
                        <w:sz w:val="22"/>
                        <w:szCs w:val="22"/>
                        <w:lang w:eastAsia="sv-SE"/>
                      </w:rPr>
                      <m:t>ideal</m:t>
                    </m:r>
                  </m:sub>
                </m:sSub>
              </m:den>
            </m:f>
            <m:ctrlPr>
              <w:rPr>
                <w:rFonts w:ascii="Cambria Math" w:eastAsia="Calibri" w:hAnsi="Cambria Math"/>
                <w:i/>
                <w:sz w:val="22"/>
                <w:szCs w:val="22"/>
                <w:lang w:eastAsia="sv-SE"/>
              </w:rPr>
            </m:ctrlPr>
          </m:e>
        </m:d>
        <m:r>
          <w:rPr>
            <w:rFonts w:ascii="Cambria Math" w:eastAsia="Calibri" w:hAnsi="Cambria Math"/>
            <w:sz w:val="22"/>
            <w:szCs w:val="22"/>
            <w:lang w:eastAsia="sv-SE"/>
          </w:rPr>
          <m:t>=39%.</m:t>
        </m:r>
      </m:oMath>
    </w:p>
    <w:p w:rsidR="001F203C" w:rsidRDefault="001F203C" w:rsidP="00063936">
      <w:pPr>
        <w:pStyle w:val="CommentText"/>
        <w:rPr>
          <w:rFonts w:eastAsia="Calibri"/>
          <w:b/>
          <w:sz w:val="22"/>
          <w:szCs w:val="22"/>
          <w:lang w:eastAsia="sv-SE"/>
        </w:rPr>
      </w:pPr>
      <w:r w:rsidRPr="001F203C">
        <w:rPr>
          <w:rFonts w:eastAsia="Calibri"/>
          <w:b/>
          <w:sz w:val="22"/>
          <w:szCs w:val="22"/>
          <w:lang w:eastAsia="sv-SE"/>
        </w:rPr>
        <w:t>Observation 1:</w:t>
      </w:r>
      <w:r>
        <w:rPr>
          <w:rFonts w:eastAsia="Calibri"/>
          <w:b/>
          <w:sz w:val="22"/>
          <w:szCs w:val="22"/>
          <w:lang w:eastAsia="sv-SE"/>
        </w:rPr>
        <w:tab/>
      </w:r>
      <w:r w:rsidR="00503914">
        <w:rPr>
          <w:rFonts w:eastAsia="Calibri"/>
          <w:b/>
          <w:sz w:val="22"/>
          <w:szCs w:val="22"/>
          <w:lang w:eastAsia="sv-SE"/>
        </w:rPr>
        <w:t xml:space="preserve">At its capacity limit, </w:t>
      </w:r>
      <w:r>
        <w:rPr>
          <w:rFonts w:eastAsia="Calibri"/>
          <w:b/>
          <w:sz w:val="22"/>
          <w:szCs w:val="22"/>
          <w:lang w:eastAsia="sv-SE"/>
        </w:rPr>
        <w:t xml:space="preserve">LTE </w:t>
      </w:r>
      <w:r w:rsidR="00503914">
        <w:rPr>
          <w:rFonts w:eastAsia="Calibri"/>
          <w:b/>
          <w:sz w:val="22"/>
          <w:szCs w:val="22"/>
          <w:lang w:eastAsia="sv-SE"/>
        </w:rPr>
        <w:t>has</w:t>
      </w:r>
      <w:r>
        <w:rPr>
          <w:rFonts w:eastAsia="Calibri"/>
          <w:b/>
          <w:sz w:val="22"/>
          <w:szCs w:val="22"/>
          <w:lang w:eastAsia="sv-SE"/>
        </w:rPr>
        <w:t xml:space="preserve"> an overhead of around 39%</w:t>
      </w:r>
      <w:r w:rsidR="005113D5">
        <w:rPr>
          <w:rFonts w:eastAsia="Calibri"/>
          <w:b/>
          <w:sz w:val="22"/>
          <w:szCs w:val="22"/>
          <w:lang w:eastAsia="sv-SE"/>
        </w:rPr>
        <w:t xml:space="preserve"> compared to an ideal system</w:t>
      </w:r>
      <w:r>
        <w:rPr>
          <w:rFonts w:eastAsia="Calibri"/>
          <w:b/>
          <w:sz w:val="22"/>
          <w:szCs w:val="22"/>
          <w:lang w:eastAsia="sv-SE"/>
        </w:rPr>
        <w:t>.</w:t>
      </w:r>
    </w:p>
    <w:p w:rsidR="00CA5519" w:rsidRDefault="00CA5519" w:rsidP="00063936">
      <w:pPr>
        <w:pStyle w:val="CommentText"/>
        <w:rPr>
          <w:rFonts w:eastAsia="Calibri"/>
          <w:b/>
          <w:sz w:val="22"/>
          <w:szCs w:val="22"/>
          <w:lang w:eastAsia="sv-SE"/>
        </w:rPr>
      </w:pPr>
    </w:p>
    <w:p w:rsidR="00CA5519" w:rsidRPr="00CA5519" w:rsidRDefault="00CA5519" w:rsidP="00CA5519">
      <w:pPr>
        <w:rPr>
          <w:b/>
          <w:u w:val="single"/>
        </w:rPr>
      </w:pPr>
      <w:r>
        <w:rPr>
          <w:b/>
          <w:u w:val="single"/>
        </w:rPr>
        <w:t xml:space="preserve">Key elements of LTE </w:t>
      </w:r>
      <w:r w:rsidR="00E27A8B">
        <w:rPr>
          <w:b/>
          <w:u w:val="single"/>
        </w:rPr>
        <w:t>overhead</w:t>
      </w:r>
    </w:p>
    <w:p w:rsidR="00CA5519" w:rsidRPr="00F30572" w:rsidRDefault="00F30572" w:rsidP="00F30572">
      <w:pPr>
        <w:pStyle w:val="CommentText"/>
        <w:rPr>
          <w:rFonts w:eastAsia="Calibri"/>
          <w:sz w:val="22"/>
          <w:szCs w:val="22"/>
          <w:lang w:eastAsia="sv-SE"/>
        </w:rPr>
      </w:pPr>
      <w:r>
        <w:rPr>
          <w:rFonts w:eastAsia="Calibri"/>
          <w:sz w:val="22"/>
          <w:szCs w:val="22"/>
          <w:lang w:eastAsia="sv-SE"/>
        </w:rPr>
        <w:t>A</w:t>
      </w:r>
      <w:r w:rsidR="00417487">
        <w:rPr>
          <w:rFonts w:eastAsia="Calibri"/>
          <w:sz w:val="22"/>
          <w:szCs w:val="22"/>
          <w:lang w:eastAsia="sv-SE"/>
        </w:rPr>
        <w:t>n</w:t>
      </w:r>
      <w:r>
        <w:rPr>
          <w:rFonts w:eastAsia="Calibri"/>
          <w:sz w:val="22"/>
          <w:szCs w:val="22"/>
          <w:lang w:eastAsia="sv-SE"/>
        </w:rPr>
        <w:t xml:space="preserve"> analysis on the elements contributing to the </w:t>
      </w:r>
      <w:r w:rsidRPr="00091646">
        <w:rPr>
          <w:rFonts w:eastAsia="Calibri"/>
          <w:sz w:val="22"/>
          <w:szCs w:val="22"/>
          <w:lang w:eastAsia="sv-SE"/>
        </w:rPr>
        <w:t>overhead</w:t>
      </w:r>
      <w:r>
        <w:rPr>
          <w:rFonts w:eastAsia="Calibri"/>
          <w:sz w:val="22"/>
          <w:szCs w:val="22"/>
          <w:lang w:eastAsia="sv-SE"/>
        </w:rPr>
        <w:t xml:space="preserve"> is given in Table 2.</w:t>
      </w:r>
    </w:p>
    <w:p w:rsidR="003236B9" w:rsidRDefault="003236B9" w:rsidP="003236B9">
      <w:pPr>
        <w:pStyle w:val="CommentText"/>
        <w:jc w:val="center"/>
        <w:rPr>
          <w:rFonts w:eastAsia="Calibri"/>
          <w:b/>
          <w:sz w:val="22"/>
          <w:szCs w:val="22"/>
          <w:lang w:eastAsia="sv-SE"/>
        </w:rPr>
      </w:pPr>
      <w:r w:rsidRPr="00656A17">
        <w:rPr>
          <w:rFonts w:eastAsia="Calibri"/>
          <w:b/>
          <w:sz w:val="22"/>
          <w:szCs w:val="22"/>
          <w:lang w:eastAsia="sv-SE"/>
        </w:rPr>
        <w:t xml:space="preserve">Table </w:t>
      </w:r>
      <w:r w:rsidR="007A3C54">
        <w:rPr>
          <w:rFonts w:eastAsia="Calibri"/>
          <w:b/>
          <w:sz w:val="22"/>
          <w:szCs w:val="22"/>
          <w:lang w:eastAsia="sv-SE"/>
        </w:rPr>
        <w:t>2</w:t>
      </w:r>
      <w:r w:rsidRPr="00656A17">
        <w:rPr>
          <w:rFonts w:eastAsia="Calibri"/>
          <w:b/>
          <w:sz w:val="22"/>
          <w:szCs w:val="22"/>
          <w:lang w:eastAsia="sv-SE"/>
        </w:rPr>
        <w:t xml:space="preserve">. </w:t>
      </w:r>
      <w:r w:rsidR="00BB7049">
        <w:rPr>
          <w:rFonts w:eastAsia="Calibri"/>
          <w:b/>
          <w:sz w:val="22"/>
          <w:szCs w:val="22"/>
          <w:lang w:eastAsia="sv-SE"/>
        </w:rPr>
        <w:t xml:space="preserve">Summary of </w:t>
      </w:r>
      <w:r w:rsidR="007B0477">
        <w:rPr>
          <w:rFonts w:eastAsia="Calibri"/>
          <w:b/>
          <w:sz w:val="22"/>
          <w:szCs w:val="22"/>
          <w:lang w:eastAsia="sv-SE"/>
        </w:rPr>
        <w:t>LTE overhead</w:t>
      </w:r>
      <w:r w:rsidR="00BB7049">
        <w:rPr>
          <w:rFonts w:eastAsia="Calibri"/>
          <w:b/>
          <w:sz w:val="22"/>
          <w:szCs w:val="22"/>
          <w:lang w:eastAsia="sv-SE"/>
        </w:rPr>
        <w:t xml:space="preserve"> assuming a 20</w:t>
      </w:r>
      <w:r w:rsidR="00C41D40">
        <w:rPr>
          <w:rFonts w:eastAsia="Calibri"/>
          <w:b/>
          <w:sz w:val="22"/>
          <w:szCs w:val="22"/>
          <w:lang w:eastAsia="sv-SE"/>
        </w:rPr>
        <w:t xml:space="preserve"> </w:t>
      </w:r>
      <w:r w:rsidR="00BB7049">
        <w:rPr>
          <w:rFonts w:eastAsia="Calibri"/>
          <w:b/>
          <w:sz w:val="22"/>
          <w:szCs w:val="22"/>
          <w:lang w:eastAsia="sv-SE"/>
        </w:rPr>
        <w:t>MHz bandwidth</w:t>
      </w:r>
      <w:r w:rsidR="00417487">
        <w:rPr>
          <w:rFonts w:eastAsia="Calibri"/>
          <w:b/>
          <w:sz w:val="22"/>
          <w:szCs w:val="22"/>
          <w:lang w:eastAsia="sv-S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9"/>
        <w:gridCol w:w="1134"/>
        <w:gridCol w:w="5954"/>
      </w:tblGrid>
      <w:tr w:rsidR="00BB7049" w:rsidTr="00CF175D">
        <w:trPr>
          <w:trHeight w:val="207"/>
          <w:jc w:val="center"/>
        </w:trPr>
        <w:tc>
          <w:tcPr>
            <w:tcW w:w="1919" w:type="dxa"/>
            <w:tcBorders>
              <w:top w:val="single" w:sz="4" w:space="0" w:color="auto"/>
              <w:left w:val="single" w:sz="4" w:space="0" w:color="auto"/>
              <w:bottom w:val="single" w:sz="4" w:space="0" w:color="auto"/>
              <w:right w:val="single" w:sz="4" w:space="0" w:color="auto"/>
            </w:tcBorders>
            <w:shd w:val="clear" w:color="auto" w:fill="E0E0E0"/>
            <w:vAlign w:val="bottom"/>
          </w:tcPr>
          <w:p w:rsidR="00BB7049" w:rsidRPr="00A53DCB" w:rsidRDefault="00BB7049" w:rsidP="00BB7049">
            <w:pPr>
              <w:jc w:val="center"/>
              <w:rPr>
                <w:rFonts w:ascii="Arial" w:hAnsi="Arial"/>
                <w:b/>
                <w:sz w:val="18"/>
              </w:rPr>
            </w:pPr>
            <w:r>
              <w:rPr>
                <w:rFonts w:ascii="Arial" w:hAnsi="Arial"/>
                <w:b/>
                <w:sz w:val="18"/>
              </w:rPr>
              <w:t>Element</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bottom"/>
          </w:tcPr>
          <w:p w:rsidR="00BB7049" w:rsidRDefault="00BB7049" w:rsidP="00BB7049">
            <w:pPr>
              <w:jc w:val="center"/>
              <w:rPr>
                <w:rFonts w:ascii="Arial" w:hAnsi="Arial"/>
                <w:b/>
                <w:sz w:val="18"/>
              </w:rPr>
            </w:pPr>
            <w:r>
              <w:rPr>
                <w:rFonts w:ascii="Arial" w:hAnsi="Arial"/>
                <w:b/>
                <w:sz w:val="18"/>
              </w:rPr>
              <w:t>Overhead</w:t>
            </w:r>
          </w:p>
        </w:tc>
        <w:tc>
          <w:tcPr>
            <w:tcW w:w="5954" w:type="dxa"/>
            <w:tcBorders>
              <w:top w:val="single" w:sz="4" w:space="0" w:color="auto"/>
              <w:left w:val="single" w:sz="4" w:space="0" w:color="auto"/>
              <w:bottom w:val="single" w:sz="4" w:space="0" w:color="auto"/>
              <w:right w:val="single" w:sz="4" w:space="0" w:color="auto"/>
            </w:tcBorders>
            <w:shd w:val="clear" w:color="auto" w:fill="E0E0E0"/>
            <w:vAlign w:val="bottom"/>
          </w:tcPr>
          <w:p w:rsidR="00BB7049" w:rsidRDefault="00BB7049" w:rsidP="00BB7049">
            <w:pPr>
              <w:jc w:val="center"/>
              <w:rPr>
                <w:rFonts w:ascii="Arial" w:hAnsi="Arial"/>
                <w:b/>
                <w:sz w:val="18"/>
              </w:rPr>
            </w:pPr>
            <w:r>
              <w:rPr>
                <w:rFonts w:ascii="Arial" w:hAnsi="Arial"/>
                <w:b/>
                <w:sz w:val="18"/>
              </w:rPr>
              <w:t>Comments</w:t>
            </w:r>
          </w:p>
        </w:tc>
      </w:tr>
      <w:tr w:rsidR="00BB7049" w:rsidTr="00CF175D">
        <w:trPr>
          <w:jc w:val="center"/>
        </w:trPr>
        <w:tc>
          <w:tcPr>
            <w:tcW w:w="1919" w:type="dxa"/>
            <w:tcBorders>
              <w:top w:val="single" w:sz="4" w:space="0" w:color="auto"/>
              <w:left w:val="single" w:sz="4" w:space="0" w:color="auto"/>
              <w:bottom w:val="single" w:sz="4" w:space="0" w:color="auto"/>
              <w:right w:val="single" w:sz="4" w:space="0" w:color="auto"/>
            </w:tcBorders>
            <w:vAlign w:val="center"/>
          </w:tcPr>
          <w:p w:rsidR="00BB7049" w:rsidRPr="00A53DCB" w:rsidRDefault="00BB7049" w:rsidP="00D111C8">
            <w:pPr>
              <w:pStyle w:val="TAC"/>
            </w:pPr>
            <w:r>
              <w:t>Spectrum Guard Band</w:t>
            </w:r>
          </w:p>
        </w:tc>
        <w:tc>
          <w:tcPr>
            <w:tcW w:w="1134" w:type="dxa"/>
            <w:tcBorders>
              <w:top w:val="single" w:sz="4" w:space="0" w:color="auto"/>
              <w:left w:val="single" w:sz="4" w:space="0" w:color="auto"/>
              <w:bottom w:val="single" w:sz="4" w:space="0" w:color="auto"/>
              <w:right w:val="single" w:sz="4" w:space="0" w:color="auto"/>
            </w:tcBorders>
          </w:tcPr>
          <w:p w:rsidR="00BB7049" w:rsidRPr="000B53DC" w:rsidRDefault="00BB7049" w:rsidP="00BB7049">
            <w:pPr>
              <w:pStyle w:val="TAC"/>
              <w:jc w:val="left"/>
            </w:pPr>
            <w:r>
              <w:t>10%</w:t>
            </w:r>
          </w:p>
        </w:tc>
        <w:tc>
          <w:tcPr>
            <w:tcW w:w="5954" w:type="dxa"/>
            <w:tcBorders>
              <w:top w:val="single" w:sz="4" w:space="0" w:color="auto"/>
              <w:left w:val="single" w:sz="4" w:space="0" w:color="auto"/>
              <w:bottom w:val="single" w:sz="4" w:space="0" w:color="auto"/>
              <w:right w:val="single" w:sz="4" w:space="0" w:color="auto"/>
            </w:tcBorders>
          </w:tcPr>
          <w:p w:rsidR="00BB7049" w:rsidRPr="000B53DC" w:rsidRDefault="00BB7049" w:rsidP="00BB7049">
            <w:pPr>
              <w:pStyle w:val="TAC"/>
              <w:jc w:val="left"/>
            </w:pPr>
            <w:r>
              <w:t>100 PRB</w:t>
            </w:r>
            <w:r w:rsidR="00503914">
              <w:t>s</w:t>
            </w:r>
            <w:r>
              <w:t xml:space="preserve"> corresponding to 18</w:t>
            </w:r>
            <w:r w:rsidR="00503914">
              <w:t xml:space="preserve"> </w:t>
            </w:r>
            <w:r>
              <w:t>MHz can be used.</w:t>
            </w:r>
          </w:p>
        </w:tc>
      </w:tr>
      <w:tr w:rsidR="00BB7049" w:rsidTr="00CF175D">
        <w:trPr>
          <w:jc w:val="center"/>
        </w:trPr>
        <w:tc>
          <w:tcPr>
            <w:tcW w:w="1919" w:type="dxa"/>
            <w:tcBorders>
              <w:top w:val="single" w:sz="4" w:space="0" w:color="auto"/>
              <w:left w:val="single" w:sz="4" w:space="0" w:color="auto"/>
              <w:bottom w:val="single" w:sz="4" w:space="0" w:color="auto"/>
              <w:right w:val="single" w:sz="4" w:space="0" w:color="auto"/>
            </w:tcBorders>
            <w:vAlign w:val="center"/>
          </w:tcPr>
          <w:p w:rsidR="00BB7049" w:rsidRPr="00A53DCB" w:rsidRDefault="00BB7049" w:rsidP="009C7A0C">
            <w:pPr>
              <w:pStyle w:val="TAC"/>
            </w:pPr>
            <w:r>
              <w:t xml:space="preserve">Cyclic </w:t>
            </w:r>
            <w:r w:rsidR="009C7A0C">
              <w:t>p</w:t>
            </w:r>
            <w:r>
              <w:t>refix</w:t>
            </w:r>
          </w:p>
        </w:tc>
        <w:tc>
          <w:tcPr>
            <w:tcW w:w="1134" w:type="dxa"/>
            <w:tcBorders>
              <w:top w:val="single" w:sz="4" w:space="0" w:color="auto"/>
              <w:left w:val="single" w:sz="4" w:space="0" w:color="auto"/>
              <w:bottom w:val="single" w:sz="4" w:space="0" w:color="auto"/>
              <w:right w:val="single" w:sz="4" w:space="0" w:color="auto"/>
            </w:tcBorders>
          </w:tcPr>
          <w:p w:rsidR="00BB7049" w:rsidRPr="000B53DC" w:rsidRDefault="00507178" w:rsidP="00BB7049">
            <w:pPr>
              <w:pStyle w:val="TAC"/>
              <w:jc w:val="left"/>
            </w:pPr>
            <w:r>
              <w:t>6.7</w:t>
            </w:r>
            <w:r w:rsidR="0035593E">
              <w:t>%</w:t>
            </w:r>
          </w:p>
        </w:tc>
        <w:tc>
          <w:tcPr>
            <w:tcW w:w="5954" w:type="dxa"/>
            <w:tcBorders>
              <w:top w:val="single" w:sz="4" w:space="0" w:color="auto"/>
              <w:left w:val="single" w:sz="4" w:space="0" w:color="auto"/>
              <w:bottom w:val="single" w:sz="4" w:space="0" w:color="auto"/>
              <w:right w:val="single" w:sz="4" w:space="0" w:color="auto"/>
            </w:tcBorders>
          </w:tcPr>
          <w:p w:rsidR="001F203C" w:rsidRPr="0035593E" w:rsidRDefault="001F203C" w:rsidP="001F203C">
            <w:pPr>
              <w:pStyle w:val="TAC"/>
              <w:jc w:val="left"/>
            </w:pPr>
            <w:r w:rsidRPr="0035593E">
              <w:t>160 Ts for the first symbol of a slot</w:t>
            </w:r>
            <w:r>
              <w:t>,</w:t>
            </w:r>
          </w:p>
          <w:p w:rsidR="00BB7049" w:rsidRDefault="001F203C" w:rsidP="001F203C">
            <w:pPr>
              <w:pStyle w:val="TAC"/>
              <w:jc w:val="left"/>
            </w:pPr>
            <w:r w:rsidRPr="0035593E">
              <w:t>144</w:t>
            </w:r>
            <w:r w:rsidRPr="0035593E">
              <w:rPr>
                <w:rFonts w:hint="eastAsia"/>
              </w:rPr>
              <w:t xml:space="preserve"> </w:t>
            </w:r>
            <w:r w:rsidRPr="0035593E">
              <w:t>Ts for the remaining 6 symbols of a slot</w:t>
            </w:r>
          </w:p>
          <w:p w:rsidR="00B330A5" w:rsidRPr="000B53DC" w:rsidRDefault="00B330A5" w:rsidP="001F203C">
            <w:pPr>
              <w:pStyle w:val="TAC"/>
              <w:jc w:val="left"/>
            </w:pPr>
            <w:r>
              <w:t>(160*2+144*12)/(30.72e6)/(1e-3)</w:t>
            </w:r>
          </w:p>
        </w:tc>
      </w:tr>
      <w:tr w:rsidR="00BB7049" w:rsidTr="00CF175D">
        <w:trPr>
          <w:jc w:val="center"/>
        </w:trPr>
        <w:tc>
          <w:tcPr>
            <w:tcW w:w="1919" w:type="dxa"/>
            <w:tcBorders>
              <w:top w:val="single" w:sz="4" w:space="0" w:color="auto"/>
              <w:left w:val="single" w:sz="4" w:space="0" w:color="auto"/>
              <w:bottom w:val="single" w:sz="4" w:space="0" w:color="auto"/>
              <w:right w:val="single" w:sz="4" w:space="0" w:color="auto"/>
            </w:tcBorders>
            <w:vAlign w:val="center"/>
          </w:tcPr>
          <w:p w:rsidR="00BB7049" w:rsidRPr="00A53DCB" w:rsidRDefault="000A63C3" w:rsidP="00D111C8">
            <w:pPr>
              <w:pStyle w:val="TAC"/>
            </w:pPr>
            <w:r>
              <w:t>Control channels</w:t>
            </w:r>
          </w:p>
        </w:tc>
        <w:tc>
          <w:tcPr>
            <w:tcW w:w="1134" w:type="dxa"/>
            <w:tcBorders>
              <w:top w:val="single" w:sz="4" w:space="0" w:color="auto"/>
              <w:left w:val="single" w:sz="4" w:space="0" w:color="auto"/>
              <w:bottom w:val="single" w:sz="4" w:space="0" w:color="auto"/>
              <w:right w:val="single" w:sz="4" w:space="0" w:color="auto"/>
            </w:tcBorders>
          </w:tcPr>
          <w:p w:rsidR="00BB7049" w:rsidRPr="000B53DC" w:rsidRDefault="00B330A5" w:rsidP="00C82D46">
            <w:pPr>
              <w:pStyle w:val="TAC"/>
              <w:jc w:val="left"/>
            </w:pPr>
            <w:r>
              <w:t>7.1</w:t>
            </w:r>
            <w:r w:rsidR="00BB7049">
              <w:t>%</w:t>
            </w:r>
          </w:p>
        </w:tc>
        <w:tc>
          <w:tcPr>
            <w:tcW w:w="5954" w:type="dxa"/>
            <w:tcBorders>
              <w:top w:val="single" w:sz="4" w:space="0" w:color="auto"/>
              <w:left w:val="single" w:sz="4" w:space="0" w:color="auto"/>
              <w:bottom w:val="single" w:sz="4" w:space="0" w:color="auto"/>
              <w:right w:val="single" w:sz="4" w:space="0" w:color="auto"/>
            </w:tcBorders>
          </w:tcPr>
          <w:p w:rsidR="00BB7049" w:rsidRPr="000B53DC" w:rsidRDefault="001F203C" w:rsidP="00B330A5">
            <w:pPr>
              <w:pStyle w:val="TAC"/>
              <w:jc w:val="left"/>
            </w:pPr>
            <w:r>
              <w:t>One OFDM symbol</w:t>
            </w:r>
            <w:r w:rsidR="00C82D46">
              <w:t xml:space="preserve">: </w:t>
            </w:r>
            <w:r w:rsidR="00507178">
              <w:t>1/14</w:t>
            </w:r>
            <w:r w:rsidR="00C82D46">
              <w:t>=</w:t>
            </w:r>
            <w:r w:rsidR="00B330A5">
              <w:t>7</w:t>
            </w:r>
            <w:r w:rsidR="00C82D46">
              <w:t>.</w:t>
            </w:r>
            <w:r w:rsidR="00B330A5">
              <w:t>1</w:t>
            </w:r>
            <w:r w:rsidR="00C82D46">
              <w:t>%</w:t>
            </w:r>
          </w:p>
        </w:tc>
      </w:tr>
      <w:tr w:rsidR="00BB7049" w:rsidTr="00CF175D">
        <w:trPr>
          <w:jc w:val="center"/>
        </w:trPr>
        <w:tc>
          <w:tcPr>
            <w:tcW w:w="1919" w:type="dxa"/>
            <w:tcBorders>
              <w:top w:val="single" w:sz="4" w:space="0" w:color="auto"/>
              <w:left w:val="single" w:sz="4" w:space="0" w:color="auto"/>
              <w:bottom w:val="single" w:sz="4" w:space="0" w:color="auto"/>
              <w:right w:val="single" w:sz="4" w:space="0" w:color="auto"/>
            </w:tcBorders>
            <w:vAlign w:val="center"/>
          </w:tcPr>
          <w:p w:rsidR="00BB7049" w:rsidRPr="00A53DCB" w:rsidRDefault="00BB7049" w:rsidP="009C7A0C">
            <w:pPr>
              <w:pStyle w:val="TAC"/>
            </w:pPr>
            <w:r>
              <w:t xml:space="preserve">Reference </w:t>
            </w:r>
            <w:r w:rsidR="009C7A0C">
              <w:t>s</w:t>
            </w:r>
            <w:r>
              <w:t>ignals</w:t>
            </w:r>
          </w:p>
        </w:tc>
        <w:tc>
          <w:tcPr>
            <w:tcW w:w="1134" w:type="dxa"/>
            <w:tcBorders>
              <w:top w:val="single" w:sz="4" w:space="0" w:color="auto"/>
              <w:left w:val="single" w:sz="4" w:space="0" w:color="auto"/>
              <w:bottom w:val="single" w:sz="4" w:space="0" w:color="auto"/>
              <w:right w:val="single" w:sz="4" w:space="0" w:color="auto"/>
            </w:tcBorders>
          </w:tcPr>
          <w:p w:rsidR="00BB7049" w:rsidRPr="00A53DCB" w:rsidRDefault="00C82D46" w:rsidP="00B330A5">
            <w:pPr>
              <w:pStyle w:val="TAC"/>
              <w:jc w:val="left"/>
            </w:pPr>
            <w:r>
              <w:t>1</w:t>
            </w:r>
            <w:r w:rsidR="00B330A5">
              <w:t>9.0</w:t>
            </w:r>
            <w:r w:rsidR="001F203C">
              <w:t>%</w:t>
            </w:r>
          </w:p>
        </w:tc>
        <w:tc>
          <w:tcPr>
            <w:tcW w:w="5954" w:type="dxa"/>
            <w:tcBorders>
              <w:top w:val="single" w:sz="4" w:space="0" w:color="auto"/>
              <w:left w:val="single" w:sz="4" w:space="0" w:color="auto"/>
              <w:bottom w:val="single" w:sz="4" w:space="0" w:color="auto"/>
              <w:right w:val="single" w:sz="4" w:space="0" w:color="auto"/>
            </w:tcBorders>
          </w:tcPr>
          <w:p w:rsidR="00CA5519" w:rsidRPr="00A53DCB" w:rsidRDefault="001F203C" w:rsidP="00B330A5">
            <w:pPr>
              <w:pStyle w:val="TAC"/>
              <w:jc w:val="left"/>
            </w:pPr>
            <w:r>
              <w:t xml:space="preserve">8 DMRS </w:t>
            </w:r>
            <w:r w:rsidR="00C41D40">
              <w:t xml:space="preserve">+1 CRS </w:t>
            </w:r>
            <w:r>
              <w:t>ports</w:t>
            </w:r>
            <w:r w:rsidR="00507178">
              <w:t xml:space="preserve">: </w:t>
            </w:r>
            <w:r w:rsidR="00B330A5">
              <w:t>(24+8)</w:t>
            </w:r>
            <w:r w:rsidR="00507178">
              <w:t>/168=</w:t>
            </w:r>
            <w:r w:rsidR="00B330A5">
              <w:t>19</w:t>
            </w:r>
            <w:r w:rsidR="00507178">
              <w:t>.</w:t>
            </w:r>
            <w:r w:rsidR="00B330A5">
              <w:t>0</w:t>
            </w:r>
            <w:r w:rsidR="00C82D46">
              <w:t>%</w:t>
            </w:r>
            <w:r w:rsidR="00CA5519">
              <w:t xml:space="preserve"> The CSI-RS overhead may be set to a relatively small value using larger periodicity.</w:t>
            </w:r>
          </w:p>
        </w:tc>
      </w:tr>
      <w:tr w:rsidR="000A63C3" w:rsidTr="00CF175D">
        <w:trPr>
          <w:jc w:val="center"/>
        </w:trPr>
        <w:tc>
          <w:tcPr>
            <w:tcW w:w="1919" w:type="dxa"/>
            <w:tcBorders>
              <w:top w:val="single" w:sz="4" w:space="0" w:color="auto"/>
              <w:left w:val="single" w:sz="4" w:space="0" w:color="auto"/>
              <w:bottom w:val="single" w:sz="4" w:space="0" w:color="auto"/>
              <w:right w:val="single" w:sz="4" w:space="0" w:color="auto"/>
            </w:tcBorders>
            <w:vAlign w:val="center"/>
          </w:tcPr>
          <w:p w:rsidR="000A63C3" w:rsidRDefault="000A63C3" w:rsidP="00D111C8">
            <w:pPr>
              <w:pStyle w:val="TAC"/>
            </w:pPr>
            <w:r>
              <w:t>Channel coding</w:t>
            </w:r>
          </w:p>
        </w:tc>
        <w:tc>
          <w:tcPr>
            <w:tcW w:w="1134" w:type="dxa"/>
            <w:tcBorders>
              <w:top w:val="single" w:sz="4" w:space="0" w:color="auto"/>
              <w:left w:val="single" w:sz="4" w:space="0" w:color="auto"/>
              <w:bottom w:val="single" w:sz="4" w:space="0" w:color="auto"/>
              <w:right w:val="single" w:sz="4" w:space="0" w:color="auto"/>
            </w:tcBorders>
          </w:tcPr>
          <w:p w:rsidR="000A63C3" w:rsidDel="00396CA7" w:rsidRDefault="00B330A5" w:rsidP="0049611B">
            <w:pPr>
              <w:pStyle w:val="TAC"/>
              <w:jc w:val="left"/>
            </w:pPr>
            <w:r>
              <w:t>2.9</w:t>
            </w:r>
            <w:r w:rsidR="000A63C3">
              <w:t>%</w:t>
            </w:r>
          </w:p>
        </w:tc>
        <w:tc>
          <w:tcPr>
            <w:tcW w:w="5954" w:type="dxa"/>
            <w:tcBorders>
              <w:top w:val="single" w:sz="4" w:space="0" w:color="auto"/>
              <w:left w:val="single" w:sz="4" w:space="0" w:color="auto"/>
              <w:bottom w:val="single" w:sz="4" w:space="0" w:color="auto"/>
              <w:right w:val="single" w:sz="4" w:space="0" w:color="auto"/>
            </w:tcBorders>
          </w:tcPr>
          <w:p w:rsidR="000A63C3" w:rsidRDefault="000A63C3" w:rsidP="0049611B">
            <w:pPr>
              <w:pStyle w:val="TAC"/>
              <w:jc w:val="left"/>
            </w:pPr>
            <w:r>
              <w:t xml:space="preserve">The </w:t>
            </w:r>
            <w:r w:rsidR="0049611B">
              <w:t>maximum code rate is 0.971 for the max</w:t>
            </w:r>
            <w:r w:rsidR="00417487">
              <w:t>imum</w:t>
            </w:r>
            <w:r w:rsidR="0049611B">
              <w:t xml:space="preserve"> TBS</w:t>
            </w:r>
          </w:p>
        </w:tc>
      </w:tr>
      <w:tr w:rsidR="00BB7049" w:rsidTr="00CF175D">
        <w:trPr>
          <w:jc w:val="center"/>
        </w:trPr>
        <w:tc>
          <w:tcPr>
            <w:tcW w:w="1919" w:type="dxa"/>
            <w:tcBorders>
              <w:top w:val="single" w:sz="4" w:space="0" w:color="auto"/>
              <w:left w:val="single" w:sz="4" w:space="0" w:color="auto"/>
              <w:bottom w:val="single" w:sz="4" w:space="0" w:color="auto"/>
              <w:right w:val="single" w:sz="4" w:space="0" w:color="auto"/>
            </w:tcBorders>
            <w:vAlign w:val="center"/>
          </w:tcPr>
          <w:p w:rsidR="00BB7049" w:rsidRPr="00A53DCB" w:rsidRDefault="00BB7049" w:rsidP="00D111C8">
            <w:pPr>
              <w:pStyle w:val="TAC"/>
            </w:pPr>
            <w:r>
              <w:t>Total</w:t>
            </w:r>
          </w:p>
        </w:tc>
        <w:tc>
          <w:tcPr>
            <w:tcW w:w="1134" w:type="dxa"/>
            <w:tcBorders>
              <w:top w:val="single" w:sz="4" w:space="0" w:color="auto"/>
              <w:left w:val="single" w:sz="4" w:space="0" w:color="auto"/>
              <w:bottom w:val="single" w:sz="4" w:space="0" w:color="auto"/>
              <w:right w:val="single" w:sz="4" w:space="0" w:color="auto"/>
            </w:tcBorders>
          </w:tcPr>
          <w:p w:rsidR="00BB7049" w:rsidRPr="00507178" w:rsidRDefault="00507178" w:rsidP="00B330A5">
            <w:pPr>
              <w:pStyle w:val="TAC"/>
              <w:jc w:val="left"/>
            </w:pPr>
            <w:r w:rsidRPr="00507178">
              <w:t>38.</w:t>
            </w:r>
            <w:r w:rsidR="00B330A5">
              <w:t>7</w:t>
            </w:r>
            <w:r w:rsidR="00396CA7" w:rsidRPr="00507178">
              <w:t>%</w:t>
            </w:r>
          </w:p>
        </w:tc>
        <w:tc>
          <w:tcPr>
            <w:tcW w:w="5954" w:type="dxa"/>
            <w:tcBorders>
              <w:top w:val="single" w:sz="4" w:space="0" w:color="auto"/>
              <w:left w:val="single" w:sz="4" w:space="0" w:color="auto"/>
              <w:bottom w:val="single" w:sz="4" w:space="0" w:color="auto"/>
              <w:right w:val="single" w:sz="4" w:space="0" w:color="auto"/>
            </w:tcBorders>
          </w:tcPr>
          <w:p w:rsidR="00BC2096" w:rsidRDefault="00B330A5">
            <w:pPr>
              <w:pStyle w:val="TAC"/>
              <w:jc w:val="left"/>
            </w:pPr>
            <w:r>
              <w:t>1-(1-10%)(1-6.7%)(1-7.1%)(1-19.0%)(1-2.9%)*</w:t>
            </w:r>
          </w:p>
        </w:tc>
      </w:tr>
    </w:tbl>
    <w:p w:rsidR="001F203C" w:rsidRPr="00B330A5" w:rsidRDefault="00B330A5" w:rsidP="001F203C">
      <w:pPr>
        <w:pStyle w:val="CommentText"/>
        <w:rPr>
          <w:rFonts w:eastAsia="Calibri"/>
          <w:sz w:val="22"/>
          <w:szCs w:val="22"/>
          <w:lang w:eastAsia="sv-SE"/>
        </w:rPr>
      </w:pPr>
      <w:r>
        <w:t>*</w:t>
      </w:r>
      <w:r w:rsidR="00EF1113" w:rsidRPr="00EF1113">
        <w:rPr>
          <w:rFonts w:eastAsia="Calibri"/>
          <w:sz w:val="22"/>
          <w:szCs w:val="22"/>
          <w:lang w:eastAsia="sv-SE"/>
        </w:rPr>
        <w:t xml:space="preserve">Note: </w:t>
      </w:r>
      <w:r w:rsidR="005F5F8A">
        <w:rPr>
          <w:rFonts w:eastAsia="Calibri"/>
          <w:sz w:val="22"/>
          <w:szCs w:val="22"/>
          <w:lang w:eastAsia="sv-SE"/>
        </w:rPr>
        <w:t xml:space="preserve">The total overhead is derived using more digits after decimal point for each component element. </w:t>
      </w:r>
    </w:p>
    <w:p w:rsidR="00DB58A4" w:rsidRDefault="00DB58A4" w:rsidP="00DB58A4">
      <w:pPr>
        <w:pStyle w:val="CommentText"/>
      </w:pPr>
      <w:r w:rsidRPr="001F203C">
        <w:rPr>
          <w:rFonts w:eastAsia="Calibri"/>
          <w:b/>
          <w:sz w:val="22"/>
          <w:szCs w:val="22"/>
          <w:lang w:eastAsia="sv-SE"/>
        </w:rPr>
        <w:t xml:space="preserve">Observation </w:t>
      </w:r>
      <w:r>
        <w:rPr>
          <w:rFonts w:eastAsia="Calibri"/>
          <w:b/>
          <w:sz w:val="22"/>
          <w:szCs w:val="22"/>
          <w:lang w:eastAsia="sv-SE"/>
        </w:rPr>
        <w:t>2</w:t>
      </w:r>
      <w:r w:rsidRPr="001F203C">
        <w:rPr>
          <w:rFonts w:eastAsia="Calibri"/>
          <w:b/>
          <w:sz w:val="22"/>
          <w:szCs w:val="22"/>
          <w:lang w:eastAsia="sv-SE"/>
        </w:rPr>
        <w:t>:</w:t>
      </w:r>
      <w:r>
        <w:rPr>
          <w:rFonts w:eastAsia="Calibri"/>
          <w:b/>
          <w:sz w:val="22"/>
          <w:szCs w:val="22"/>
          <w:lang w:eastAsia="sv-SE"/>
        </w:rPr>
        <w:tab/>
        <w:t xml:space="preserve">For LTE, the peak </w:t>
      </w:r>
      <w:r w:rsidR="00E27A8B">
        <w:rPr>
          <w:rFonts w:eastAsia="Calibri"/>
          <w:b/>
          <w:sz w:val="22"/>
          <w:szCs w:val="22"/>
          <w:lang w:eastAsia="sv-SE"/>
        </w:rPr>
        <w:t xml:space="preserve">spectral </w:t>
      </w:r>
      <w:r>
        <w:rPr>
          <w:rFonts w:eastAsia="Calibri"/>
          <w:b/>
          <w:sz w:val="22"/>
          <w:szCs w:val="22"/>
          <w:lang w:eastAsia="sv-SE"/>
        </w:rPr>
        <w:t>efficiency is primarily impacted by the reference signal overhead, spectrum guard band, cyclic prefix, control channel overhead and channel coding, in a descending order.</w:t>
      </w:r>
    </w:p>
    <w:p w:rsidR="00507178" w:rsidRDefault="00507178" w:rsidP="00091646">
      <w:pPr>
        <w:pStyle w:val="CommentText"/>
      </w:pPr>
      <w:r>
        <w:rPr>
          <w:rFonts w:eastAsia="Calibri"/>
          <w:sz w:val="22"/>
          <w:szCs w:val="22"/>
          <w:lang w:eastAsia="sv-SE"/>
        </w:rPr>
        <w:t xml:space="preserve">Similar exercise could also be made for the uplink where it should be noted that the overhead of 2 DMRS symbols </w:t>
      </w:r>
      <w:r w:rsidR="005A7532">
        <w:rPr>
          <w:rFonts w:eastAsia="Calibri"/>
          <w:sz w:val="22"/>
          <w:szCs w:val="22"/>
          <w:lang w:eastAsia="sv-SE"/>
        </w:rPr>
        <w:t>(1</w:t>
      </w:r>
      <w:r w:rsidR="00404AF5">
        <w:rPr>
          <w:rFonts w:eastAsia="Calibri"/>
          <w:sz w:val="22"/>
          <w:szCs w:val="22"/>
          <w:lang w:eastAsia="sv-SE"/>
        </w:rPr>
        <w:t>4.3</w:t>
      </w:r>
      <w:r w:rsidR="005A7532">
        <w:rPr>
          <w:rFonts w:eastAsia="Calibri"/>
          <w:sz w:val="22"/>
          <w:szCs w:val="22"/>
          <w:lang w:eastAsia="sv-SE"/>
        </w:rPr>
        <w:t xml:space="preserve">%) </w:t>
      </w:r>
      <w:r>
        <w:rPr>
          <w:rFonts w:eastAsia="Calibri"/>
          <w:sz w:val="22"/>
          <w:szCs w:val="22"/>
          <w:lang w:eastAsia="sv-SE"/>
        </w:rPr>
        <w:t>is slightly less than the overhead in the downlink of reference signals</w:t>
      </w:r>
      <w:r w:rsidR="005A7532">
        <w:rPr>
          <w:rFonts w:eastAsia="Calibri"/>
          <w:sz w:val="22"/>
          <w:szCs w:val="22"/>
          <w:lang w:eastAsia="sv-SE"/>
        </w:rPr>
        <w:t xml:space="preserve"> (19.</w:t>
      </w:r>
      <w:r w:rsidR="00404AF5">
        <w:rPr>
          <w:rFonts w:eastAsia="Calibri"/>
          <w:sz w:val="22"/>
          <w:szCs w:val="22"/>
          <w:lang w:eastAsia="sv-SE"/>
        </w:rPr>
        <w:t>0</w:t>
      </w:r>
      <w:r w:rsidR="005A7532">
        <w:rPr>
          <w:rFonts w:eastAsia="Calibri"/>
          <w:sz w:val="22"/>
          <w:szCs w:val="22"/>
          <w:lang w:eastAsia="sv-SE"/>
        </w:rPr>
        <w:t>%). Hence, the gap to the requirement is more pronounced for the downlink</w:t>
      </w:r>
      <w:r w:rsidR="00417487">
        <w:rPr>
          <w:rFonts w:eastAsia="Calibri"/>
          <w:sz w:val="22"/>
          <w:szCs w:val="22"/>
          <w:lang w:eastAsia="sv-SE"/>
        </w:rPr>
        <w:t>, assuming that also the uplink will support 256-QAM</w:t>
      </w:r>
      <w:r w:rsidR="005A7532">
        <w:rPr>
          <w:rFonts w:eastAsia="Calibri"/>
          <w:sz w:val="22"/>
          <w:szCs w:val="22"/>
          <w:lang w:eastAsia="sv-SE"/>
        </w:rPr>
        <w:t>.</w:t>
      </w:r>
    </w:p>
    <w:p w:rsidR="00F63BAA" w:rsidRDefault="007A3C54" w:rsidP="00290A3D">
      <w:pPr>
        <w:pStyle w:val="Heading1"/>
        <w:spacing w:before="240"/>
        <w:ind w:left="431" w:hanging="431"/>
      </w:pPr>
      <w:r>
        <w:t xml:space="preserve">Room for improving </w:t>
      </w:r>
      <w:r w:rsidR="00E27A8B">
        <w:t xml:space="preserve">spectral </w:t>
      </w:r>
      <w:r w:rsidR="007B0477">
        <w:t xml:space="preserve">efficiency in </w:t>
      </w:r>
      <w:r w:rsidR="0079599D">
        <w:t>NR</w:t>
      </w:r>
    </w:p>
    <w:p w:rsidR="00082550" w:rsidRDefault="00683BF4">
      <w:pPr>
        <w:pStyle w:val="Heading2"/>
      </w:pPr>
      <w:r>
        <w:t>Analysis of overhead</w:t>
      </w:r>
    </w:p>
    <w:p w:rsidR="00CA5519" w:rsidRPr="00CA5519" w:rsidRDefault="00C153CE" w:rsidP="00CA5519">
      <w:pPr>
        <w:rPr>
          <w:b/>
          <w:u w:val="single"/>
        </w:rPr>
      </w:pPr>
      <w:r>
        <w:rPr>
          <w:b/>
          <w:u w:val="single"/>
        </w:rPr>
        <w:t>Example of b</w:t>
      </w:r>
      <w:r w:rsidR="00CA5519">
        <w:rPr>
          <w:b/>
          <w:u w:val="single"/>
        </w:rPr>
        <w:t xml:space="preserve">asic </w:t>
      </w:r>
      <w:r>
        <w:rPr>
          <w:b/>
          <w:u w:val="single"/>
        </w:rPr>
        <w:t>PHY layer p</w:t>
      </w:r>
      <w:r w:rsidR="00CA5519">
        <w:rPr>
          <w:b/>
          <w:u w:val="single"/>
        </w:rPr>
        <w:t>arameters</w:t>
      </w:r>
      <w:r w:rsidR="00271850">
        <w:rPr>
          <w:b/>
          <w:u w:val="single"/>
        </w:rPr>
        <w:t xml:space="preserve"> for </w:t>
      </w:r>
      <w:r w:rsidR="0079599D">
        <w:rPr>
          <w:b/>
          <w:u w:val="single"/>
        </w:rPr>
        <w:t>NR</w:t>
      </w:r>
      <w:r w:rsidR="00271850">
        <w:rPr>
          <w:b/>
          <w:u w:val="single"/>
        </w:rPr>
        <w:t xml:space="preserve"> versus LTE</w:t>
      </w:r>
      <w:r w:rsidR="00CA5519">
        <w:rPr>
          <w:b/>
          <w:u w:val="single"/>
        </w:rPr>
        <w:t xml:space="preserve"> </w:t>
      </w:r>
    </w:p>
    <w:p w:rsidR="00CF175D" w:rsidRPr="00D07F37" w:rsidRDefault="00C153CE" w:rsidP="00CF175D">
      <w:pPr>
        <w:pStyle w:val="CommentText"/>
        <w:rPr>
          <w:rFonts w:eastAsia="Calibri"/>
          <w:sz w:val="22"/>
          <w:szCs w:val="22"/>
          <w:lang w:eastAsia="sv-SE"/>
        </w:rPr>
      </w:pPr>
      <w:r>
        <w:rPr>
          <w:rFonts w:eastAsia="Calibri"/>
          <w:sz w:val="22"/>
          <w:szCs w:val="22"/>
          <w:lang w:eastAsia="sv-SE"/>
        </w:rPr>
        <w:lastRenderedPageBreak/>
        <w:t>A few p</w:t>
      </w:r>
      <w:r w:rsidR="00D07F37" w:rsidRPr="00D07F37">
        <w:rPr>
          <w:rFonts w:eastAsia="Calibri"/>
          <w:sz w:val="22"/>
          <w:szCs w:val="22"/>
          <w:lang w:eastAsia="sv-SE"/>
        </w:rPr>
        <w:t>arameters</w:t>
      </w:r>
      <w:r w:rsidR="00D07F37">
        <w:rPr>
          <w:rFonts w:eastAsia="Calibri"/>
          <w:sz w:val="22"/>
          <w:szCs w:val="22"/>
          <w:lang w:eastAsia="sv-SE"/>
        </w:rPr>
        <w:t xml:space="preserve"> for </w:t>
      </w:r>
      <w:r w:rsidR="0079599D">
        <w:rPr>
          <w:rFonts w:eastAsia="Calibri"/>
          <w:sz w:val="22"/>
          <w:szCs w:val="22"/>
          <w:lang w:eastAsia="sv-SE"/>
        </w:rPr>
        <w:t>NR</w:t>
      </w:r>
      <w:r w:rsidR="00D07F37">
        <w:rPr>
          <w:rFonts w:eastAsia="Calibri"/>
          <w:sz w:val="22"/>
          <w:szCs w:val="22"/>
          <w:lang w:eastAsia="sv-SE"/>
        </w:rPr>
        <w:t xml:space="preserve"> are </w:t>
      </w:r>
      <w:r>
        <w:rPr>
          <w:rFonts w:eastAsia="Calibri"/>
          <w:sz w:val="22"/>
          <w:szCs w:val="22"/>
          <w:lang w:eastAsia="sv-SE"/>
        </w:rPr>
        <w:t>exemplified</w:t>
      </w:r>
      <w:r w:rsidR="00D07F37">
        <w:rPr>
          <w:rFonts w:eastAsia="Calibri"/>
          <w:sz w:val="22"/>
          <w:szCs w:val="22"/>
          <w:lang w:eastAsia="sv-SE"/>
        </w:rPr>
        <w:t xml:space="preserve"> in Table 3</w:t>
      </w:r>
      <w:r>
        <w:rPr>
          <w:rFonts w:eastAsia="Calibri"/>
          <w:sz w:val="22"/>
          <w:szCs w:val="22"/>
          <w:lang w:eastAsia="sv-SE"/>
        </w:rPr>
        <w:t xml:space="preserve"> where we assume an OFDM waveform. In comparison to LTE</w:t>
      </w:r>
      <w:r w:rsidR="00D07F37">
        <w:rPr>
          <w:rFonts w:eastAsia="Calibri"/>
          <w:sz w:val="22"/>
          <w:szCs w:val="22"/>
          <w:lang w:eastAsia="sv-SE"/>
        </w:rPr>
        <w:t xml:space="preserve">, it can be observed </w:t>
      </w:r>
      <w:r w:rsidR="00EC6052">
        <w:rPr>
          <w:rFonts w:eastAsia="Calibri"/>
          <w:sz w:val="22"/>
          <w:szCs w:val="22"/>
          <w:lang w:eastAsia="sv-SE"/>
        </w:rPr>
        <w:t xml:space="preserve">here </w:t>
      </w:r>
      <w:r w:rsidR="00D07F37">
        <w:rPr>
          <w:rFonts w:eastAsia="Calibri"/>
          <w:sz w:val="22"/>
          <w:szCs w:val="22"/>
          <w:lang w:eastAsia="sv-SE"/>
        </w:rPr>
        <w:t>that the major differences associated with the spectral efficiency include the transmission bandwidth and the subcarrier spacing.</w:t>
      </w:r>
    </w:p>
    <w:p w:rsidR="00091646" w:rsidRDefault="00091646" w:rsidP="00091646">
      <w:pPr>
        <w:pStyle w:val="CommentText"/>
        <w:jc w:val="center"/>
        <w:rPr>
          <w:rFonts w:eastAsia="Calibri"/>
          <w:b/>
          <w:sz w:val="22"/>
          <w:szCs w:val="22"/>
          <w:lang w:eastAsia="sv-SE"/>
        </w:rPr>
      </w:pPr>
      <w:r w:rsidRPr="00656A17">
        <w:rPr>
          <w:rFonts w:eastAsia="Calibri"/>
          <w:b/>
          <w:sz w:val="22"/>
          <w:szCs w:val="22"/>
          <w:lang w:eastAsia="sv-SE"/>
        </w:rPr>
        <w:t xml:space="preserve">Table </w:t>
      </w:r>
      <w:r>
        <w:rPr>
          <w:rFonts w:eastAsia="Calibri"/>
          <w:b/>
          <w:sz w:val="22"/>
          <w:szCs w:val="22"/>
          <w:lang w:eastAsia="sv-SE"/>
        </w:rPr>
        <w:t>3</w:t>
      </w:r>
      <w:r w:rsidRPr="00656A17">
        <w:rPr>
          <w:rFonts w:eastAsia="Calibri"/>
          <w:b/>
          <w:sz w:val="22"/>
          <w:szCs w:val="22"/>
          <w:lang w:eastAsia="sv-SE"/>
        </w:rPr>
        <w:t xml:space="preserve">. </w:t>
      </w:r>
      <w:r>
        <w:rPr>
          <w:rFonts w:eastAsia="Calibri"/>
          <w:b/>
          <w:sz w:val="22"/>
          <w:szCs w:val="22"/>
          <w:lang w:eastAsia="sv-SE"/>
        </w:rPr>
        <w:t xml:space="preserve">Parameters for </w:t>
      </w:r>
      <w:r w:rsidR="0079599D">
        <w:rPr>
          <w:rFonts w:eastAsia="Calibri"/>
          <w:b/>
          <w:sz w:val="22"/>
          <w:szCs w:val="22"/>
          <w:lang w:eastAsia="sv-SE"/>
        </w:rPr>
        <w:t>NR</w:t>
      </w:r>
      <w:r>
        <w:rPr>
          <w:rFonts w:eastAsia="Calibri"/>
          <w:b/>
          <w:sz w:val="22"/>
          <w:szCs w:val="22"/>
          <w:lang w:eastAsia="sv-SE"/>
        </w:rPr>
        <w:t xml:space="preserve"> affecting the </w:t>
      </w:r>
      <w:r w:rsidR="00E27A8B">
        <w:rPr>
          <w:rFonts w:eastAsia="Calibri"/>
          <w:b/>
          <w:sz w:val="22"/>
          <w:szCs w:val="22"/>
          <w:lang w:eastAsia="sv-SE"/>
        </w:rPr>
        <w:t xml:space="preserve">spectral </w:t>
      </w:r>
      <w:r>
        <w:rPr>
          <w:rFonts w:eastAsia="Calibri"/>
          <w:b/>
          <w:sz w:val="22"/>
          <w:szCs w:val="22"/>
          <w:lang w:eastAsia="sv-SE"/>
        </w:rPr>
        <w:t>efficiency</w:t>
      </w:r>
      <w:r w:rsidR="00417487">
        <w:rPr>
          <w:rFonts w:eastAsia="Calibri"/>
          <w:b/>
          <w:sz w:val="22"/>
          <w:szCs w:val="22"/>
          <w:lang w:eastAsia="sv-S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7"/>
        <w:gridCol w:w="2220"/>
        <w:gridCol w:w="4903"/>
      </w:tblGrid>
      <w:tr w:rsidR="00091646" w:rsidTr="00CF175D">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bottom"/>
          </w:tcPr>
          <w:p w:rsidR="00091646" w:rsidRPr="00A53DCB" w:rsidRDefault="00091646" w:rsidP="00D111C8">
            <w:pPr>
              <w:jc w:val="center"/>
              <w:rPr>
                <w:rFonts w:ascii="Arial" w:hAnsi="Arial"/>
                <w:b/>
                <w:sz w:val="18"/>
              </w:rPr>
            </w:pPr>
            <w:r>
              <w:rPr>
                <w:rFonts w:ascii="Arial" w:hAnsi="Arial"/>
                <w:b/>
                <w:sz w:val="18"/>
              </w:rPr>
              <w:t>Element</w:t>
            </w:r>
          </w:p>
        </w:tc>
        <w:tc>
          <w:tcPr>
            <w:tcW w:w="2220" w:type="dxa"/>
            <w:tcBorders>
              <w:top w:val="single" w:sz="4" w:space="0" w:color="auto"/>
              <w:left w:val="single" w:sz="4" w:space="0" w:color="auto"/>
              <w:bottom w:val="single" w:sz="4" w:space="0" w:color="auto"/>
              <w:right w:val="single" w:sz="4" w:space="0" w:color="auto"/>
            </w:tcBorders>
            <w:shd w:val="clear" w:color="auto" w:fill="E0E0E0"/>
            <w:vAlign w:val="bottom"/>
          </w:tcPr>
          <w:p w:rsidR="00091646" w:rsidRDefault="00091646" w:rsidP="00D111C8">
            <w:pPr>
              <w:jc w:val="center"/>
              <w:rPr>
                <w:rFonts w:ascii="Arial" w:hAnsi="Arial"/>
                <w:b/>
                <w:sz w:val="18"/>
              </w:rPr>
            </w:pPr>
            <w:r>
              <w:rPr>
                <w:rFonts w:ascii="Arial" w:hAnsi="Arial"/>
                <w:b/>
                <w:sz w:val="18"/>
              </w:rPr>
              <w:t>Value</w:t>
            </w:r>
          </w:p>
        </w:tc>
        <w:tc>
          <w:tcPr>
            <w:tcW w:w="4903" w:type="dxa"/>
            <w:tcBorders>
              <w:top w:val="single" w:sz="4" w:space="0" w:color="auto"/>
              <w:left w:val="single" w:sz="4" w:space="0" w:color="auto"/>
              <w:bottom w:val="single" w:sz="4" w:space="0" w:color="auto"/>
              <w:right w:val="single" w:sz="4" w:space="0" w:color="auto"/>
            </w:tcBorders>
            <w:shd w:val="clear" w:color="auto" w:fill="E0E0E0"/>
            <w:vAlign w:val="bottom"/>
          </w:tcPr>
          <w:p w:rsidR="00091646" w:rsidRDefault="00091646" w:rsidP="00D111C8">
            <w:pPr>
              <w:jc w:val="center"/>
              <w:rPr>
                <w:rFonts w:ascii="Arial" w:hAnsi="Arial"/>
                <w:b/>
                <w:sz w:val="18"/>
              </w:rPr>
            </w:pPr>
            <w:r>
              <w:rPr>
                <w:rFonts w:ascii="Arial" w:hAnsi="Arial"/>
                <w:b/>
                <w:sz w:val="18"/>
              </w:rPr>
              <w:t>Comments</w:t>
            </w:r>
          </w:p>
        </w:tc>
      </w:tr>
      <w:tr w:rsidR="00091646" w:rsidTr="00CF175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91646" w:rsidRPr="00A53DCB" w:rsidRDefault="00C153CE" w:rsidP="00D111C8">
            <w:pPr>
              <w:pStyle w:val="TAC"/>
            </w:pPr>
            <w:r>
              <w:t>Number of spatial layers</w:t>
            </w:r>
          </w:p>
        </w:tc>
        <w:tc>
          <w:tcPr>
            <w:tcW w:w="2220" w:type="dxa"/>
            <w:tcBorders>
              <w:top w:val="single" w:sz="4" w:space="0" w:color="auto"/>
              <w:left w:val="single" w:sz="4" w:space="0" w:color="auto"/>
              <w:bottom w:val="single" w:sz="4" w:space="0" w:color="auto"/>
              <w:right w:val="single" w:sz="4" w:space="0" w:color="auto"/>
            </w:tcBorders>
          </w:tcPr>
          <w:p w:rsidR="00091646" w:rsidRPr="000B53DC" w:rsidRDefault="00091646" w:rsidP="009C7A0C">
            <w:pPr>
              <w:pStyle w:val="TAC"/>
              <w:jc w:val="left"/>
            </w:pPr>
            <w:r>
              <w:t xml:space="preserve">Up to 8 </w:t>
            </w:r>
          </w:p>
        </w:tc>
        <w:tc>
          <w:tcPr>
            <w:tcW w:w="4903" w:type="dxa"/>
            <w:tcBorders>
              <w:top w:val="single" w:sz="4" w:space="0" w:color="auto"/>
              <w:left w:val="single" w:sz="4" w:space="0" w:color="auto"/>
              <w:bottom w:val="single" w:sz="4" w:space="0" w:color="auto"/>
              <w:right w:val="single" w:sz="4" w:space="0" w:color="auto"/>
            </w:tcBorders>
          </w:tcPr>
          <w:p w:rsidR="00091646" w:rsidRPr="00271850" w:rsidRDefault="00091646" w:rsidP="00D111C8">
            <w:pPr>
              <w:pStyle w:val="TAC"/>
              <w:jc w:val="left"/>
              <w:rPr>
                <w:i/>
              </w:rPr>
            </w:pPr>
            <w:r w:rsidRPr="00271850">
              <w:rPr>
                <w:i/>
              </w:rPr>
              <w:t>As LTE</w:t>
            </w:r>
          </w:p>
        </w:tc>
      </w:tr>
      <w:tr w:rsidR="00091646" w:rsidTr="00CF175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91646" w:rsidRPr="00A53DCB" w:rsidRDefault="00091646" w:rsidP="00D111C8">
            <w:pPr>
              <w:pStyle w:val="TAC"/>
            </w:pPr>
            <w:r>
              <w:t xml:space="preserve">Modulation </w:t>
            </w:r>
            <w:r w:rsidR="00C153CE">
              <w:t>o</w:t>
            </w:r>
            <w:r>
              <w:t>rder</w:t>
            </w:r>
          </w:p>
        </w:tc>
        <w:tc>
          <w:tcPr>
            <w:tcW w:w="2220" w:type="dxa"/>
            <w:tcBorders>
              <w:top w:val="single" w:sz="4" w:space="0" w:color="auto"/>
              <w:left w:val="single" w:sz="4" w:space="0" w:color="auto"/>
              <w:bottom w:val="single" w:sz="4" w:space="0" w:color="auto"/>
              <w:right w:val="single" w:sz="4" w:space="0" w:color="auto"/>
            </w:tcBorders>
          </w:tcPr>
          <w:p w:rsidR="00091646" w:rsidRPr="000B53DC" w:rsidRDefault="00091646" w:rsidP="00D111C8">
            <w:pPr>
              <w:pStyle w:val="TAC"/>
              <w:jc w:val="left"/>
            </w:pPr>
            <w:r>
              <w:t>256</w:t>
            </w:r>
            <w:r w:rsidR="009C7A0C">
              <w:t>-</w:t>
            </w:r>
            <w:r>
              <w:t>QAM</w:t>
            </w:r>
          </w:p>
        </w:tc>
        <w:tc>
          <w:tcPr>
            <w:tcW w:w="4903" w:type="dxa"/>
            <w:tcBorders>
              <w:top w:val="single" w:sz="4" w:space="0" w:color="auto"/>
              <w:left w:val="single" w:sz="4" w:space="0" w:color="auto"/>
              <w:bottom w:val="single" w:sz="4" w:space="0" w:color="auto"/>
              <w:right w:val="single" w:sz="4" w:space="0" w:color="auto"/>
            </w:tcBorders>
          </w:tcPr>
          <w:p w:rsidR="00091646" w:rsidRPr="00271850" w:rsidRDefault="00091646" w:rsidP="00D111C8">
            <w:pPr>
              <w:pStyle w:val="TAC"/>
              <w:jc w:val="left"/>
              <w:rPr>
                <w:i/>
              </w:rPr>
            </w:pPr>
            <w:r w:rsidRPr="00271850">
              <w:rPr>
                <w:i/>
              </w:rPr>
              <w:t>As LTE</w:t>
            </w:r>
          </w:p>
        </w:tc>
      </w:tr>
      <w:tr w:rsidR="00091646" w:rsidTr="00CF175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91646" w:rsidRPr="00A53DCB" w:rsidRDefault="00091646" w:rsidP="00D111C8">
            <w:pPr>
              <w:pStyle w:val="TAC"/>
            </w:pPr>
            <w:r>
              <w:t>Transmission bandwidth</w:t>
            </w:r>
          </w:p>
        </w:tc>
        <w:tc>
          <w:tcPr>
            <w:tcW w:w="2220" w:type="dxa"/>
            <w:tcBorders>
              <w:top w:val="single" w:sz="4" w:space="0" w:color="auto"/>
              <w:left w:val="single" w:sz="4" w:space="0" w:color="auto"/>
              <w:bottom w:val="single" w:sz="4" w:space="0" w:color="auto"/>
              <w:right w:val="single" w:sz="4" w:space="0" w:color="auto"/>
            </w:tcBorders>
          </w:tcPr>
          <w:p w:rsidR="00091646" w:rsidRPr="000B53DC" w:rsidRDefault="00CF175D" w:rsidP="00D111C8">
            <w:pPr>
              <w:pStyle w:val="TAC"/>
              <w:jc w:val="left"/>
            </w:pPr>
            <w:r>
              <w:t xml:space="preserve">Up to </w:t>
            </w:r>
            <w:r w:rsidR="00507178">
              <w:t>h</w:t>
            </w:r>
            <w:r w:rsidR="00091646">
              <w:t>undreds of MHz</w:t>
            </w:r>
          </w:p>
        </w:tc>
        <w:tc>
          <w:tcPr>
            <w:tcW w:w="4903" w:type="dxa"/>
            <w:tcBorders>
              <w:top w:val="single" w:sz="4" w:space="0" w:color="auto"/>
              <w:left w:val="single" w:sz="4" w:space="0" w:color="auto"/>
              <w:bottom w:val="single" w:sz="4" w:space="0" w:color="auto"/>
              <w:right w:val="single" w:sz="4" w:space="0" w:color="auto"/>
            </w:tcBorders>
          </w:tcPr>
          <w:p w:rsidR="00091646" w:rsidRPr="00271850" w:rsidRDefault="00271850" w:rsidP="00D111C8">
            <w:pPr>
              <w:pStyle w:val="TAC"/>
              <w:jc w:val="left"/>
              <w:rPr>
                <w:i/>
              </w:rPr>
            </w:pPr>
            <w:r w:rsidRPr="00271850">
              <w:rPr>
                <w:i/>
              </w:rPr>
              <w:t>Different.</w:t>
            </w:r>
          </w:p>
        </w:tc>
      </w:tr>
      <w:tr w:rsidR="00091646" w:rsidTr="00CF175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91646" w:rsidRDefault="00091646" w:rsidP="00D111C8">
            <w:pPr>
              <w:pStyle w:val="TAC"/>
            </w:pPr>
            <w:r>
              <w:t xml:space="preserve">Subcarrier </w:t>
            </w:r>
            <w:r w:rsidR="00C153CE">
              <w:t>s</w:t>
            </w:r>
            <w:r>
              <w:t>pacing</w:t>
            </w:r>
          </w:p>
        </w:tc>
        <w:tc>
          <w:tcPr>
            <w:tcW w:w="2220" w:type="dxa"/>
            <w:tcBorders>
              <w:top w:val="single" w:sz="4" w:space="0" w:color="auto"/>
              <w:left w:val="single" w:sz="4" w:space="0" w:color="auto"/>
              <w:bottom w:val="single" w:sz="4" w:space="0" w:color="auto"/>
              <w:right w:val="single" w:sz="4" w:space="0" w:color="auto"/>
            </w:tcBorders>
          </w:tcPr>
          <w:p w:rsidR="00091646" w:rsidRDefault="00CF175D" w:rsidP="00D111C8">
            <w:pPr>
              <w:pStyle w:val="TAC"/>
              <w:jc w:val="left"/>
            </w:pPr>
            <w:r>
              <w:t>[</w:t>
            </w:r>
            <w:r w:rsidR="00091646">
              <w:t>60</w:t>
            </w:r>
            <w:r>
              <w:t>]</w:t>
            </w:r>
            <w:r w:rsidR="00091646">
              <w:t xml:space="preserve"> kHz</w:t>
            </w:r>
          </w:p>
        </w:tc>
        <w:tc>
          <w:tcPr>
            <w:tcW w:w="4903" w:type="dxa"/>
            <w:tcBorders>
              <w:top w:val="single" w:sz="4" w:space="0" w:color="auto"/>
              <w:left w:val="single" w:sz="4" w:space="0" w:color="auto"/>
              <w:bottom w:val="single" w:sz="4" w:space="0" w:color="auto"/>
              <w:right w:val="single" w:sz="4" w:space="0" w:color="auto"/>
            </w:tcBorders>
          </w:tcPr>
          <w:p w:rsidR="00271850" w:rsidRPr="00271850" w:rsidRDefault="00271850" w:rsidP="00CF175D">
            <w:pPr>
              <w:pStyle w:val="TAC"/>
              <w:jc w:val="left"/>
              <w:rPr>
                <w:i/>
              </w:rPr>
            </w:pPr>
            <w:r w:rsidRPr="00271850">
              <w:rPr>
                <w:i/>
              </w:rPr>
              <w:t>Different.</w:t>
            </w:r>
          </w:p>
          <w:p w:rsidR="00091646" w:rsidRDefault="00CF175D" w:rsidP="00CF175D">
            <w:pPr>
              <w:pStyle w:val="TAC"/>
              <w:jc w:val="left"/>
            </w:pPr>
            <w:r>
              <w:t>The subcarrier spacing would be increased from 15 kHz to a larger value, say 60 kHz</w:t>
            </w:r>
            <w:r w:rsidR="00E27A8B">
              <w:t>,</w:t>
            </w:r>
            <w:r>
              <w:t xml:space="preserve"> to enable reasonable complexity in larger bandwidth, i.e. comparable FFT size as 2048 used in LTE 20 MHz, while also providing short symbol duration for low latency.</w:t>
            </w:r>
          </w:p>
        </w:tc>
      </w:tr>
      <w:tr w:rsidR="00091646" w:rsidTr="00CF175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91646" w:rsidRDefault="00091646" w:rsidP="009C7A0C">
            <w:pPr>
              <w:pStyle w:val="TAC"/>
            </w:pPr>
            <w:r>
              <w:t>C</w:t>
            </w:r>
            <w:r w:rsidR="009C7A0C">
              <w:t>yclic prefix</w:t>
            </w:r>
          </w:p>
        </w:tc>
        <w:tc>
          <w:tcPr>
            <w:tcW w:w="2220" w:type="dxa"/>
            <w:tcBorders>
              <w:top w:val="single" w:sz="4" w:space="0" w:color="auto"/>
              <w:left w:val="single" w:sz="4" w:space="0" w:color="auto"/>
              <w:bottom w:val="single" w:sz="4" w:space="0" w:color="auto"/>
              <w:right w:val="single" w:sz="4" w:space="0" w:color="auto"/>
            </w:tcBorders>
          </w:tcPr>
          <w:p w:rsidR="00091646" w:rsidRDefault="00091646" w:rsidP="00D111C8">
            <w:pPr>
              <w:pStyle w:val="TAC"/>
              <w:jc w:val="left"/>
            </w:pPr>
            <w:r>
              <w:t>Normal CP</w:t>
            </w:r>
          </w:p>
        </w:tc>
        <w:tc>
          <w:tcPr>
            <w:tcW w:w="4903" w:type="dxa"/>
            <w:tcBorders>
              <w:top w:val="single" w:sz="4" w:space="0" w:color="auto"/>
              <w:left w:val="single" w:sz="4" w:space="0" w:color="auto"/>
              <w:bottom w:val="single" w:sz="4" w:space="0" w:color="auto"/>
              <w:right w:val="single" w:sz="4" w:space="0" w:color="auto"/>
            </w:tcBorders>
          </w:tcPr>
          <w:p w:rsidR="00271850" w:rsidRPr="00271850" w:rsidRDefault="00CF175D" w:rsidP="00091646">
            <w:pPr>
              <w:pStyle w:val="TAC"/>
              <w:jc w:val="left"/>
              <w:rPr>
                <w:i/>
              </w:rPr>
            </w:pPr>
            <w:r w:rsidRPr="00271850">
              <w:rPr>
                <w:i/>
              </w:rPr>
              <w:t xml:space="preserve">Similar as LTE. </w:t>
            </w:r>
          </w:p>
          <w:p w:rsidR="00091646" w:rsidRDefault="00091646" w:rsidP="00091646">
            <w:pPr>
              <w:pStyle w:val="TAC"/>
              <w:jc w:val="left"/>
            </w:pPr>
            <w:r>
              <w:t>Typically related to channel delay profile in relation to the channel model which d</w:t>
            </w:r>
            <w:r w:rsidR="00DB58A4">
              <w:t xml:space="preserve">oes not change significantly </w:t>
            </w:r>
            <w:r>
              <w:t>below 6</w:t>
            </w:r>
            <w:r w:rsidR="00C153CE">
              <w:t xml:space="preserve"> </w:t>
            </w:r>
            <w:r>
              <w:t>GHz bands</w:t>
            </w:r>
            <w:r w:rsidR="00DB58A4">
              <w:t>.</w:t>
            </w:r>
          </w:p>
        </w:tc>
      </w:tr>
      <w:tr w:rsidR="00091646" w:rsidTr="00CF175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91646" w:rsidRPr="00A53DCB" w:rsidRDefault="00091646" w:rsidP="00D111C8">
            <w:pPr>
              <w:pStyle w:val="TAC"/>
            </w:pPr>
            <w:r>
              <w:t xml:space="preserve">Reference </w:t>
            </w:r>
            <w:r w:rsidR="00C153CE">
              <w:t>s</w:t>
            </w:r>
            <w:r>
              <w:t>ignals</w:t>
            </w:r>
          </w:p>
        </w:tc>
        <w:tc>
          <w:tcPr>
            <w:tcW w:w="2220" w:type="dxa"/>
            <w:tcBorders>
              <w:top w:val="single" w:sz="4" w:space="0" w:color="auto"/>
              <w:left w:val="single" w:sz="4" w:space="0" w:color="auto"/>
              <w:bottom w:val="single" w:sz="4" w:space="0" w:color="auto"/>
              <w:right w:val="single" w:sz="4" w:space="0" w:color="auto"/>
            </w:tcBorders>
          </w:tcPr>
          <w:p w:rsidR="00091646" w:rsidRPr="00A53DCB" w:rsidRDefault="00CA5519" w:rsidP="00C153CE">
            <w:pPr>
              <w:pStyle w:val="TAC"/>
              <w:jc w:val="left"/>
            </w:pPr>
            <w:r>
              <w:t xml:space="preserve">8 antenna ports </w:t>
            </w:r>
            <w:r w:rsidR="00C153CE">
              <w:t>UE-specific</w:t>
            </w:r>
          </w:p>
        </w:tc>
        <w:tc>
          <w:tcPr>
            <w:tcW w:w="4903" w:type="dxa"/>
            <w:tcBorders>
              <w:top w:val="single" w:sz="4" w:space="0" w:color="auto"/>
              <w:left w:val="single" w:sz="4" w:space="0" w:color="auto"/>
              <w:bottom w:val="single" w:sz="4" w:space="0" w:color="auto"/>
              <w:right w:val="single" w:sz="4" w:space="0" w:color="auto"/>
            </w:tcBorders>
          </w:tcPr>
          <w:p w:rsidR="00271850" w:rsidRPr="00271850" w:rsidRDefault="00CF175D" w:rsidP="00CF175D">
            <w:pPr>
              <w:pStyle w:val="TAC"/>
              <w:jc w:val="left"/>
              <w:rPr>
                <w:i/>
              </w:rPr>
            </w:pPr>
            <w:r w:rsidRPr="00271850">
              <w:rPr>
                <w:i/>
              </w:rPr>
              <w:t xml:space="preserve">Similar as LTE. </w:t>
            </w:r>
          </w:p>
          <w:p w:rsidR="00091646" w:rsidRPr="00A53DCB" w:rsidRDefault="00CF175D" w:rsidP="00CF175D">
            <w:pPr>
              <w:pStyle w:val="TAC"/>
              <w:jc w:val="left"/>
            </w:pPr>
            <w:r>
              <w:t>The DMRS pattern may be changed. Other reference signals providing essential purposes other than data demodulation may be needed</w:t>
            </w:r>
            <w:r w:rsidR="00271850">
              <w:t>.</w:t>
            </w:r>
          </w:p>
        </w:tc>
      </w:tr>
      <w:tr w:rsidR="00091646" w:rsidTr="00CF175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91646" w:rsidRDefault="00C153CE" w:rsidP="00D111C8">
            <w:pPr>
              <w:pStyle w:val="TAC"/>
            </w:pPr>
            <w:r>
              <w:t>Control channels</w:t>
            </w:r>
          </w:p>
        </w:tc>
        <w:tc>
          <w:tcPr>
            <w:tcW w:w="2220" w:type="dxa"/>
            <w:tcBorders>
              <w:top w:val="single" w:sz="4" w:space="0" w:color="auto"/>
              <w:left w:val="single" w:sz="4" w:space="0" w:color="auto"/>
              <w:bottom w:val="single" w:sz="4" w:space="0" w:color="auto"/>
              <w:right w:val="single" w:sz="4" w:space="0" w:color="auto"/>
            </w:tcBorders>
          </w:tcPr>
          <w:p w:rsidR="00091646" w:rsidRDefault="00271850" w:rsidP="00D111C8">
            <w:pPr>
              <w:pStyle w:val="TAC"/>
              <w:jc w:val="left"/>
            </w:pPr>
            <w:r>
              <w:t>TBD</w:t>
            </w:r>
          </w:p>
        </w:tc>
        <w:tc>
          <w:tcPr>
            <w:tcW w:w="4903" w:type="dxa"/>
            <w:tcBorders>
              <w:top w:val="single" w:sz="4" w:space="0" w:color="auto"/>
              <w:left w:val="single" w:sz="4" w:space="0" w:color="auto"/>
              <w:bottom w:val="single" w:sz="4" w:space="0" w:color="auto"/>
              <w:right w:val="single" w:sz="4" w:space="0" w:color="auto"/>
            </w:tcBorders>
          </w:tcPr>
          <w:p w:rsidR="00091646" w:rsidRDefault="009C7A0C" w:rsidP="009C7A0C">
            <w:pPr>
              <w:pStyle w:val="TAC"/>
              <w:jc w:val="left"/>
            </w:pPr>
            <w:r>
              <w:t>Similar or lower than LTE</w:t>
            </w:r>
          </w:p>
        </w:tc>
      </w:tr>
    </w:tbl>
    <w:p w:rsidR="00091646" w:rsidRDefault="00091646" w:rsidP="00AB7635"/>
    <w:p w:rsidR="00AB7635" w:rsidRPr="00033512" w:rsidRDefault="00271850" w:rsidP="00AB7635">
      <w:pPr>
        <w:rPr>
          <w:b/>
          <w:u w:val="single"/>
        </w:rPr>
      </w:pPr>
      <w:r>
        <w:rPr>
          <w:b/>
          <w:u w:val="single"/>
        </w:rPr>
        <w:t xml:space="preserve">Initial estimation of </w:t>
      </w:r>
      <w:r w:rsidR="0079599D">
        <w:rPr>
          <w:b/>
          <w:u w:val="single"/>
        </w:rPr>
        <w:t>NR</w:t>
      </w:r>
      <w:r>
        <w:rPr>
          <w:b/>
          <w:u w:val="single"/>
        </w:rPr>
        <w:t xml:space="preserve"> </w:t>
      </w:r>
      <w:r w:rsidR="006525AB">
        <w:rPr>
          <w:b/>
          <w:u w:val="single"/>
        </w:rPr>
        <w:t>overhead</w:t>
      </w:r>
    </w:p>
    <w:p w:rsidR="00D07F37" w:rsidRPr="00BA7BA7" w:rsidRDefault="00D07F37" w:rsidP="00D07F37">
      <w:pPr>
        <w:pStyle w:val="CommentText"/>
        <w:rPr>
          <w:rFonts w:eastAsia="Calibri"/>
          <w:sz w:val="22"/>
          <w:szCs w:val="22"/>
          <w:lang w:eastAsia="sv-SE"/>
        </w:rPr>
      </w:pPr>
      <w:r>
        <w:rPr>
          <w:rFonts w:eastAsia="Calibri"/>
          <w:sz w:val="22"/>
          <w:szCs w:val="22"/>
          <w:lang w:eastAsia="sv-SE"/>
        </w:rPr>
        <w:t xml:space="preserve">A detailed analysis on the elements contributing to </w:t>
      </w:r>
      <w:r w:rsidR="0079599D">
        <w:rPr>
          <w:rFonts w:eastAsia="Calibri"/>
          <w:sz w:val="22"/>
          <w:szCs w:val="22"/>
          <w:lang w:eastAsia="sv-SE"/>
        </w:rPr>
        <w:t>NR</w:t>
      </w:r>
      <w:r w:rsidRPr="00091646">
        <w:rPr>
          <w:rFonts w:eastAsia="Calibri"/>
          <w:sz w:val="22"/>
          <w:szCs w:val="22"/>
          <w:lang w:eastAsia="sv-SE"/>
        </w:rPr>
        <w:t xml:space="preserve"> overhead</w:t>
      </w:r>
      <w:r>
        <w:rPr>
          <w:rFonts w:eastAsia="Calibri"/>
          <w:sz w:val="22"/>
          <w:szCs w:val="22"/>
          <w:lang w:eastAsia="sv-SE"/>
        </w:rPr>
        <w:t xml:space="preserve"> is given in Table 4, which shows there is around </w:t>
      </w:r>
      <w:r w:rsidR="00404AF5">
        <w:rPr>
          <w:rFonts w:eastAsia="Calibri"/>
          <w:sz w:val="22"/>
          <w:szCs w:val="22"/>
          <w:lang w:eastAsia="sv-SE"/>
        </w:rPr>
        <w:t>56</w:t>
      </w:r>
      <w:r w:rsidR="00C72F0B">
        <w:rPr>
          <w:rFonts w:eastAsia="Calibri"/>
          <w:sz w:val="22"/>
          <w:szCs w:val="22"/>
          <w:lang w:eastAsia="sv-SE"/>
        </w:rPr>
        <w:t>.</w:t>
      </w:r>
      <w:r w:rsidR="00404AF5">
        <w:rPr>
          <w:rFonts w:eastAsia="Calibri"/>
          <w:sz w:val="22"/>
          <w:szCs w:val="22"/>
          <w:lang w:eastAsia="sv-SE"/>
        </w:rPr>
        <w:t>2</w:t>
      </w:r>
      <w:r>
        <w:rPr>
          <w:rFonts w:eastAsia="Calibri"/>
          <w:sz w:val="22"/>
          <w:szCs w:val="22"/>
          <w:lang w:eastAsia="sv-SE"/>
        </w:rPr>
        <w:t xml:space="preserve">% overhead </w:t>
      </w:r>
      <w:r w:rsidR="005744CF">
        <w:rPr>
          <w:rFonts w:eastAsia="Calibri"/>
          <w:sz w:val="22"/>
          <w:szCs w:val="22"/>
          <w:lang w:eastAsia="sv-SE"/>
        </w:rPr>
        <w:t xml:space="preserve">by directly scaling </w:t>
      </w:r>
      <w:r>
        <w:rPr>
          <w:rFonts w:eastAsia="Calibri"/>
          <w:sz w:val="22"/>
          <w:szCs w:val="22"/>
          <w:lang w:eastAsia="sv-SE"/>
        </w:rPr>
        <w:t>the subcarrier spacing from 15 kHz to 60 kHz</w:t>
      </w:r>
      <w:r w:rsidR="005744CF">
        <w:rPr>
          <w:rFonts w:eastAsia="Calibri"/>
          <w:sz w:val="22"/>
          <w:szCs w:val="22"/>
          <w:lang w:eastAsia="sv-SE"/>
        </w:rPr>
        <w:t xml:space="preserve"> and a reduced TTI of 0.1ms</w:t>
      </w:r>
      <w:r>
        <w:rPr>
          <w:rFonts w:eastAsia="Calibri"/>
          <w:sz w:val="22"/>
          <w:szCs w:val="22"/>
          <w:lang w:eastAsia="sv-SE"/>
        </w:rPr>
        <w:t xml:space="preserve">. This causes </w:t>
      </w:r>
      <w:r w:rsidR="0079599D">
        <w:rPr>
          <w:rFonts w:eastAsia="Calibri"/>
          <w:sz w:val="22"/>
          <w:szCs w:val="22"/>
          <w:lang w:eastAsia="sv-SE"/>
        </w:rPr>
        <w:t>NR</w:t>
      </w:r>
      <w:r>
        <w:rPr>
          <w:rFonts w:eastAsia="Calibri"/>
          <w:sz w:val="22"/>
          <w:szCs w:val="22"/>
          <w:lang w:eastAsia="sv-SE"/>
        </w:rPr>
        <w:t xml:space="preserve"> peak spectral efficiency </w:t>
      </w:r>
      <w:r w:rsidR="009C7A0C">
        <w:rPr>
          <w:rFonts w:eastAsia="Calibri"/>
          <w:sz w:val="22"/>
          <w:szCs w:val="22"/>
          <w:lang w:eastAsia="sv-SE"/>
        </w:rPr>
        <w:t>to be</w:t>
      </w:r>
      <w:r w:rsidR="006525AB">
        <w:rPr>
          <w:rFonts w:eastAsia="Calibri"/>
          <w:sz w:val="22"/>
          <w:szCs w:val="22"/>
          <w:lang w:eastAsia="sv-SE"/>
        </w:rPr>
        <w:t xml:space="preserve"> no</w:t>
      </w:r>
      <w:r w:rsidR="009C7A0C">
        <w:rPr>
          <w:rFonts w:eastAsia="Calibri"/>
          <w:sz w:val="22"/>
          <w:szCs w:val="22"/>
          <w:lang w:eastAsia="sv-SE"/>
        </w:rPr>
        <w:t xml:space="preserve"> </w:t>
      </w:r>
      <w:r>
        <w:rPr>
          <w:rFonts w:eastAsia="Calibri"/>
          <w:sz w:val="22"/>
          <w:szCs w:val="22"/>
          <w:lang w:eastAsia="sv-SE"/>
        </w:rPr>
        <w:t xml:space="preserve">greater than </w:t>
      </w:r>
      <m:oMath>
        <m:r>
          <w:rPr>
            <w:rFonts w:ascii="Cambria Math" w:eastAsia="Calibri" w:hAnsi="Cambria Math"/>
            <w:sz w:val="22"/>
            <w:lang w:eastAsia="sv-SE"/>
          </w:rPr>
          <m:t>64*</m:t>
        </m:r>
        <m:d>
          <m:dPr>
            <m:ctrlPr>
              <w:rPr>
                <w:rFonts w:ascii="Cambria Math" w:eastAsia="Calibri" w:hAnsi="Cambria Math"/>
                <w:i/>
                <w:sz w:val="22"/>
                <w:lang w:eastAsia="sv-SE"/>
              </w:rPr>
            </m:ctrlPr>
          </m:dPr>
          <m:e>
            <m:r>
              <w:rPr>
                <w:rFonts w:ascii="Cambria Math" w:eastAsia="Calibri" w:hAnsi="Cambria Math"/>
                <w:sz w:val="24"/>
                <w:szCs w:val="22"/>
                <w:lang w:eastAsia="sv-SE"/>
              </w:rPr>
              <m:t>1-56.2%</m:t>
            </m:r>
            <m:ctrlPr>
              <w:rPr>
                <w:rFonts w:ascii="Cambria Math" w:eastAsia="Calibri" w:hAnsi="Cambria Math"/>
                <w:i/>
                <w:sz w:val="24"/>
                <w:szCs w:val="22"/>
                <w:lang w:eastAsia="sv-SE"/>
              </w:rPr>
            </m:ctrlPr>
          </m:e>
        </m:d>
        <m:r>
          <w:rPr>
            <w:rFonts w:ascii="Cambria Math" w:eastAsia="Calibri" w:hAnsi="Cambria Math"/>
            <w:sz w:val="24"/>
            <w:szCs w:val="22"/>
            <w:lang w:eastAsia="sv-SE"/>
          </w:rPr>
          <m:t>=28 bps/Hz</m:t>
        </m:r>
      </m:oMath>
      <w:r w:rsidR="00507178">
        <w:rPr>
          <w:rFonts w:eastAsia="Calibri"/>
          <w:sz w:val="24"/>
          <w:szCs w:val="22"/>
          <w:lang w:eastAsia="sv-SE"/>
        </w:rPr>
        <w:t>.</w:t>
      </w:r>
      <w:r w:rsidR="00507178" w:rsidRPr="00507178">
        <w:rPr>
          <w:rFonts w:eastAsia="Calibri"/>
          <w:sz w:val="22"/>
          <w:szCs w:val="22"/>
          <w:lang w:eastAsia="sv-SE"/>
        </w:rPr>
        <w:t xml:space="preserve"> Hence</w:t>
      </w:r>
      <w:r w:rsidR="00507178">
        <w:rPr>
          <w:rFonts w:eastAsia="Calibri"/>
          <w:sz w:val="22"/>
          <w:szCs w:val="22"/>
          <w:lang w:eastAsia="sv-SE"/>
        </w:rPr>
        <w:t>, some improvements appear necessary for meeting the target of 30 bps/Hz.</w:t>
      </w:r>
    </w:p>
    <w:p w:rsidR="00D07F37" w:rsidRPr="00D07F37" w:rsidRDefault="00D07F37" w:rsidP="00271850">
      <w:pPr>
        <w:pStyle w:val="CommentText"/>
        <w:jc w:val="center"/>
        <w:rPr>
          <w:rFonts w:eastAsia="Calibri"/>
          <w:b/>
          <w:sz w:val="22"/>
          <w:szCs w:val="22"/>
          <w:lang w:eastAsia="sv-SE"/>
        </w:rPr>
      </w:pPr>
    </w:p>
    <w:p w:rsidR="00271850" w:rsidRDefault="00271850" w:rsidP="00271850">
      <w:pPr>
        <w:pStyle w:val="CommentText"/>
        <w:jc w:val="center"/>
        <w:rPr>
          <w:rFonts w:eastAsia="Calibri"/>
          <w:b/>
          <w:sz w:val="22"/>
          <w:szCs w:val="22"/>
          <w:lang w:eastAsia="sv-SE"/>
        </w:rPr>
      </w:pPr>
      <w:r w:rsidRPr="00656A17">
        <w:rPr>
          <w:rFonts w:eastAsia="Calibri"/>
          <w:b/>
          <w:sz w:val="22"/>
          <w:szCs w:val="22"/>
          <w:lang w:eastAsia="sv-SE"/>
        </w:rPr>
        <w:t xml:space="preserve">Table </w:t>
      </w:r>
      <w:r>
        <w:rPr>
          <w:rFonts w:eastAsia="Calibri"/>
          <w:b/>
          <w:sz w:val="22"/>
          <w:szCs w:val="22"/>
          <w:lang w:eastAsia="sv-SE"/>
        </w:rPr>
        <w:t>4</w:t>
      </w:r>
      <w:r w:rsidRPr="00656A17">
        <w:rPr>
          <w:rFonts w:eastAsia="Calibri"/>
          <w:b/>
          <w:sz w:val="22"/>
          <w:szCs w:val="22"/>
          <w:lang w:eastAsia="sv-SE"/>
        </w:rPr>
        <w:t xml:space="preserve">. </w:t>
      </w:r>
      <w:r w:rsidR="0079599D">
        <w:rPr>
          <w:rFonts w:eastAsia="Calibri"/>
          <w:b/>
          <w:sz w:val="22"/>
          <w:szCs w:val="22"/>
          <w:lang w:eastAsia="sv-SE"/>
        </w:rPr>
        <w:t>NR</w:t>
      </w:r>
      <w:r>
        <w:rPr>
          <w:rFonts w:eastAsia="Calibri"/>
          <w:b/>
          <w:sz w:val="22"/>
          <w:szCs w:val="22"/>
          <w:lang w:eastAsia="sv-SE"/>
        </w:rPr>
        <w:t xml:space="preserve"> overhead </w:t>
      </w:r>
      <w:r w:rsidR="00052ECA">
        <w:rPr>
          <w:rFonts w:eastAsia="Calibri"/>
          <w:b/>
          <w:sz w:val="22"/>
          <w:szCs w:val="22"/>
          <w:lang w:eastAsia="sv-SE"/>
        </w:rPr>
        <w:t xml:space="preserve">assuming the parameter in Table 3 with subcarrier spacing of 60 </w:t>
      </w:r>
      <w:proofErr w:type="gramStart"/>
      <w:r w:rsidR="00052ECA">
        <w:rPr>
          <w:rFonts w:eastAsia="Calibri"/>
          <w:b/>
          <w:sz w:val="22"/>
          <w:szCs w:val="22"/>
          <w:lang w:eastAsia="sv-SE"/>
        </w:rPr>
        <w:t>kHz</w:t>
      </w:r>
      <w:proofErr w:type="gramEnd"/>
      <w:r w:rsidR="00B90A10">
        <w:rPr>
          <w:rFonts w:eastAsia="Calibri"/>
          <w:b/>
          <w:sz w:val="22"/>
          <w:szCs w:val="22"/>
          <w:lang w:eastAsia="sv-SE"/>
        </w:rPr>
        <w:t xml:space="preserve"> for 80</w:t>
      </w:r>
      <w:r w:rsidR="0027161F">
        <w:rPr>
          <w:rFonts w:eastAsiaTheme="minorEastAsia" w:hint="eastAsia"/>
          <w:b/>
          <w:sz w:val="22"/>
          <w:szCs w:val="22"/>
          <w:lang w:eastAsia="zh-CN"/>
        </w:rPr>
        <w:t xml:space="preserve"> </w:t>
      </w:r>
      <w:r w:rsidR="00B90A10">
        <w:rPr>
          <w:rFonts w:eastAsia="Calibri"/>
          <w:b/>
          <w:sz w:val="22"/>
          <w:szCs w:val="22"/>
          <w:lang w:eastAsia="sv-SE"/>
        </w:rPr>
        <w:t>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9"/>
        <w:gridCol w:w="1134"/>
        <w:gridCol w:w="5954"/>
      </w:tblGrid>
      <w:tr w:rsidR="00271850" w:rsidTr="00D111C8">
        <w:trPr>
          <w:trHeight w:val="207"/>
          <w:jc w:val="center"/>
        </w:trPr>
        <w:tc>
          <w:tcPr>
            <w:tcW w:w="1919" w:type="dxa"/>
            <w:tcBorders>
              <w:top w:val="single" w:sz="4" w:space="0" w:color="auto"/>
              <w:left w:val="single" w:sz="4" w:space="0" w:color="auto"/>
              <w:bottom w:val="single" w:sz="4" w:space="0" w:color="auto"/>
              <w:right w:val="single" w:sz="4" w:space="0" w:color="auto"/>
            </w:tcBorders>
            <w:shd w:val="clear" w:color="auto" w:fill="E0E0E0"/>
            <w:vAlign w:val="bottom"/>
          </w:tcPr>
          <w:p w:rsidR="00271850" w:rsidRPr="00A53DCB" w:rsidRDefault="00271850" w:rsidP="00D111C8">
            <w:pPr>
              <w:jc w:val="center"/>
              <w:rPr>
                <w:rFonts w:ascii="Arial" w:hAnsi="Arial"/>
                <w:b/>
                <w:sz w:val="18"/>
              </w:rPr>
            </w:pPr>
            <w:r>
              <w:rPr>
                <w:rFonts w:ascii="Arial" w:hAnsi="Arial"/>
                <w:b/>
                <w:sz w:val="18"/>
              </w:rPr>
              <w:t>Elements</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bottom"/>
          </w:tcPr>
          <w:p w:rsidR="00271850" w:rsidRDefault="00271850" w:rsidP="00D111C8">
            <w:pPr>
              <w:jc w:val="center"/>
              <w:rPr>
                <w:rFonts w:ascii="Arial" w:hAnsi="Arial"/>
                <w:b/>
                <w:sz w:val="18"/>
              </w:rPr>
            </w:pPr>
            <w:r>
              <w:rPr>
                <w:rFonts w:ascii="Arial" w:hAnsi="Arial"/>
                <w:b/>
                <w:sz w:val="18"/>
              </w:rPr>
              <w:t>Overhead</w:t>
            </w:r>
          </w:p>
        </w:tc>
        <w:tc>
          <w:tcPr>
            <w:tcW w:w="5954" w:type="dxa"/>
            <w:tcBorders>
              <w:top w:val="single" w:sz="4" w:space="0" w:color="auto"/>
              <w:left w:val="single" w:sz="4" w:space="0" w:color="auto"/>
              <w:bottom w:val="single" w:sz="4" w:space="0" w:color="auto"/>
              <w:right w:val="single" w:sz="4" w:space="0" w:color="auto"/>
            </w:tcBorders>
            <w:shd w:val="clear" w:color="auto" w:fill="E0E0E0"/>
            <w:vAlign w:val="bottom"/>
          </w:tcPr>
          <w:p w:rsidR="00271850" w:rsidRDefault="00271850" w:rsidP="00D111C8">
            <w:pPr>
              <w:jc w:val="center"/>
              <w:rPr>
                <w:rFonts w:ascii="Arial" w:hAnsi="Arial"/>
                <w:b/>
                <w:sz w:val="18"/>
              </w:rPr>
            </w:pPr>
            <w:r>
              <w:rPr>
                <w:rFonts w:ascii="Arial" w:hAnsi="Arial"/>
                <w:b/>
                <w:sz w:val="18"/>
              </w:rPr>
              <w:t>Comments</w:t>
            </w:r>
          </w:p>
        </w:tc>
      </w:tr>
      <w:tr w:rsidR="00271850" w:rsidTr="00D111C8">
        <w:trPr>
          <w:jc w:val="center"/>
        </w:trPr>
        <w:tc>
          <w:tcPr>
            <w:tcW w:w="1919" w:type="dxa"/>
            <w:tcBorders>
              <w:top w:val="single" w:sz="4" w:space="0" w:color="auto"/>
              <w:left w:val="single" w:sz="4" w:space="0" w:color="auto"/>
              <w:bottom w:val="single" w:sz="4" w:space="0" w:color="auto"/>
              <w:right w:val="single" w:sz="4" w:space="0" w:color="auto"/>
            </w:tcBorders>
            <w:vAlign w:val="center"/>
          </w:tcPr>
          <w:p w:rsidR="00271850" w:rsidRPr="00A53DCB" w:rsidRDefault="00271850" w:rsidP="009C7A0C">
            <w:pPr>
              <w:pStyle w:val="TAC"/>
            </w:pPr>
            <w:r>
              <w:lastRenderedPageBreak/>
              <w:t xml:space="preserve">Spectrum </w:t>
            </w:r>
            <w:r w:rsidR="009C7A0C">
              <w:t>g</w:t>
            </w:r>
            <w:r>
              <w:t xml:space="preserve">uard </w:t>
            </w:r>
            <w:r w:rsidR="009C7A0C">
              <w:t>b</w:t>
            </w:r>
            <w:r>
              <w:t>and</w:t>
            </w:r>
          </w:p>
        </w:tc>
        <w:tc>
          <w:tcPr>
            <w:tcW w:w="1134" w:type="dxa"/>
            <w:tcBorders>
              <w:top w:val="single" w:sz="4" w:space="0" w:color="auto"/>
              <w:left w:val="single" w:sz="4" w:space="0" w:color="auto"/>
              <w:bottom w:val="single" w:sz="4" w:space="0" w:color="auto"/>
              <w:right w:val="single" w:sz="4" w:space="0" w:color="auto"/>
            </w:tcBorders>
          </w:tcPr>
          <w:p w:rsidR="00271850" w:rsidRPr="000B53DC" w:rsidRDefault="00271850" w:rsidP="00D111C8">
            <w:pPr>
              <w:pStyle w:val="TAC"/>
              <w:jc w:val="left"/>
            </w:pPr>
            <w:r>
              <w:t>10%</w:t>
            </w:r>
          </w:p>
        </w:tc>
        <w:tc>
          <w:tcPr>
            <w:tcW w:w="5954" w:type="dxa"/>
            <w:tcBorders>
              <w:top w:val="single" w:sz="4" w:space="0" w:color="auto"/>
              <w:left w:val="single" w:sz="4" w:space="0" w:color="auto"/>
              <w:bottom w:val="single" w:sz="4" w:space="0" w:color="auto"/>
              <w:right w:val="single" w:sz="4" w:space="0" w:color="auto"/>
            </w:tcBorders>
          </w:tcPr>
          <w:p w:rsidR="00052ECA" w:rsidRPr="00052ECA" w:rsidRDefault="00052ECA" w:rsidP="00D111C8">
            <w:pPr>
              <w:pStyle w:val="TAC"/>
              <w:jc w:val="left"/>
              <w:rPr>
                <w:i/>
              </w:rPr>
            </w:pPr>
            <w:r w:rsidRPr="00052ECA">
              <w:rPr>
                <w:i/>
              </w:rPr>
              <w:t>Similar</w:t>
            </w:r>
            <w:r>
              <w:rPr>
                <w:i/>
              </w:rPr>
              <w:t xml:space="preserve"> as LTE</w:t>
            </w:r>
          </w:p>
          <w:p w:rsidR="00271850" w:rsidRPr="000B53DC" w:rsidRDefault="00271850" w:rsidP="00D111C8">
            <w:pPr>
              <w:pStyle w:val="TAC"/>
              <w:jc w:val="left"/>
            </w:pPr>
            <w:r>
              <w:t>Reusing LTE design which basically reserve</w:t>
            </w:r>
            <w:r w:rsidR="00052ECA">
              <w:t>s</w:t>
            </w:r>
            <w:r>
              <w:t xml:space="preserve"> 10% bandwidth as the spectrum guard band.</w:t>
            </w:r>
            <w:r w:rsidR="00D07F37">
              <w:t xml:space="preserve"> It is realized that the spectrum guard band could be further reduced, especially for a wider bandwidth system. </w:t>
            </w:r>
          </w:p>
        </w:tc>
      </w:tr>
      <w:tr w:rsidR="00271850" w:rsidTr="00D111C8">
        <w:trPr>
          <w:jc w:val="center"/>
        </w:trPr>
        <w:tc>
          <w:tcPr>
            <w:tcW w:w="1919" w:type="dxa"/>
            <w:tcBorders>
              <w:top w:val="single" w:sz="4" w:space="0" w:color="auto"/>
              <w:left w:val="single" w:sz="4" w:space="0" w:color="auto"/>
              <w:bottom w:val="single" w:sz="4" w:space="0" w:color="auto"/>
              <w:right w:val="single" w:sz="4" w:space="0" w:color="auto"/>
            </w:tcBorders>
            <w:vAlign w:val="center"/>
          </w:tcPr>
          <w:p w:rsidR="00271850" w:rsidRPr="00A53DCB" w:rsidRDefault="00271850" w:rsidP="009C7A0C">
            <w:pPr>
              <w:pStyle w:val="TAC"/>
            </w:pPr>
            <w:r>
              <w:t xml:space="preserve">Cyclic </w:t>
            </w:r>
            <w:r w:rsidR="009C7A0C">
              <w:t>p</w:t>
            </w:r>
            <w:r>
              <w:t>refix</w:t>
            </w:r>
          </w:p>
        </w:tc>
        <w:tc>
          <w:tcPr>
            <w:tcW w:w="1134" w:type="dxa"/>
            <w:tcBorders>
              <w:top w:val="single" w:sz="4" w:space="0" w:color="auto"/>
              <w:left w:val="single" w:sz="4" w:space="0" w:color="auto"/>
              <w:bottom w:val="single" w:sz="4" w:space="0" w:color="auto"/>
              <w:right w:val="single" w:sz="4" w:space="0" w:color="auto"/>
            </w:tcBorders>
          </w:tcPr>
          <w:p w:rsidR="00271850" w:rsidRPr="000B53DC" w:rsidRDefault="00B330A5" w:rsidP="00D111C8">
            <w:pPr>
              <w:pStyle w:val="TAC"/>
              <w:jc w:val="left"/>
            </w:pPr>
            <w:r>
              <w:t>33.3</w:t>
            </w:r>
            <w:r w:rsidR="00271850">
              <w:t>%</w:t>
            </w:r>
          </w:p>
        </w:tc>
        <w:tc>
          <w:tcPr>
            <w:tcW w:w="5954" w:type="dxa"/>
            <w:tcBorders>
              <w:top w:val="single" w:sz="4" w:space="0" w:color="auto"/>
              <w:left w:val="single" w:sz="4" w:space="0" w:color="auto"/>
              <w:bottom w:val="single" w:sz="4" w:space="0" w:color="auto"/>
              <w:right w:val="single" w:sz="4" w:space="0" w:color="auto"/>
            </w:tcBorders>
          </w:tcPr>
          <w:p w:rsidR="00052ECA" w:rsidRPr="005A7532" w:rsidRDefault="005A7532" w:rsidP="00D111C8">
            <w:pPr>
              <w:pStyle w:val="TAC"/>
              <w:jc w:val="left"/>
              <w:rPr>
                <w:i/>
              </w:rPr>
            </w:pPr>
            <w:r w:rsidRPr="005A7532">
              <w:rPr>
                <w:i/>
              </w:rPr>
              <w:t xml:space="preserve">Much larger than </w:t>
            </w:r>
            <w:r w:rsidR="006525AB">
              <w:rPr>
                <w:i/>
              </w:rPr>
              <w:t xml:space="preserve">that </w:t>
            </w:r>
            <w:r w:rsidRPr="005A7532">
              <w:rPr>
                <w:i/>
              </w:rPr>
              <w:t>for</w:t>
            </w:r>
            <w:r w:rsidR="009C7A0C" w:rsidRPr="005A7532">
              <w:rPr>
                <w:i/>
              </w:rPr>
              <w:t xml:space="preserve"> </w:t>
            </w:r>
            <w:r w:rsidR="00052ECA" w:rsidRPr="005A7532">
              <w:rPr>
                <w:i/>
              </w:rPr>
              <w:t>LTE</w:t>
            </w:r>
          </w:p>
          <w:p w:rsidR="005F5F8A" w:rsidRDefault="00271850" w:rsidP="006525AB">
            <w:pPr>
              <w:pStyle w:val="TAC"/>
              <w:jc w:val="left"/>
            </w:pPr>
            <w:r>
              <w:t>Assuming the subcarrier spacing is changed from 15 kHz to 60</w:t>
            </w:r>
            <w:r w:rsidR="009C7A0C">
              <w:t xml:space="preserve"> k</w:t>
            </w:r>
            <w:r>
              <w:t>Hz resulting a</w:t>
            </w:r>
            <w:r w:rsidR="009C7A0C">
              <w:t xml:space="preserve"> reduced</w:t>
            </w:r>
            <w:r>
              <w:t xml:space="preserve"> OFDM symbol duration </w:t>
            </w:r>
            <w:r w:rsidR="009C7A0C">
              <w:t>by 25%</w:t>
            </w:r>
            <w:r>
              <w:t>.</w:t>
            </w:r>
          </w:p>
          <w:p w:rsidR="00271850" w:rsidRDefault="005F5F8A" w:rsidP="005F5F8A">
            <w:pPr>
              <w:pStyle w:val="TAC"/>
              <w:jc w:val="left"/>
            </w:pPr>
            <w:r>
              <w:t xml:space="preserve">The overhead is derived assuming the NR subframe duration of 0.1ms, NR OFDM symbol duration of </w:t>
            </w:r>
            <w:r w:rsidR="00CC3045">
              <w:t>1</w:t>
            </w:r>
            <w:r>
              <w:t>/(</w:t>
            </w:r>
            <w:r w:rsidR="00CC3045">
              <w:t>60</w:t>
            </w:r>
            <w:r>
              <w:t>e</w:t>
            </w:r>
            <w:r w:rsidR="00CC3045">
              <w:t>3</w:t>
            </w:r>
            <w:r>
              <w:t xml:space="preserve">)/(1e-3) </w:t>
            </w:r>
            <w:r w:rsidR="00CC3045">
              <w:t xml:space="preserve">ms and a CP no less than </w:t>
            </w:r>
            <w:r w:rsidR="007927DA">
              <w:t>LTE normal CP</w:t>
            </w:r>
            <w:r w:rsidR="00CC3045">
              <w:t>144/</w:t>
            </w:r>
            <w:r>
              <w:t>(30.72e6)/(1e-3)ms, which results in 4 NR OFDM symbol in a 0.1 ms subframe.</w:t>
            </w:r>
          </w:p>
          <w:p w:rsidR="005F5F8A" w:rsidRPr="000B53DC" w:rsidRDefault="00CC3045" w:rsidP="00CC3045">
            <w:pPr>
              <w:pStyle w:val="TAC"/>
              <w:jc w:val="left"/>
            </w:pPr>
            <w:r>
              <w:t>1-1</w:t>
            </w:r>
            <w:r w:rsidR="005F5F8A">
              <w:t>/(</w:t>
            </w:r>
            <w:r>
              <w:t>60</w:t>
            </w:r>
            <w:r w:rsidR="005F5F8A">
              <w:t>e</w:t>
            </w:r>
            <w:r>
              <w:t>3</w:t>
            </w:r>
            <w:r w:rsidR="005F5F8A">
              <w:t>)/(1e-3)*4/0.1</w:t>
            </w:r>
          </w:p>
        </w:tc>
      </w:tr>
      <w:tr w:rsidR="00271850" w:rsidTr="00D111C8">
        <w:trPr>
          <w:jc w:val="center"/>
        </w:trPr>
        <w:tc>
          <w:tcPr>
            <w:tcW w:w="1919" w:type="dxa"/>
            <w:tcBorders>
              <w:top w:val="single" w:sz="4" w:space="0" w:color="auto"/>
              <w:left w:val="single" w:sz="4" w:space="0" w:color="auto"/>
              <w:bottom w:val="single" w:sz="4" w:space="0" w:color="auto"/>
              <w:right w:val="single" w:sz="4" w:space="0" w:color="auto"/>
            </w:tcBorders>
            <w:vAlign w:val="center"/>
          </w:tcPr>
          <w:p w:rsidR="00271850" w:rsidRPr="00A53DCB" w:rsidRDefault="009C7A0C" w:rsidP="00D111C8">
            <w:pPr>
              <w:pStyle w:val="TAC"/>
            </w:pPr>
            <w:r>
              <w:t>Control channels</w:t>
            </w:r>
          </w:p>
        </w:tc>
        <w:tc>
          <w:tcPr>
            <w:tcW w:w="1134" w:type="dxa"/>
            <w:tcBorders>
              <w:top w:val="single" w:sz="4" w:space="0" w:color="auto"/>
              <w:left w:val="single" w:sz="4" w:space="0" w:color="auto"/>
              <w:bottom w:val="single" w:sz="4" w:space="0" w:color="auto"/>
              <w:right w:val="single" w:sz="4" w:space="0" w:color="auto"/>
            </w:tcBorders>
          </w:tcPr>
          <w:p w:rsidR="00271850" w:rsidRPr="000B53DC" w:rsidRDefault="00B330A5" w:rsidP="00B330A5">
            <w:pPr>
              <w:pStyle w:val="TAC"/>
              <w:jc w:val="left"/>
            </w:pPr>
            <w:r>
              <w:t>7</w:t>
            </w:r>
            <w:r w:rsidR="00507178">
              <w:t>.</w:t>
            </w:r>
            <w:r>
              <w:t>1</w:t>
            </w:r>
            <w:r w:rsidR="00271850">
              <w:t>%</w:t>
            </w:r>
          </w:p>
        </w:tc>
        <w:tc>
          <w:tcPr>
            <w:tcW w:w="5954" w:type="dxa"/>
            <w:tcBorders>
              <w:top w:val="single" w:sz="4" w:space="0" w:color="auto"/>
              <w:left w:val="single" w:sz="4" w:space="0" w:color="auto"/>
              <w:bottom w:val="single" w:sz="4" w:space="0" w:color="auto"/>
              <w:right w:val="single" w:sz="4" w:space="0" w:color="auto"/>
            </w:tcBorders>
          </w:tcPr>
          <w:p w:rsidR="00052ECA" w:rsidRPr="00052ECA" w:rsidRDefault="00052ECA" w:rsidP="00052ECA">
            <w:pPr>
              <w:pStyle w:val="TAC"/>
              <w:jc w:val="left"/>
              <w:rPr>
                <w:i/>
              </w:rPr>
            </w:pPr>
            <w:r w:rsidRPr="00052ECA">
              <w:rPr>
                <w:i/>
              </w:rPr>
              <w:t>Similar</w:t>
            </w:r>
            <w:r>
              <w:rPr>
                <w:i/>
              </w:rPr>
              <w:t xml:space="preserve"> as LTE</w:t>
            </w:r>
          </w:p>
          <w:p w:rsidR="00271850" w:rsidRPr="000B53DC" w:rsidRDefault="00052ECA" w:rsidP="0027161F">
            <w:pPr>
              <w:pStyle w:val="TAC"/>
              <w:jc w:val="left"/>
              <w:rPr>
                <w:lang w:eastAsia="zh-CN"/>
              </w:rPr>
            </w:pPr>
            <w:r>
              <w:t>Assuming downlink control information</w:t>
            </w:r>
            <w:r w:rsidR="00271850">
              <w:t xml:space="preserve"> is</w:t>
            </w:r>
            <w:r>
              <w:t xml:space="preserve"> sent 10 times</w:t>
            </w:r>
            <w:r w:rsidR="00271850">
              <w:t xml:space="preserve"> </w:t>
            </w:r>
            <w:r>
              <w:t>more frequent</w:t>
            </w:r>
            <w:r w:rsidR="009C7A0C">
              <w:t>ly</w:t>
            </w:r>
            <w:r>
              <w:t xml:space="preserve"> </w:t>
            </w:r>
            <w:r w:rsidR="009C7A0C">
              <w:t>than in</w:t>
            </w:r>
            <w:r>
              <w:t xml:space="preserve"> LTE, e.g.</w:t>
            </w:r>
            <w:r w:rsidR="009C7A0C">
              <w:t>,</w:t>
            </w:r>
            <w:r>
              <w:t xml:space="preserve"> </w:t>
            </w:r>
            <w:r w:rsidR="0079599D">
              <w:t>NR</w:t>
            </w:r>
            <w:r>
              <w:t xml:space="preserve">/LTE TTI is 0.1/1ms, while the bandwidth is </w:t>
            </w:r>
            <w:r w:rsidR="0027161F">
              <w:rPr>
                <w:rFonts w:hint="eastAsia"/>
                <w:lang w:eastAsia="zh-CN"/>
              </w:rPr>
              <w:t>4</w:t>
            </w:r>
            <w:r w:rsidR="0027161F">
              <w:t xml:space="preserve"> </w:t>
            </w:r>
            <w:r>
              <w:t xml:space="preserve">times of LTE, e.g. </w:t>
            </w:r>
            <w:r w:rsidR="0079599D">
              <w:t>NR</w:t>
            </w:r>
            <w:r>
              <w:t xml:space="preserve">/LTE carrier bandwidth is </w:t>
            </w:r>
            <w:r w:rsidR="0027161F">
              <w:rPr>
                <w:rFonts w:hint="eastAsia"/>
                <w:lang w:eastAsia="zh-CN"/>
              </w:rPr>
              <w:t>8</w:t>
            </w:r>
            <w:r w:rsidR="0027161F">
              <w:t>0</w:t>
            </w:r>
            <w:r>
              <w:t xml:space="preserve">/20 MHz, the total overhead </w:t>
            </w:r>
            <w:r w:rsidR="0027161F">
              <w:rPr>
                <w:rFonts w:hint="eastAsia"/>
                <w:lang w:eastAsia="zh-CN"/>
              </w:rPr>
              <w:t>of NR typically needs to be higher. However, NR</w:t>
            </w:r>
            <w:r w:rsidR="0027161F">
              <w:rPr>
                <w:lang w:eastAsia="zh-CN"/>
              </w:rPr>
              <w:t xml:space="preserve"> control channel overhead may be reduced, e.g., via the use of EPDCCH-like channel. </w:t>
            </w:r>
          </w:p>
        </w:tc>
      </w:tr>
      <w:tr w:rsidR="00271850" w:rsidTr="00D111C8">
        <w:trPr>
          <w:jc w:val="center"/>
        </w:trPr>
        <w:tc>
          <w:tcPr>
            <w:tcW w:w="1919" w:type="dxa"/>
            <w:tcBorders>
              <w:top w:val="single" w:sz="4" w:space="0" w:color="auto"/>
              <w:left w:val="single" w:sz="4" w:space="0" w:color="auto"/>
              <w:bottom w:val="single" w:sz="4" w:space="0" w:color="auto"/>
              <w:right w:val="single" w:sz="4" w:space="0" w:color="auto"/>
            </w:tcBorders>
            <w:vAlign w:val="center"/>
          </w:tcPr>
          <w:p w:rsidR="00271850" w:rsidRPr="00A53DCB" w:rsidRDefault="00271850" w:rsidP="00D111C8">
            <w:pPr>
              <w:pStyle w:val="TAC"/>
            </w:pPr>
            <w:r>
              <w:t>Reference Signals</w:t>
            </w:r>
          </w:p>
        </w:tc>
        <w:tc>
          <w:tcPr>
            <w:tcW w:w="1134" w:type="dxa"/>
            <w:tcBorders>
              <w:top w:val="single" w:sz="4" w:space="0" w:color="auto"/>
              <w:left w:val="single" w:sz="4" w:space="0" w:color="auto"/>
              <w:bottom w:val="single" w:sz="4" w:space="0" w:color="auto"/>
              <w:right w:val="single" w:sz="4" w:space="0" w:color="auto"/>
            </w:tcBorders>
          </w:tcPr>
          <w:p w:rsidR="00271850" w:rsidRPr="00A53DCB" w:rsidRDefault="00B330A5" w:rsidP="00B330A5">
            <w:pPr>
              <w:pStyle w:val="TAC"/>
              <w:jc w:val="left"/>
            </w:pPr>
            <w:r>
              <w:t>19</w:t>
            </w:r>
            <w:r w:rsidR="009C7A0C">
              <w:t>.</w:t>
            </w:r>
            <w:r>
              <w:t>0</w:t>
            </w:r>
            <w:r w:rsidR="00507178">
              <w:t>%</w:t>
            </w:r>
          </w:p>
        </w:tc>
        <w:tc>
          <w:tcPr>
            <w:tcW w:w="5954" w:type="dxa"/>
            <w:tcBorders>
              <w:top w:val="single" w:sz="4" w:space="0" w:color="auto"/>
              <w:left w:val="single" w:sz="4" w:space="0" w:color="auto"/>
              <w:bottom w:val="single" w:sz="4" w:space="0" w:color="auto"/>
              <w:right w:val="single" w:sz="4" w:space="0" w:color="auto"/>
            </w:tcBorders>
          </w:tcPr>
          <w:p w:rsidR="00052ECA" w:rsidRPr="00052ECA" w:rsidRDefault="00052ECA" w:rsidP="00052ECA">
            <w:pPr>
              <w:pStyle w:val="TAC"/>
              <w:jc w:val="left"/>
              <w:rPr>
                <w:i/>
              </w:rPr>
            </w:pPr>
            <w:r w:rsidRPr="00052ECA">
              <w:rPr>
                <w:i/>
              </w:rPr>
              <w:t>Similar</w:t>
            </w:r>
            <w:r>
              <w:rPr>
                <w:i/>
              </w:rPr>
              <w:t xml:space="preserve"> as LTE</w:t>
            </w:r>
          </w:p>
          <w:p w:rsidR="00052ECA" w:rsidRDefault="00052ECA" w:rsidP="00D111C8">
            <w:pPr>
              <w:pStyle w:val="TAC"/>
              <w:jc w:val="left"/>
            </w:pPr>
            <w:r>
              <w:t xml:space="preserve">If </w:t>
            </w:r>
            <w:r w:rsidR="0079599D">
              <w:t>NR</w:t>
            </w:r>
            <w:r>
              <w:t xml:space="preserve"> works under a similar channel model as LTE, the reference signal distribution may be similar as </w:t>
            </w:r>
            <w:r w:rsidR="006525AB">
              <w:t xml:space="preserve">that for </w:t>
            </w:r>
            <w:r>
              <w:t>LTE, which causes similar overhead.</w:t>
            </w:r>
          </w:p>
          <w:p w:rsidR="00052ECA" w:rsidRPr="00A53DCB" w:rsidRDefault="00052ECA" w:rsidP="00D111C8">
            <w:pPr>
              <w:pStyle w:val="TAC"/>
              <w:jc w:val="left"/>
            </w:pPr>
            <w:r>
              <w:t xml:space="preserve">It may be noted that </w:t>
            </w:r>
            <w:r w:rsidR="0079599D">
              <w:t>NR</w:t>
            </w:r>
            <w:r>
              <w:t xml:space="preserve"> may need relatively larger overhead for transmitting references signals for </w:t>
            </w:r>
            <w:r w:rsidR="006525AB">
              <w:t xml:space="preserve">the </w:t>
            </w:r>
            <w:r>
              <w:t xml:space="preserve">purpose of channel state information due to potentially </w:t>
            </w:r>
            <w:r w:rsidR="006525AB">
              <w:t xml:space="preserve">a </w:t>
            </w:r>
            <w:r>
              <w:t>larger number of antennas at the eNodeB side, especially for FDD.</w:t>
            </w:r>
          </w:p>
        </w:tc>
      </w:tr>
      <w:tr w:rsidR="009C7A0C" w:rsidTr="00D111C8">
        <w:trPr>
          <w:jc w:val="center"/>
        </w:trPr>
        <w:tc>
          <w:tcPr>
            <w:tcW w:w="1919" w:type="dxa"/>
            <w:tcBorders>
              <w:top w:val="single" w:sz="4" w:space="0" w:color="auto"/>
              <w:left w:val="single" w:sz="4" w:space="0" w:color="auto"/>
              <w:bottom w:val="single" w:sz="4" w:space="0" w:color="auto"/>
              <w:right w:val="single" w:sz="4" w:space="0" w:color="auto"/>
            </w:tcBorders>
            <w:vAlign w:val="center"/>
          </w:tcPr>
          <w:p w:rsidR="009C7A0C" w:rsidRDefault="009C7A0C" w:rsidP="00D111C8">
            <w:pPr>
              <w:pStyle w:val="TAC"/>
            </w:pPr>
            <w:r>
              <w:t>Channel coding</w:t>
            </w:r>
          </w:p>
        </w:tc>
        <w:tc>
          <w:tcPr>
            <w:tcW w:w="1134" w:type="dxa"/>
            <w:tcBorders>
              <w:top w:val="single" w:sz="4" w:space="0" w:color="auto"/>
              <w:left w:val="single" w:sz="4" w:space="0" w:color="auto"/>
              <w:bottom w:val="single" w:sz="4" w:space="0" w:color="auto"/>
              <w:right w:val="single" w:sz="4" w:space="0" w:color="auto"/>
            </w:tcBorders>
          </w:tcPr>
          <w:p w:rsidR="009C7A0C" w:rsidRDefault="00B330A5" w:rsidP="00B330A5">
            <w:pPr>
              <w:pStyle w:val="TAC"/>
              <w:jc w:val="left"/>
            </w:pPr>
            <w:r>
              <w:t>2</w:t>
            </w:r>
            <w:r w:rsidR="00507178">
              <w:t>.</w:t>
            </w:r>
            <w:r>
              <w:t>9</w:t>
            </w:r>
            <w:r w:rsidR="009C7A0C">
              <w:t>%</w:t>
            </w:r>
          </w:p>
        </w:tc>
        <w:tc>
          <w:tcPr>
            <w:tcW w:w="5954" w:type="dxa"/>
            <w:tcBorders>
              <w:top w:val="single" w:sz="4" w:space="0" w:color="auto"/>
              <w:left w:val="single" w:sz="4" w:space="0" w:color="auto"/>
              <w:bottom w:val="single" w:sz="4" w:space="0" w:color="auto"/>
              <w:right w:val="single" w:sz="4" w:space="0" w:color="auto"/>
            </w:tcBorders>
          </w:tcPr>
          <w:p w:rsidR="009C7A0C" w:rsidRDefault="009C7A0C" w:rsidP="00052ECA">
            <w:pPr>
              <w:pStyle w:val="TAC"/>
              <w:jc w:val="left"/>
              <w:rPr>
                <w:i/>
              </w:rPr>
            </w:pPr>
            <w:r>
              <w:rPr>
                <w:i/>
              </w:rPr>
              <w:t>Similar as LTE</w:t>
            </w:r>
          </w:p>
          <w:p w:rsidR="009C7A0C" w:rsidRPr="009C7A0C" w:rsidRDefault="009C7A0C" w:rsidP="00052ECA">
            <w:pPr>
              <w:pStyle w:val="TAC"/>
              <w:widowControl w:val="0"/>
              <w:spacing w:line="180" w:lineRule="atLeast"/>
              <w:jc w:val="left"/>
            </w:pPr>
            <w:r>
              <w:t>The maximum code rate is not foreseen to change significantly.</w:t>
            </w:r>
          </w:p>
        </w:tc>
      </w:tr>
      <w:tr w:rsidR="00271850" w:rsidTr="00D111C8">
        <w:trPr>
          <w:jc w:val="center"/>
        </w:trPr>
        <w:tc>
          <w:tcPr>
            <w:tcW w:w="1919" w:type="dxa"/>
            <w:tcBorders>
              <w:top w:val="single" w:sz="4" w:space="0" w:color="auto"/>
              <w:left w:val="single" w:sz="4" w:space="0" w:color="auto"/>
              <w:bottom w:val="single" w:sz="4" w:space="0" w:color="auto"/>
              <w:right w:val="single" w:sz="4" w:space="0" w:color="auto"/>
            </w:tcBorders>
            <w:vAlign w:val="center"/>
          </w:tcPr>
          <w:p w:rsidR="00271850" w:rsidRPr="00A53DCB" w:rsidRDefault="00271850" w:rsidP="00D111C8">
            <w:pPr>
              <w:pStyle w:val="TAC"/>
            </w:pPr>
            <w:r>
              <w:t>Total</w:t>
            </w:r>
          </w:p>
        </w:tc>
        <w:tc>
          <w:tcPr>
            <w:tcW w:w="1134" w:type="dxa"/>
            <w:tcBorders>
              <w:top w:val="single" w:sz="4" w:space="0" w:color="auto"/>
              <w:left w:val="single" w:sz="4" w:space="0" w:color="auto"/>
              <w:bottom w:val="single" w:sz="4" w:space="0" w:color="auto"/>
              <w:right w:val="single" w:sz="4" w:space="0" w:color="auto"/>
            </w:tcBorders>
          </w:tcPr>
          <w:p w:rsidR="00271850" w:rsidRPr="00507178" w:rsidRDefault="00507178" w:rsidP="00B330A5">
            <w:pPr>
              <w:pStyle w:val="TAC"/>
              <w:jc w:val="left"/>
            </w:pPr>
            <w:r w:rsidRPr="00507178">
              <w:t>5</w:t>
            </w:r>
            <w:r w:rsidR="00B330A5">
              <w:t>6</w:t>
            </w:r>
            <w:r w:rsidRPr="00507178">
              <w:t>.</w:t>
            </w:r>
            <w:r w:rsidR="00B330A5">
              <w:t>2</w:t>
            </w:r>
            <w:r w:rsidR="00271850" w:rsidRPr="00507178">
              <w:t>%</w:t>
            </w:r>
          </w:p>
        </w:tc>
        <w:tc>
          <w:tcPr>
            <w:tcW w:w="5954" w:type="dxa"/>
            <w:tcBorders>
              <w:top w:val="single" w:sz="4" w:space="0" w:color="auto"/>
              <w:left w:val="single" w:sz="4" w:space="0" w:color="auto"/>
              <w:bottom w:val="single" w:sz="4" w:space="0" w:color="auto"/>
              <w:right w:val="single" w:sz="4" w:space="0" w:color="auto"/>
            </w:tcBorders>
          </w:tcPr>
          <w:p w:rsidR="00271850" w:rsidRPr="00A53DCB" w:rsidRDefault="00271850" w:rsidP="00D111C8">
            <w:pPr>
              <w:pStyle w:val="TAC"/>
              <w:jc w:val="left"/>
            </w:pPr>
          </w:p>
        </w:tc>
      </w:tr>
    </w:tbl>
    <w:p w:rsidR="00052ECA" w:rsidRDefault="00052ECA" w:rsidP="00052ECA">
      <w:pPr>
        <w:pStyle w:val="CommentText"/>
        <w:rPr>
          <w:rFonts w:eastAsia="Calibri"/>
          <w:b/>
          <w:sz w:val="22"/>
          <w:szCs w:val="22"/>
          <w:lang w:eastAsia="sv-SE"/>
        </w:rPr>
      </w:pPr>
    </w:p>
    <w:p w:rsidR="00BA7BA7" w:rsidRDefault="00BA7BA7" w:rsidP="00BA7BA7">
      <w:pPr>
        <w:pStyle w:val="CommentText"/>
        <w:rPr>
          <w:rFonts w:eastAsia="Calibri"/>
          <w:b/>
          <w:sz w:val="22"/>
          <w:szCs w:val="22"/>
          <w:lang w:eastAsia="sv-SE"/>
        </w:rPr>
      </w:pPr>
      <w:r w:rsidRPr="001F203C">
        <w:rPr>
          <w:rFonts w:eastAsia="Calibri"/>
          <w:b/>
          <w:sz w:val="22"/>
          <w:szCs w:val="22"/>
          <w:lang w:eastAsia="sv-SE"/>
        </w:rPr>
        <w:t xml:space="preserve">Observation </w:t>
      </w:r>
      <w:r>
        <w:rPr>
          <w:rFonts w:eastAsia="Calibri"/>
          <w:b/>
          <w:sz w:val="22"/>
          <w:szCs w:val="22"/>
          <w:lang w:eastAsia="sv-SE"/>
        </w:rPr>
        <w:t>3</w:t>
      </w:r>
      <w:r w:rsidRPr="001F203C">
        <w:rPr>
          <w:rFonts w:eastAsia="Calibri"/>
          <w:b/>
          <w:sz w:val="22"/>
          <w:szCs w:val="22"/>
          <w:lang w:eastAsia="sv-SE"/>
        </w:rPr>
        <w:t>:</w:t>
      </w:r>
      <w:r>
        <w:rPr>
          <w:rFonts w:eastAsia="Calibri"/>
          <w:b/>
          <w:sz w:val="22"/>
          <w:szCs w:val="22"/>
          <w:lang w:eastAsia="sv-SE"/>
        </w:rPr>
        <w:tab/>
        <w:t xml:space="preserve">For a </w:t>
      </w:r>
      <w:r w:rsidR="0079599D">
        <w:rPr>
          <w:rFonts w:eastAsia="Calibri"/>
          <w:b/>
          <w:sz w:val="22"/>
          <w:szCs w:val="22"/>
          <w:lang w:eastAsia="sv-SE"/>
        </w:rPr>
        <w:t>NR</w:t>
      </w:r>
      <w:r>
        <w:rPr>
          <w:rFonts w:eastAsia="Calibri"/>
          <w:b/>
          <w:sz w:val="22"/>
          <w:szCs w:val="22"/>
          <w:lang w:eastAsia="sv-SE"/>
        </w:rPr>
        <w:t xml:space="preserve"> configuration with 8 antennas at UE and 256</w:t>
      </w:r>
      <w:r w:rsidR="009C7A0C">
        <w:rPr>
          <w:rFonts w:eastAsia="Calibri"/>
          <w:b/>
          <w:sz w:val="22"/>
          <w:szCs w:val="22"/>
          <w:lang w:eastAsia="sv-SE"/>
        </w:rPr>
        <w:t>-</w:t>
      </w:r>
      <w:r>
        <w:rPr>
          <w:rFonts w:eastAsia="Calibri"/>
          <w:b/>
          <w:sz w:val="22"/>
          <w:szCs w:val="22"/>
          <w:lang w:eastAsia="sv-SE"/>
        </w:rPr>
        <w:t>QAM</w:t>
      </w:r>
      <w:r w:rsidR="00D07F37">
        <w:rPr>
          <w:rFonts w:eastAsia="Calibri"/>
          <w:b/>
          <w:sz w:val="22"/>
          <w:szCs w:val="22"/>
          <w:lang w:eastAsia="sv-SE"/>
        </w:rPr>
        <w:t xml:space="preserve"> using </w:t>
      </w:r>
      <w:r w:rsidR="0088709B">
        <w:rPr>
          <w:rFonts w:eastAsia="Calibri"/>
          <w:b/>
          <w:sz w:val="22"/>
          <w:szCs w:val="22"/>
          <w:lang w:eastAsia="sv-SE"/>
        </w:rPr>
        <w:t>scaled subcarr</w:t>
      </w:r>
      <w:r w:rsidR="009D1EC2">
        <w:rPr>
          <w:rFonts w:eastAsia="Calibri"/>
          <w:b/>
          <w:sz w:val="22"/>
          <w:szCs w:val="22"/>
          <w:lang w:eastAsia="sv-SE"/>
        </w:rPr>
        <w:t>ier spacing</w:t>
      </w:r>
      <w:r w:rsidR="00B90A10">
        <w:rPr>
          <w:rFonts w:eastAsia="Calibri"/>
          <w:b/>
          <w:sz w:val="22"/>
          <w:szCs w:val="22"/>
          <w:lang w:eastAsia="sv-SE"/>
        </w:rPr>
        <w:t xml:space="preserve"> for 80MHz channel</w:t>
      </w:r>
      <w:r w:rsidR="009D1EC2">
        <w:rPr>
          <w:rFonts w:eastAsia="Calibri"/>
          <w:b/>
          <w:sz w:val="22"/>
          <w:szCs w:val="22"/>
          <w:lang w:eastAsia="sv-SE"/>
        </w:rPr>
        <w:t>, reduced TTI and no</w:t>
      </w:r>
      <w:r w:rsidR="0088709B">
        <w:rPr>
          <w:rFonts w:eastAsia="Calibri"/>
          <w:b/>
          <w:sz w:val="22"/>
          <w:szCs w:val="22"/>
          <w:lang w:eastAsia="sv-SE"/>
        </w:rPr>
        <w:t>-shorter-than LTE CP</w:t>
      </w:r>
      <w:r>
        <w:rPr>
          <w:rFonts w:eastAsia="Calibri"/>
          <w:b/>
          <w:sz w:val="22"/>
          <w:szCs w:val="22"/>
          <w:lang w:eastAsia="sv-SE"/>
        </w:rPr>
        <w:t xml:space="preserve">, the peak spectral efficiency is around </w:t>
      </w:r>
      <w:r w:rsidR="00417487">
        <w:rPr>
          <w:rFonts w:eastAsia="Calibri"/>
          <w:b/>
          <w:sz w:val="22"/>
          <w:szCs w:val="22"/>
          <w:lang w:eastAsia="sv-SE"/>
        </w:rPr>
        <w:t>2</w:t>
      </w:r>
      <w:r w:rsidR="005F5F8A">
        <w:rPr>
          <w:rFonts w:eastAsia="Calibri"/>
          <w:b/>
          <w:sz w:val="22"/>
          <w:szCs w:val="22"/>
          <w:lang w:eastAsia="sv-SE"/>
        </w:rPr>
        <w:t>8</w:t>
      </w:r>
      <w:r>
        <w:rPr>
          <w:rFonts w:eastAsia="Calibri"/>
          <w:b/>
          <w:sz w:val="22"/>
          <w:szCs w:val="22"/>
          <w:lang w:eastAsia="sv-SE"/>
        </w:rPr>
        <w:t xml:space="preserve"> bps/Hz</w:t>
      </w:r>
      <w:r w:rsidR="009C7A0C">
        <w:rPr>
          <w:rFonts w:eastAsia="Calibri"/>
          <w:b/>
          <w:sz w:val="22"/>
          <w:szCs w:val="22"/>
          <w:lang w:eastAsia="sv-SE"/>
        </w:rPr>
        <w:t>, which is</w:t>
      </w:r>
      <w:r>
        <w:rPr>
          <w:rFonts w:eastAsia="Calibri"/>
          <w:b/>
          <w:sz w:val="22"/>
          <w:szCs w:val="22"/>
          <w:lang w:eastAsia="sv-SE"/>
        </w:rPr>
        <w:t xml:space="preserve"> below</w:t>
      </w:r>
      <w:r w:rsidR="009C7A0C">
        <w:rPr>
          <w:rFonts w:eastAsia="Calibri"/>
          <w:b/>
          <w:sz w:val="22"/>
          <w:szCs w:val="22"/>
          <w:lang w:eastAsia="sv-SE"/>
        </w:rPr>
        <w:t xml:space="preserve"> the</w:t>
      </w:r>
      <w:r>
        <w:rPr>
          <w:rFonts w:eastAsia="Calibri"/>
          <w:b/>
          <w:sz w:val="22"/>
          <w:szCs w:val="22"/>
          <w:lang w:eastAsia="sv-SE"/>
        </w:rPr>
        <w:t xml:space="preserve"> 30 bps/Hz </w:t>
      </w:r>
      <w:r w:rsidR="00D07F37">
        <w:rPr>
          <w:rFonts w:eastAsia="Calibri"/>
          <w:b/>
          <w:sz w:val="22"/>
          <w:szCs w:val="22"/>
          <w:lang w:eastAsia="sv-SE"/>
        </w:rPr>
        <w:t>requirement</w:t>
      </w:r>
      <w:r>
        <w:rPr>
          <w:rFonts w:eastAsia="Calibri"/>
          <w:b/>
          <w:sz w:val="22"/>
          <w:szCs w:val="22"/>
          <w:lang w:eastAsia="sv-SE"/>
        </w:rPr>
        <w:t>.</w:t>
      </w:r>
    </w:p>
    <w:p w:rsidR="00DB58A4" w:rsidRDefault="00DB58A4" w:rsidP="00DB58A4">
      <w:pPr>
        <w:pStyle w:val="CommentText"/>
        <w:rPr>
          <w:rFonts w:eastAsia="Calibri"/>
          <w:b/>
          <w:sz w:val="22"/>
          <w:szCs w:val="22"/>
          <w:lang w:eastAsia="sv-SE"/>
        </w:rPr>
      </w:pPr>
      <w:r w:rsidRPr="001F203C">
        <w:rPr>
          <w:rFonts w:eastAsia="Calibri"/>
          <w:b/>
          <w:sz w:val="22"/>
          <w:szCs w:val="22"/>
          <w:lang w:eastAsia="sv-SE"/>
        </w:rPr>
        <w:t xml:space="preserve">Observation </w:t>
      </w:r>
      <w:r>
        <w:rPr>
          <w:rFonts w:eastAsia="Calibri"/>
          <w:b/>
          <w:sz w:val="22"/>
          <w:szCs w:val="22"/>
          <w:lang w:eastAsia="sv-SE"/>
        </w:rPr>
        <w:t>4</w:t>
      </w:r>
      <w:r w:rsidRPr="001F203C">
        <w:rPr>
          <w:rFonts w:eastAsia="Calibri"/>
          <w:b/>
          <w:sz w:val="22"/>
          <w:szCs w:val="22"/>
          <w:lang w:eastAsia="sv-SE"/>
        </w:rPr>
        <w:t>:</w:t>
      </w:r>
      <w:r>
        <w:rPr>
          <w:rFonts w:eastAsia="Calibri"/>
          <w:b/>
          <w:sz w:val="22"/>
          <w:szCs w:val="22"/>
          <w:lang w:eastAsia="sv-SE"/>
        </w:rPr>
        <w:tab/>
        <w:t xml:space="preserve">For NR, the peak </w:t>
      </w:r>
      <w:r w:rsidR="006525AB">
        <w:rPr>
          <w:rFonts w:eastAsia="Calibri"/>
          <w:b/>
          <w:sz w:val="22"/>
          <w:szCs w:val="22"/>
          <w:lang w:eastAsia="sv-SE"/>
        </w:rPr>
        <w:t xml:space="preserve">spectral </w:t>
      </w:r>
      <w:r>
        <w:rPr>
          <w:rFonts w:eastAsia="Calibri"/>
          <w:b/>
          <w:sz w:val="22"/>
          <w:szCs w:val="22"/>
          <w:lang w:eastAsia="sv-SE"/>
        </w:rPr>
        <w:t>efficiency is primarily impacted by the cyclic prefix, reference signal overhead, spectrum guard band, control channel overhead and channel coding, in a descending order.</w:t>
      </w:r>
    </w:p>
    <w:p w:rsidR="00082550" w:rsidRDefault="00683BF4">
      <w:pPr>
        <w:pStyle w:val="Heading2"/>
      </w:pPr>
      <w:r>
        <w:t>Potential techniques to improve the spectral efficiency</w:t>
      </w:r>
    </w:p>
    <w:p w:rsidR="00525839" w:rsidRDefault="00BA7BA7">
      <w:pPr>
        <w:pStyle w:val="Heading1"/>
        <w:numPr>
          <w:ilvl w:val="0"/>
          <w:numId w:val="0"/>
        </w:numPr>
        <w:spacing w:before="240"/>
        <w:rPr>
          <w:rFonts w:eastAsia="Calibri"/>
          <w:b w:val="0"/>
          <w:bCs w:val="0"/>
          <w:sz w:val="22"/>
          <w:szCs w:val="22"/>
          <w:lang w:eastAsia="sv-SE"/>
        </w:rPr>
      </w:pPr>
      <w:r w:rsidRPr="00BA7BA7">
        <w:rPr>
          <w:rFonts w:eastAsia="Calibri"/>
          <w:b w:val="0"/>
          <w:bCs w:val="0"/>
          <w:sz w:val="22"/>
          <w:szCs w:val="22"/>
          <w:lang w:eastAsia="sv-SE"/>
        </w:rPr>
        <w:t xml:space="preserve">Based on Observation 3 and 4, </w:t>
      </w:r>
      <w:r w:rsidR="00683BF4">
        <w:rPr>
          <w:rFonts w:eastAsia="Calibri"/>
          <w:b w:val="0"/>
          <w:bCs w:val="0"/>
          <w:sz w:val="22"/>
          <w:szCs w:val="22"/>
          <w:lang w:eastAsia="sv-SE"/>
        </w:rPr>
        <w:t xml:space="preserve">the </w:t>
      </w:r>
      <w:r w:rsidR="005A7532">
        <w:rPr>
          <w:rFonts w:eastAsia="Calibri"/>
          <w:b w:val="0"/>
          <w:bCs w:val="0"/>
          <w:sz w:val="22"/>
          <w:szCs w:val="22"/>
          <w:lang w:eastAsia="sv-SE"/>
        </w:rPr>
        <w:t xml:space="preserve">spectrum guard bands and the cyclic prefix need to be reduced. The </w:t>
      </w:r>
      <w:r w:rsidR="00683BF4">
        <w:rPr>
          <w:rFonts w:eastAsia="Calibri"/>
          <w:b w:val="0"/>
          <w:bCs w:val="0"/>
          <w:sz w:val="22"/>
          <w:szCs w:val="22"/>
          <w:lang w:eastAsia="sv-SE"/>
        </w:rPr>
        <w:t>following techniques should be studied to improve the spectral efficiency.</w:t>
      </w:r>
    </w:p>
    <w:p w:rsidR="00082550" w:rsidRDefault="005744CF">
      <w:pPr>
        <w:pStyle w:val="Heading1"/>
        <w:numPr>
          <w:ilvl w:val="0"/>
          <w:numId w:val="0"/>
        </w:numPr>
        <w:spacing w:before="240" w:after="0"/>
        <w:rPr>
          <w:rFonts w:eastAsia="Calibri"/>
          <w:bCs w:val="0"/>
          <w:sz w:val="22"/>
          <w:szCs w:val="22"/>
          <w:u w:val="single"/>
          <w:lang w:eastAsia="sv-SE"/>
        </w:rPr>
      </w:pPr>
      <w:r>
        <w:rPr>
          <w:rFonts w:eastAsia="Calibri"/>
          <w:bCs w:val="0"/>
          <w:sz w:val="22"/>
          <w:szCs w:val="22"/>
          <w:u w:val="single"/>
          <w:lang w:eastAsia="sv-SE"/>
        </w:rPr>
        <w:t xml:space="preserve">Numerology </w:t>
      </w:r>
      <w:r w:rsidR="005A7532">
        <w:rPr>
          <w:rFonts w:eastAsia="Calibri"/>
          <w:bCs w:val="0"/>
          <w:sz w:val="22"/>
          <w:szCs w:val="22"/>
          <w:u w:val="single"/>
          <w:lang w:eastAsia="sv-SE"/>
        </w:rPr>
        <w:t>with</w:t>
      </w:r>
      <w:r>
        <w:rPr>
          <w:rFonts w:eastAsia="Calibri"/>
          <w:bCs w:val="0"/>
          <w:sz w:val="22"/>
          <w:szCs w:val="22"/>
          <w:u w:val="single"/>
          <w:lang w:eastAsia="sv-SE"/>
        </w:rPr>
        <w:t>out significant</w:t>
      </w:r>
      <w:r w:rsidR="00683BF4">
        <w:rPr>
          <w:rFonts w:eastAsia="Calibri"/>
          <w:bCs w:val="0"/>
          <w:sz w:val="22"/>
          <w:szCs w:val="22"/>
          <w:u w:val="single"/>
          <w:lang w:eastAsia="sv-SE"/>
        </w:rPr>
        <w:t xml:space="preserve"> cyclic prefix</w:t>
      </w:r>
      <w:r w:rsidR="00EF03C9">
        <w:rPr>
          <w:rFonts w:eastAsia="Calibri"/>
          <w:bCs w:val="0"/>
          <w:sz w:val="22"/>
          <w:szCs w:val="22"/>
          <w:u w:val="single"/>
          <w:lang w:eastAsia="sv-SE"/>
        </w:rPr>
        <w:t xml:space="preserve"> </w:t>
      </w:r>
      <w:r>
        <w:rPr>
          <w:rFonts w:eastAsia="Calibri"/>
          <w:bCs w:val="0"/>
          <w:sz w:val="22"/>
          <w:szCs w:val="22"/>
          <w:u w:val="single"/>
          <w:lang w:eastAsia="sv-SE"/>
        </w:rPr>
        <w:t>overhead</w:t>
      </w:r>
    </w:p>
    <w:p w:rsidR="00082550" w:rsidRDefault="00683BF4">
      <w:pPr>
        <w:pStyle w:val="Heading1"/>
        <w:numPr>
          <w:ilvl w:val="0"/>
          <w:numId w:val="0"/>
        </w:numPr>
        <w:rPr>
          <w:rFonts w:eastAsia="Calibri"/>
          <w:b w:val="0"/>
          <w:bCs w:val="0"/>
          <w:sz w:val="22"/>
          <w:szCs w:val="22"/>
          <w:lang w:eastAsia="sv-SE"/>
        </w:rPr>
      </w:pPr>
      <w:r>
        <w:rPr>
          <w:rFonts w:eastAsia="Calibri"/>
          <w:b w:val="0"/>
          <w:bCs w:val="0"/>
          <w:sz w:val="22"/>
          <w:szCs w:val="22"/>
          <w:lang w:eastAsia="sv-SE"/>
        </w:rPr>
        <w:t>A key point of the overhead will come from the cyclic prefix</w:t>
      </w:r>
      <w:r w:rsidR="00E87B19">
        <w:rPr>
          <w:rFonts w:eastAsia="Calibri"/>
          <w:b w:val="0"/>
          <w:bCs w:val="0"/>
          <w:sz w:val="22"/>
          <w:szCs w:val="22"/>
          <w:lang w:eastAsia="sv-SE"/>
        </w:rPr>
        <w:t xml:space="preserve"> since it is expected that the subcarrier spacing has to increase compared to LTE (due to shorter latency </w:t>
      </w:r>
      <w:r w:rsidR="006525AB">
        <w:rPr>
          <w:rFonts w:eastAsia="Calibri"/>
          <w:b w:val="0"/>
          <w:bCs w:val="0"/>
          <w:sz w:val="22"/>
          <w:szCs w:val="22"/>
          <w:lang w:eastAsia="sv-SE"/>
        </w:rPr>
        <w:t xml:space="preserve">requirement </w:t>
      </w:r>
      <w:r w:rsidR="00E87B19">
        <w:rPr>
          <w:rFonts w:eastAsia="Calibri"/>
          <w:b w:val="0"/>
          <w:bCs w:val="0"/>
          <w:sz w:val="22"/>
          <w:szCs w:val="22"/>
          <w:lang w:eastAsia="sv-SE"/>
        </w:rPr>
        <w:t>and larger carrier bandwidths)</w:t>
      </w:r>
      <w:r>
        <w:rPr>
          <w:rFonts w:eastAsia="Calibri"/>
          <w:b w:val="0"/>
          <w:bCs w:val="0"/>
          <w:sz w:val="22"/>
          <w:szCs w:val="22"/>
          <w:lang w:eastAsia="sv-SE"/>
        </w:rPr>
        <w:t xml:space="preserve">. Hence, </w:t>
      </w:r>
      <w:r w:rsidR="005744CF">
        <w:rPr>
          <w:rFonts w:eastAsia="Calibri"/>
          <w:b w:val="0"/>
          <w:bCs w:val="0"/>
          <w:sz w:val="22"/>
          <w:szCs w:val="22"/>
          <w:lang w:eastAsia="sv-SE"/>
        </w:rPr>
        <w:t>n</w:t>
      </w:r>
      <w:r w:rsidR="005744CF" w:rsidRPr="005744CF">
        <w:rPr>
          <w:rFonts w:eastAsia="Calibri"/>
          <w:b w:val="0"/>
          <w:bCs w:val="0"/>
          <w:sz w:val="22"/>
          <w:szCs w:val="22"/>
          <w:lang w:eastAsia="sv-SE"/>
        </w:rPr>
        <w:t xml:space="preserve">umerology should be carefully designed not to incur </w:t>
      </w:r>
      <w:r w:rsidR="005744CF">
        <w:rPr>
          <w:rFonts w:eastAsia="Calibri"/>
          <w:b w:val="0"/>
          <w:bCs w:val="0"/>
          <w:sz w:val="22"/>
          <w:szCs w:val="22"/>
          <w:lang w:eastAsia="sv-SE"/>
        </w:rPr>
        <w:t>significant</w:t>
      </w:r>
      <w:r w:rsidR="005744CF" w:rsidRPr="005744CF">
        <w:rPr>
          <w:rFonts w:eastAsia="Calibri"/>
          <w:b w:val="0"/>
          <w:bCs w:val="0"/>
          <w:sz w:val="22"/>
          <w:szCs w:val="22"/>
          <w:lang w:eastAsia="sv-SE"/>
        </w:rPr>
        <w:t xml:space="preserve"> </w:t>
      </w:r>
      <w:r w:rsidR="005744CF">
        <w:rPr>
          <w:rFonts w:eastAsia="Calibri"/>
          <w:b w:val="0"/>
          <w:bCs w:val="0"/>
          <w:sz w:val="22"/>
          <w:szCs w:val="22"/>
          <w:lang w:eastAsia="sv-SE"/>
        </w:rPr>
        <w:t xml:space="preserve">CP </w:t>
      </w:r>
      <w:r w:rsidR="005744CF" w:rsidRPr="005744CF">
        <w:rPr>
          <w:rFonts w:eastAsia="Calibri"/>
          <w:b w:val="0"/>
          <w:bCs w:val="0"/>
          <w:sz w:val="22"/>
          <w:szCs w:val="22"/>
          <w:lang w:eastAsia="sv-SE"/>
        </w:rPr>
        <w:t>overhead</w:t>
      </w:r>
      <w:r>
        <w:rPr>
          <w:rFonts w:eastAsia="Calibri"/>
          <w:b w:val="0"/>
          <w:bCs w:val="0"/>
          <w:sz w:val="22"/>
          <w:szCs w:val="22"/>
          <w:lang w:eastAsia="sv-SE"/>
        </w:rPr>
        <w:t>.</w:t>
      </w:r>
      <w:r w:rsidR="00DB58A4">
        <w:rPr>
          <w:rFonts w:eastAsia="Calibri"/>
          <w:b w:val="0"/>
          <w:bCs w:val="0"/>
          <w:sz w:val="22"/>
          <w:szCs w:val="22"/>
          <w:lang w:eastAsia="sv-SE"/>
        </w:rPr>
        <w:t xml:space="preserve"> </w:t>
      </w:r>
    </w:p>
    <w:p w:rsidR="00082550" w:rsidRDefault="00683BF4">
      <w:pPr>
        <w:pStyle w:val="Heading1"/>
        <w:numPr>
          <w:ilvl w:val="0"/>
          <w:numId w:val="0"/>
        </w:numPr>
        <w:rPr>
          <w:rFonts w:eastAsia="Calibri"/>
          <w:bCs w:val="0"/>
          <w:sz w:val="22"/>
          <w:szCs w:val="22"/>
          <w:u w:val="single"/>
          <w:lang w:eastAsia="sv-SE"/>
        </w:rPr>
      </w:pPr>
      <w:r>
        <w:rPr>
          <w:rFonts w:eastAsia="Calibri"/>
          <w:bCs w:val="0"/>
          <w:sz w:val="22"/>
          <w:szCs w:val="22"/>
          <w:u w:val="single"/>
          <w:lang w:eastAsia="sv-SE"/>
        </w:rPr>
        <w:t>Reduction of spectrum guard band</w:t>
      </w:r>
      <w:bookmarkStart w:id="1" w:name="_GoBack"/>
      <w:bookmarkEnd w:id="1"/>
    </w:p>
    <w:p w:rsidR="00082550" w:rsidRDefault="00683BF4">
      <w:pPr>
        <w:pStyle w:val="Heading1"/>
        <w:numPr>
          <w:ilvl w:val="0"/>
          <w:numId w:val="0"/>
        </w:numPr>
        <w:rPr>
          <w:rFonts w:eastAsia="Calibri"/>
          <w:b w:val="0"/>
          <w:bCs w:val="0"/>
          <w:sz w:val="22"/>
          <w:szCs w:val="22"/>
          <w:lang w:eastAsia="sv-SE"/>
        </w:rPr>
      </w:pPr>
      <w:r>
        <w:rPr>
          <w:rFonts w:eastAsia="Calibri"/>
          <w:b w:val="0"/>
          <w:bCs w:val="0"/>
          <w:sz w:val="22"/>
          <w:szCs w:val="22"/>
          <w:lang w:eastAsia="sv-SE"/>
        </w:rPr>
        <w:t xml:space="preserve">A major contributor to the overhead is the spectrum guard band, which is due to the </w:t>
      </w:r>
      <w:r w:rsidR="00417487">
        <w:rPr>
          <w:rFonts w:eastAsia="Calibri"/>
          <w:b w:val="0"/>
          <w:bCs w:val="0"/>
          <w:sz w:val="22"/>
          <w:szCs w:val="22"/>
          <w:lang w:eastAsia="sv-SE"/>
        </w:rPr>
        <w:t xml:space="preserve">slow-decay of sidelobes of the </w:t>
      </w:r>
      <w:r>
        <w:rPr>
          <w:rFonts w:eastAsia="Calibri"/>
          <w:b w:val="0"/>
          <w:bCs w:val="0"/>
          <w:sz w:val="22"/>
          <w:szCs w:val="22"/>
          <w:lang w:eastAsia="sv-SE"/>
        </w:rPr>
        <w:t>OFDM waveform.</w:t>
      </w:r>
      <w:r w:rsidR="005113D5">
        <w:rPr>
          <w:rFonts w:eastAsia="Calibri"/>
          <w:b w:val="0"/>
          <w:bCs w:val="0"/>
          <w:sz w:val="22"/>
          <w:szCs w:val="22"/>
          <w:lang w:eastAsia="sv-SE"/>
        </w:rPr>
        <w:t xml:space="preserve"> Hence, </w:t>
      </w:r>
      <w:r w:rsidR="005744CF" w:rsidRPr="005744CF">
        <w:rPr>
          <w:rFonts w:eastAsia="Calibri"/>
          <w:b w:val="0"/>
          <w:bCs w:val="0"/>
          <w:sz w:val="22"/>
          <w:szCs w:val="22"/>
          <w:lang w:eastAsia="sv-SE"/>
        </w:rPr>
        <w:t>waveform which suppress</w:t>
      </w:r>
      <w:r w:rsidR="005744CF">
        <w:rPr>
          <w:rFonts w:eastAsia="Calibri"/>
          <w:b w:val="0"/>
          <w:bCs w:val="0"/>
          <w:sz w:val="22"/>
          <w:szCs w:val="22"/>
          <w:lang w:eastAsia="sv-SE"/>
        </w:rPr>
        <w:t>es</w:t>
      </w:r>
      <w:r w:rsidR="005744CF" w:rsidRPr="005744CF">
        <w:rPr>
          <w:rFonts w:eastAsia="Calibri"/>
          <w:b w:val="0"/>
          <w:bCs w:val="0"/>
          <w:sz w:val="22"/>
          <w:szCs w:val="22"/>
          <w:lang w:eastAsia="sv-SE"/>
        </w:rPr>
        <w:t xml:space="preserve"> </w:t>
      </w:r>
      <w:proofErr w:type="spellStart"/>
      <w:r w:rsidR="005744CF" w:rsidRPr="005744CF">
        <w:rPr>
          <w:rFonts w:eastAsia="Calibri"/>
          <w:b w:val="0"/>
          <w:bCs w:val="0"/>
          <w:sz w:val="22"/>
          <w:szCs w:val="22"/>
          <w:lang w:eastAsia="sv-SE"/>
        </w:rPr>
        <w:t>sidelobes</w:t>
      </w:r>
      <w:proofErr w:type="spellEnd"/>
      <w:r w:rsidR="00C20307">
        <w:rPr>
          <w:rFonts w:eastAsiaTheme="minorEastAsia" w:hint="eastAsia"/>
          <w:b w:val="0"/>
          <w:bCs w:val="0"/>
          <w:sz w:val="22"/>
          <w:szCs w:val="22"/>
          <w:lang w:eastAsia="zh-CN"/>
        </w:rPr>
        <w:t xml:space="preserve"> without affecting CP</w:t>
      </w:r>
      <w:r w:rsidR="005744CF" w:rsidRPr="005744CF">
        <w:rPr>
          <w:rFonts w:eastAsia="Calibri"/>
          <w:b w:val="0"/>
          <w:bCs w:val="0"/>
          <w:sz w:val="22"/>
          <w:szCs w:val="22"/>
          <w:lang w:eastAsia="sv-SE"/>
        </w:rPr>
        <w:t xml:space="preserve"> should be studied</w:t>
      </w:r>
      <w:r w:rsidR="0027161F">
        <w:rPr>
          <w:rFonts w:eastAsia="Calibri"/>
          <w:b w:val="0"/>
          <w:bCs w:val="0"/>
          <w:sz w:val="22"/>
          <w:szCs w:val="22"/>
          <w:lang w:eastAsia="sv-SE"/>
        </w:rPr>
        <w:t xml:space="preserve"> [2][3]</w:t>
      </w:r>
      <w:r w:rsidR="005113D5">
        <w:rPr>
          <w:rFonts w:eastAsia="Calibri"/>
          <w:b w:val="0"/>
          <w:bCs w:val="0"/>
          <w:sz w:val="22"/>
          <w:szCs w:val="22"/>
          <w:lang w:eastAsia="sv-SE"/>
        </w:rPr>
        <w:t>.</w:t>
      </w:r>
    </w:p>
    <w:p w:rsidR="00082550" w:rsidRDefault="00F63048">
      <w:pPr>
        <w:pStyle w:val="Heading1"/>
        <w:numPr>
          <w:ilvl w:val="0"/>
          <w:numId w:val="0"/>
        </w:numPr>
        <w:rPr>
          <w:rFonts w:eastAsia="Calibri"/>
          <w:bCs w:val="0"/>
          <w:sz w:val="22"/>
          <w:szCs w:val="22"/>
          <w:u w:val="single"/>
          <w:lang w:eastAsia="sv-SE"/>
        </w:rPr>
      </w:pPr>
      <w:r w:rsidRPr="00F63048">
        <w:rPr>
          <w:rFonts w:eastAsia="Calibri"/>
          <w:bCs w:val="0"/>
          <w:sz w:val="22"/>
          <w:szCs w:val="22"/>
          <w:u w:val="single"/>
          <w:lang w:eastAsia="sv-SE"/>
        </w:rPr>
        <w:t>Massive MIMO</w:t>
      </w:r>
    </w:p>
    <w:p w:rsidR="00F63048" w:rsidRDefault="00CD55E3" w:rsidP="00F63048">
      <w:r w:rsidRPr="00CD55E3">
        <w:t>Massive MIMO</w:t>
      </w:r>
      <w:r>
        <w:t xml:space="preserve"> (mMIMO)</w:t>
      </w:r>
      <w:r w:rsidRPr="00CD55E3">
        <w:t xml:space="preserve"> </w:t>
      </w:r>
      <w:r>
        <w:t xml:space="preserve">due to </w:t>
      </w:r>
      <w:r w:rsidR="00A2578D">
        <w:t>its</w:t>
      </w:r>
      <w:r>
        <w:t xml:space="preserve"> large number of active antenna elements is </w:t>
      </w:r>
      <w:r w:rsidR="00A2578D">
        <w:t>capable of shaping</w:t>
      </w:r>
      <w:r>
        <w:t xml:space="preserve"> the radio channels such that the frequency selective channels as well as narrow-band fading channels </w:t>
      </w:r>
      <w:r w:rsidR="00FE4362">
        <w:t xml:space="preserve">effectively </w:t>
      </w:r>
      <w:r w:rsidR="00750388">
        <w:t>behave as</w:t>
      </w:r>
      <w:r>
        <w:t xml:space="preserve"> AWGN channels </w:t>
      </w:r>
      <w:r w:rsidR="00FE4362">
        <w:t>albeit</w:t>
      </w:r>
      <w:r>
        <w:t xml:space="preserve"> with a</w:t>
      </w:r>
      <w:r w:rsidR="00A2578D">
        <w:t xml:space="preserve"> notably</w:t>
      </w:r>
      <w:r>
        <w:t xml:space="preserve"> boosted SNR</w:t>
      </w:r>
      <w:r w:rsidR="00A2578D">
        <w:t xml:space="preserve"> which is</w:t>
      </w:r>
      <w:r>
        <w:t xml:space="preserve"> proportional to the number of antennas elements at the mMIMO array. This </w:t>
      </w:r>
      <w:r w:rsidR="00750388">
        <w:t xml:space="preserve">consequently </w:t>
      </w:r>
      <w:r>
        <w:t>relaxes the requirement on the CP length</w:t>
      </w:r>
      <w:r w:rsidR="00B257DA">
        <w:t xml:space="preserve"> (i.e.</w:t>
      </w:r>
      <w:r w:rsidR="006525AB">
        <w:t>,</w:t>
      </w:r>
      <w:r w:rsidR="00B257DA">
        <w:t xml:space="preserve"> a major cause of the overhead)</w:t>
      </w:r>
      <w:r>
        <w:t xml:space="preserve"> as well as </w:t>
      </w:r>
      <w:r w:rsidR="00750388">
        <w:t xml:space="preserve">the </w:t>
      </w:r>
      <w:r>
        <w:t xml:space="preserve">channel coding overhead where the former is </w:t>
      </w:r>
      <w:r w:rsidR="00A2578D">
        <w:t>enabled by</w:t>
      </w:r>
      <w:r>
        <w:t xml:space="preserve"> </w:t>
      </w:r>
      <w:r w:rsidR="00E029E6">
        <w:t xml:space="preserve">the </w:t>
      </w:r>
      <w:r w:rsidR="00750388">
        <w:t xml:space="preserve">mMIMO </w:t>
      </w:r>
      <w:r>
        <w:t>channel-flatt</w:t>
      </w:r>
      <w:r w:rsidR="00E029E6">
        <w:t>en</w:t>
      </w:r>
      <w:r>
        <w:t xml:space="preserve">ing property and the latter is enabled by the boosted SNR </w:t>
      </w:r>
      <w:r w:rsidR="00A2578D">
        <w:t>through</w:t>
      </w:r>
      <w:r>
        <w:t xml:space="preserve"> </w:t>
      </w:r>
      <w:r>
        <w:lastRenderedPageBreak/>
        <w:t>coherent combing or precoding of the signals a</w:t>
      </w:r>
      <w:r w:rsidR="00B257DA">
        <w:t>t</w:t>
      </w:r>
      <w:r>
        <w:t xml:space="preserve"> the mMIMO array. Therefore mMIMO </w:t>
      </w:r>
      <w:r w:rsidR="00E029E6">
        <w:t>can</w:t>
      </w:r>
      <w:r w:rsidR="00A2578D">
        <w:t xml:space="preserve"> </w:t>
      </w:r>
      <w:r>
        <w:t>reduc</w:t>
      </w:r>
      <w:r w:rsidR="00E029E6">
        <w:t>e</w:t>
      </w:r>
      <w:r w:rsidR="00A2578D">
        <w:t xml:space="preserve"> some of the </w:t>
      </w:r>
      <w:r w:rsidR="0079599D">
        <w:t>NR</w:t>
      </w:r>
      <w:r w:rsidR="00B257DA">
        <w:t xml:space="preserve"> </w:t>
      </w:r>
      <w:r w:rsidR="00A2578D">
        <w:t xml:space="preserve">overhead sources </w:t>
      </w:r>
      <w:r w:rsidR="00E029E6">
        <w:t xml:space="preserve">listed </w:t>
      </w:r>
      <w:r w:rsidR="00A2578D">
        <w:t>in Table 4</w:t>
      </w:r>
      <w:r w:rsidR="00B257DA">
        <w:t xml:space="preserve">. </w:t>
      </w:r>
      <w:r w:rsidR="003A1D61">
        <w:t xml:space="preserve">The reference signals overhead can be kept similar as that in LTE </w:t>
      </w:r>
      <w:r w:rsidR="00154E9F">
        <w:t>using</w:t>
      </w:r>
      <w:r w:rsidR="003A1D61">
        <w:t xml:space="preserve"> TDD </w:t>
      </w:r>
      <w:r w:rsidR="00E64B13">
        <w:t xml:space="preserve">mode </w:t>
      </w:r>
      <w:r w:rsidR="003A1D61">
        <w:t>which enables channel reciprocity. However</w:t>
      </w:r>
      <w:r w:rsidR="00154E9F">
        <w:t>,</w:t>
      </w:r>
      <w:r w:rsidR="003A1D61">
        <w:t xml:space="preserve"> the reference signal overhead </w:t>
      </w:r>
      <w:r w:rsidR="00E64B13">
        <w:t xml:space="preserve">for FDD mMIMO </w:t>
      </w:r>
      <w:r w:rsidR="003A1D61">
        <w:t xml:space="preserve">may increase </w:t>
      </w:r>
      <w:r w:rsidR="00E64B13">
        <w:t xml:space="preserve">in </w:t>
      </w:r>
      <w:r w:rsidR="0079599D">
        <w:t>NR</w:t>
      </w:r>
      <w:r w:rsidR="00E64B13">
        <w:t xml:space="preserve"> </w:t>
      </w:r>
      <w:r w:rsidR="003A1D61">
        <w:t>depending on the communication scenario.</w:t>
      </w:r>
    </w:p>
    <w:p w:rsidR="00082550" w:rsidRDefault="005113D5">
      <w:pPr>
        <w:pStyle w:val="Heading1"/>
        <w:numPr>
          <w:ilvl w:val="0"/>
          <w:numId w:val="0"/>
        </w:numPr>
        <w:rPr>
          <w:rFonts w:eastAsia="Calibri"/>
          <w:b w:val="0"/>
          <w:bCs w:val="0"/>
          <w:sz w:val="22"/>
          <w:szCs w:val="22"/>
          <w:lang w:eastAsia="sv-SE"/>
        </w:rPr>
      </w:pPr>
      <w:r>
        <w:rPr>
          <w:rFonts w:eastAsia="Calibri"/>
          <w:bCs w:val="0"/>
          <w:sz w:val="22"/>
          <w:szCs w:val="22"/>
          <w:u w:val="single"/>
          <w:lang w:eastAsia="sv-SE"/>
        </w:rPr>
        <w:t>Overloaded Multiple Access</w:t>
      </w:r>
      <w:r>
        <w:rPr>
          <w:rFonts w:eastAsia="Calibri"/>
          <w:b w:val="0"/>
          <w:bCs w:val="0"/>
          <w:sz w:val="22"/>
          <w:szCs w:val="22"/>
          <w:lang w:eastAsia="sv-SE"/>
        </w:rPr>
        <w:t xml:space="preserve">  </w:t>
      </w:r>
      <w:r w:rsidR="00683BF4">
        <w:rPr>
          <w:rFonts w:eastAsia="Calibri"/>
          <w:b w:val="0"/>
          <w:bCs w:val="0"/>
          <w:sz w:val="22"/>
          <w:szCs w:val="22"/>
          <w:lang w:eastAsia="sv-SE"/>
        </w:rPr>
        <w:t xml:space="preserve"> </w:t>
      </w:r>
    </w:p>
    <w:p w:rsidR="00082550" w:rsidRDefault="005747B7">
      <w:pPr>
        <w:pStyle w:val="Heading1"/>
        <w:numPr>
          <w:ilvl w:val="0"/>
          <w:numId w:val="0"/>
        </w:numPr>
        <w:rPr>
          <w:rFonts w:eastAsia="Calibri"/>
          <w:b w:val="0"/>
          <w:bCs w:val="0"/>
          <w:sz w:val="22"/>
          <w:szCs w:val="22"/>
          <w:lang w:eastAsia="sv-SE"/>
        </w:rPr>
      </w:pPr>
      <w:r>
        <w:rPr>
          <w:rFonts w:eastAsia="Calibri"/>
          <w:b w:val="0"/>
          <w:bCs w:val="0"/>
          <w:sz w:val="22"/>
          <w:szCs w:val="22"/>
          <w:lang w:eastAsia="sv-SE"/>
        </w:rPr>
        <w:t>Overload</w:t>
      </w:r>
      <w:r w:rsidR="000F1EA7">
        <w:rPr>
          <w:rFonts w:eastAsia="Calibri"/>
          <w:b w:val="0"/>
          <w:bCs w:val="0"/>
          <w:sz w:val="22"/>
          <w:szCs w:val="22"/>
          <w:lang w:eastAsia="sv-SE"/>
        </w:rPr>
        <w:t xml:space="preserve">ed MA </w:t>
      </w:r>
      <w:r w:rsidR="0093212C">
        <w:rPr>
          <w:rFonts w:eastAsia="Calibri"/>
          <w:b w:val="0"/>
          <w:bCs w:val="0"/>
          <w:sz w:val="22"/>
          <w:szCs w:val="22"/>
          <w:lang w:eastAsia="sv-SE"/>
        </w:rPr>
        <w:t>multiplexes several data streams on the same time-frequency resource in order to achieve higher data rates. In contrast to MUST in LTE,</w:t>
      </w:r>
      <w:r w:rsidR="00B90A10">
        <w:rPr>
          <w:rFonts w:eastAsia="Calibri"/>
          <w:b w:val="0"/>
          <w:bCs w:val="0"/>
          <w:sz w:val="22"/>
          <w:szCs w:val="22"/>
          <w:lang w:eastAsia="sv-SE"/>
        </w:rPr>
        <w:t xml:space="preserve"> Overloaded multiple access</w:t>
      </w:r>
      <w:r w:rsidR="0093212C">
        <w:rPr>
          <w:rFonts w:eastAsia="Calibri"/>
          <w:b w:val="0"/>
          <w:bCs w:val="0"/>
          <w:sz w:val="22"/>
          <w:szCs w:val="22"/>
          <w:lang w:eastAsia="sv-SE"/>
        </w:rPr>
        <w:t xml:space="preserve"> is not constr</w:t>
      </w:r>
      <w:r w:rsidR="00C72F0B">
        <w:rPr>
          <w:rFonts w:eastAsia="Calibri"/>
          <w:b w:val="0"/>
          <w:bCs w:val="0"/>
          <w:sz w:val="22"/>
          <w:szCs w:val="22"/>
          <w:lang w:eastAsia="sv-SE"/>
        </w:rPr>
        <w:t xml:space="preserve">ained to pairing two users with sufficiently different SNRs </w:t>
      </w:r>
      <w:r w:rsidR="00685422">
        <w:rPr>
          <w:rFonts w:eastAsia="Calibri"/>
          <w:b w:val="0"/>
          <w:bCs w:val="0"/>
          <w:sz w:val="22"/>
          <w:szCs w:val="22"/>
          <w:lang w:eastAsia="sv-SE"/>
        </w:rPr>
        <w:t>which impacts the maximum number of co-scheduled UEs in LTE</w:t>
      </w:r>
      <w:r w:rsidR="00685422" w:rsidRPr="00685422">
        <w:rPr>
          <w:rFonts w:eastAsia="Calibri"/>
          <w:b w:val="0"/>
          <w:bCs w:val="0"/>
          <w:sz w:val="22"/>
          <w:szCs w:val="22"/>
          <w:lang w:eastAsia="sv-SE"/>
        </w:rPr>
        <w:t xml:space="preserve"> </w:t>
      </w:r>
      <w:r w:rsidR="00685422">
        <w:rPr>
          <w:rFonts w:eastAsia="Calibri"/>
          <w:b w:val="0"/>
          <w:bCs w:val="0"/>
          <w:sz w:val="22"/>
          <w:szCs w:val="22"/>
          <w:lang w:eastAsia="sv-SE"/>
        </w:rPr>
        <w:t xml:space="preserve">MUST. </w:t>
      </w:r>
      <w:r w:rsidR="00B90A10">
        <w:rPr>
          <w:rFonts w:eastAsia="Calibri"/>
          <w:b w:val="0"/>
          <w:bCs w:val="0"/>
          <w:sz w:val="22"/>
          <w:szCs w:val="22"/>
          <w:lang w:eastAsia="sv-SE"/>
        </w:rPr>
        <w:t xml:space="preserve">Overloaded multiple access </w:t>
      </w:r>
      <w:r w:rsidR="00645984">
        <w:rPr>
          <w:rFonts w:eastAsia="Calibri"/>
          <w:b w:val="0"/>
          <w:bCs w:val="0"/>
          <w:sz w:val="22"/>
          <w:szCs w:val="22"/>
          <w:lang w:eastAsia="sv-SE"/>
        </w:rPr>
        <w:t xml:space="preserve">achieves </w:t>
      </w:r>
      <w:r w:rsidR="00EF03C9">
        <w:rPr>
          <w:rFonts w:eastAsia="Calibri"/>
          <w:b w:val="0"/>
          <w:bCs w:val="0"/>
          <w:sz w:val="22"/>
          <w:szCs w:val="22"/>
          <w:lang w:eastAsia="sv-SE"/>
        </w:rPr>
        <w:t xml:space="preserve">a </w:t>
      </w:r>
      <w:r w:rsidR="00645984">
        <w:rPr>
          <w:rFonts w:eastAsia="Calibri"/>
          <w:b w:val="0"/>
          <w:bCs w:val="0"/>
          <w:sz w:val="22"/>
          <w:szCs w:val="22"/>
          <w:lang w:eastAsia="sv-SE"/>
        </w:rPr>
        <w:t>higher aggregate spectral efficiency for multiple connected UEs thereby making a more efficient use of newly available boosted SNRs</w:t>
      </w:r>
      <w:r w:rsidR="00C72F0B">
        <w:rPr>
          <w:rFonts w:eastAsia="Calibri"/>
          <w:b w:val="0"/>
          <w:bCs w:val="0"/>
          <w:sz w:val="22"/>
          <w:szCs w:val="22"/>
          <w:lang w:eastAsia="sv-SE"/>
        </w:rPr>
        <w:t xml:space="preserve"> from mMIMO</w:t>
      </w:r>
      <w:r w:rsidR="00FE7AD8">
        <w:rPr>
          <w:rFonts w:eastAsia="Calibri"/>
          <w:b w:val="0"/>
          <w:bCs w:val="0"/>
          <w:sz w:val="22"/>
          <w:szCs w:val="22"/>
          <w:lang w:eastAsia="sv-SE"/>
        </w:rPr>
        <w:t>.</w:t>
      </w:r>
      <w:r w:rsidR="00A9719B">
        <w:rPr>
          <w:rFonts w:eastAsia="Calibri"/>
          <w:b w:val="0"/>
          <w:bCs w:val="0"/>
          <w:sz w:val="22"/>
          <w:szCs w:val="22"/>
          <w:lang w:eastAsia="sv-SE"/>
        </w:rPr>
        <w:t xml:space="preserve"> </w:t>
      </w:r>
      <w:r w:rsidR="00FE7AD8">
        <w:rPr>
          <w:rFonts w:eastAsia="Calibri"/>
          <w:b w:val="0"/>
          <w:bCs w:val="0"/>
          <w:sz w:val="22"/>
          <w:szCs w:val="22"/>
          <w:lang w:eastAsia="sv-SE"/>
        </w:rPr>
        <w:t xml:space="preserve">Superposition of multiple streams </w:t>
      </w:r>
      <w:r w:rsidR="00C72F0B">
        <w:rPr>
          <w:rFonts w:eastAsia="Calibri"/>
          <w:b w:val="0"/>
          <w:bCs w:val="0"/>
          <w:sz w:val="22"/>
          <w:szCs w:val="22"/>
          <w:lang w:eastAsia="sv-SE"/>
        </w:rPr>
        <w:t xml:space="preserve">may </w:t>
      </w:r>
      <w:r w:rsidR="00FE7AD8">
        <w:rPr>
          <w:rFonts w:eastAsia="Calibri"/>
          <w:b w:val="0"/>
          <w:bCs w:val="0"/>
          <w:sz w:val="22"/>
          <w:szCs w:val="22"/>
          <w:lang w:eastAsia="sv-SE"/>
        </w:rPr>
        <w:t xml:space="preserve">replace </w:t>
      </w:r>
      <w:r w:rsidR="00685422">
        <w:rPr>
          <w:rFonts w:eastAsia="Calibri"/>
          <w:b w:val="0"/>
          <w:bCs w:val="0"/>
          <w:sz w:val="22"/>
          <w:szCs w:val="22"/>
          <w:lang w:eastAsia="sv-SE"/>
        </w:rPr>
        <w:t xml:space="preserve">conventional </w:t>
      </w:r>
      <w:r w:rsidR="00930783">
        <w:rPr>
          <w:rFonts w:eastAsia="Calibri"/>
          <w:b w:val="0"/>
          <w:bCs w:val="0"/>
          <w:sz w:val="22"/>
          <w:szCs w:val="22"/>
          <w:lang w:eastAsia="sv-SE"/>
        </w:rPr>
        <w:t xml:space="preserve">single-stream transmission </w:t>
      </w:r>
      <w:r w:rsidR="00C72F0B">
        <w:rPr>
          <w:rFonts w:eastAsia="Calibri"/>
          <w:b w:val="0"/>
          <w:bCs w:val="0"/>
          <w:sz w:val="22"/>
          <w:szCs w:val="22"/>
          <w:lang w:eastAsia="sv-SE"/>
        </w:rPr>
        <w:t>using</w:t>
      </w:r>
      <w:r w:rsidR="00930783">
        <w:rPr>
          <w:rFonts w:eastAsia="Calibri"/>
          <w:b w:val="0"/>
          <w:bCs w:val="0"/>
          <w:sz w:val="22"/>
          <w:szCs w:val="22"/>
          <w:lang w:eastAsia="sv-SE"/>
        </w:rPr>
        <w:t xml:space="preserve"> </w:t>
      </w:r>
      <w:r w:rsidR="00A9719B">
        <w:rPr>
          <w:rFonts w:eastAsia="Calibri"/>
          <w:b w:val="0"/>
          <w:bCs w:val="0"/>
          <w:sz w:val="22"/>
          <w:szCs w:val="22"/>
          <w:lang w:eastAsia="sv-SE"/>
        </w:rPr>
        <w:t>higher-order modulations</w:t>
      </w:r>
      <w:r w:rsidR="00211D10">
        <w:rPr>
          <w:rFonts w:eastAsia="Calibri"/>
          <w:b w:val="0"/>
          <w:bCs w:val="0"/>
          <w:sz w:val="22"/>
          <w:szCs w:val="22"/>
          <w:lang w:eastAsia="sv-SE"/>
        </w:rPr>
        <w:t xml:space="preserve"> </w:t>
      </w:r>
      <w:r w:rsidR="00FE7AD8">
        <w:rPr>
          <w:rFonts w:eastAsia="Calibri"/>
          <w:b w:val="0"/>
          <w:bCs w:val="0"/>
          <w:sz w:val="22"/>
          <w:szCs w:val="22"/>
          <w:lang w:eastAsia="sv-SE"/>
        </w:rPr>
        <w:t xml:space="preserve">thereby avoiding </w:t>
      </w:r>
      <w:r w:rsidR="00645984">
        <w:rPr>
          <w:rFonts w:eastAsia="Calibri"/>
          <w:b w:val="0"/>
          <w:bCs w:val="0"/>
          <w:sz w:val="22"/>
          <w:szCs w:val="22"/>
          <w:lang w:eastAsia="sv-SE"/>
        </w:rPr>
        <w:t xml:space="preserve">their </w:t>
      </w:r>
      <w:r w:rsidR="00FE7AD8">
        <w:rPr>
          <w:rFonts w:eastAsia="Calibri"/>
          <w:b w:val="0"/>
          <w:bCs w:val="0"/>
          <w:sz w:val="22"/>
          <w:szCs w:val="22"/>
          <w:lang w:eastAsia="sv-SE"/>
        </w:rPr>
        <w:t xml:space="preserve">complex </w:t>
      </w:r>
      <w:r w:rsidR="00A9719B">
        <w:rPr>
          <w:rFonts w:eastAsia="Calibri"/>
          <w:b w:val="0"/>
          <w:bCs w:val="0"/>
          <w:sz w:val="22"/>
          <w:szCs w:val="22"/>
          <w:lang w:eastAsia="sv-SE"/>
        </w:rPr>
        <w:t>computation of soft decoding metrics (LLRs)</w:t>
      </w:r>
      <w:r w:rsidR="00C72F0B">
        <w:rPr>
          <w:rFonts w:eastAsia="Calibri"/>
          <w:b w:val="0"/>
          <w:bCs w:val="0"/>
          <w:sz w:val="22"/>
          <w:szCs w:val="22"/>
          <w:lang w:eastAsia="sv-SE"/>
        </w:rPr>
        <w:t>.</w:t>
      </w:r>
      <w:r w:rsidR="00685422">
        <w:rPr>
          <w:rFonts w:eastAsia="Calibri"/>
          <w:b w:val="0"/>
          <w:bCs w:val="0"/>
          <w:sz w:val="22"/>
          <w:szCs w:val="22"/>
          <w:lang w:eastAsia="sv-SE"/>
        </w:rPr>
        <w:t xml:space="preserve"> </w:t>
      </w:r>
      <w:r w:rsidR="00C72F0B">
        <w:rPr>
          <w:rFonts w:eastAsia="Calibri"/>
          <w:b w:val="0"/>
          <w:bCs w:val="0"/>
          <w:sz w:val="22"/>
          <w:szCs w:val="22"/>
          <w:lang w:eastAsia="sv-SE"/>
        </w:rPr>
        <w:t xml:space="preserve">Further, it </w:t>
      </w:r>
      <w:r w:rsidR="00645984">
        <w:rPr>
          <w:rFonts w:eastAsia="Calibri"/>
          <w:b w:val="0"/>
          <w:bCs w:val="0"/>
          <w:sz w:val="22"/>
          <w:szCs w:val="22"/>
          <w:lang w:eastAsia="sv-SE"/>
        </w:rPr>
        <w:t>allow</w:t>
      </w:r>
      <w:r w:rsidR="00C72F0B">
        <w:rPr>
          <w:rFonts w:eastAsia="Calibri"/>
          <w:b w:val="0"/>
          <w:bCs w:val="0"/>
          <w:sz w:val="22"/>
          <w:szCs w:val="22"/>
          <w:lang w:eastAsia="sv-SE"/>
        </w:rPr>
        <w:t>s</w:t>
      </w:r>
      <w:r w:rsidR="00685422">
        <w:rPr>
          <w:rFonts w:eastAsia="Calibri"/>
          <w:b w:val="0"/>
          <w:bCs w:val="0"/>
          <w:sz w:val="22"/>
          <w:szCs w:val="22"/>
          <w:lang w:eastAsia="sv-SE"/>
        </w:rPr>
        <w:t xml:space="preserve"> more flexible MCS selection</w:t>
      </w:r>
      <w:r w:rsidR="00C72F0B">
        <w:rPr>
          <w:rFonts w:eastAsia="Calibri"/>
          <w:b w:val="0"/>
          <w:bCs w:val="0"/>
          <w:sz w:val="22"/>
          <w:szCs w:val="22"/>
          <w:lang w:eastAsia="sv-SE"/>
        </w:rPr>
        <w:t xml:space="preserve"> by dynamically changing the number of multiplexed streams</w:t>
      </w:r>
      <w:r>
        <w:rPr>
          <w:rFonts w:eastAsia="Calibri"/>
          <w:b w:val="0"/>
          <w:bCs w:val="0"/>
          <w:sz w:val="22"/>
          <w:szCs w:val="22"/>
          <w:lang w:eastAsia="sv-SE"/>
        </w:rPr>
        <w:t>.</w:t>
      </w:r>
    </w:p>
    <w:p w:rsidR="005A7532" w:rsidRDefault="006C2655">
      <w:pPr>
        <w:rPr>
          <w:b/>
        </w:rPr>
      </w:pPr>
      <w:r w:rsidRPr="00756EC6">
        <w:rPr>
          <w:b/>
          <w:u w:val="single"/>
        </w:rPr>
        <w:t>Reduction of control channel overhead</w:t>
      </w:r>
      <w:r>
        <w:rPr>
          <w:b/>
        </w:rPr>
        <w:t xml:space="preserve"> </w:t>
      </w:r>
    </w:p>
    <w:p w:rsidR="00082550" w:rsidRDefault="006C2655">
      <w:pPr>
        <w:rPr>
          <w:b/>
          <w:bCs/>
          <w:lang w:eastAsia="sv-SE"/>
        </w:rPr>
      </w:pPr>
      <w:r w:rsidRPr="00756EC6">
        <w:t xml:space="preserve">Even though control channel overhead is not the major </w:t>
      </w:r>
      <w:r>
        <w:t>parameter that aff</w:t>
      </w:r>
      <w:r w:rsidR="00221D8A">
        <w:t xml:space="preserve">ects the achieved </w:t>
      </w:r>
      <w:r w:rsidR="00EF03C9">
        <w:t xml:space="preserve">spectral </w:t>
      </w:r>
      <w:r>
        <w:t>efficiency, techniques to reduce control channel overhead are worth to be studied.</w:t>
      </w:r>
    </w:p>
    <w:p w:rsidR="005113D5" w:rsidRDefault="00F63048" w:rsidP="00271850">
      <w:r w:rsidRPr="00F63048">
        <w:t xml:space="preserve">Based </w:t>
      </w:r>
      <w:r w:rsidR="005113D5">
        <w:t>on the above</w:t>
      </w:r>
      <w:r w:rsidR="00ED6455">
        <w:t xml:space="preserve"> analysis</w:t>
      </w:r>
      <w:r w:rsidR="005113D5">
        <w:t>, the following proposal is made.</w:t>
      </w:r>
    </w:p>
    <w:p w:rsidR="00ED6455" w:rsidRDefault="00ED6455" w:rsidP="00ED6455">
      <w:pPr>
        <w:pStyle w:val="CommentText"/>
        <w:rPr>
          <w:rFonts w:eastAsia="Calibri"/>
          <w:b/>
          <w:sz w:val="22"/>
          <w:szCs w:val="22"/>
          <w:lang w:eastAsia="sv-SE"/>
        </w:rPr>
      </w:pPr>
      <w:r>
        <w:rPr>
          <w:rFonts w:eastAsia="Calibri"/>
          <w:b/>
          <w:sz w:val="22"/>
          <w:szCs w:val="22"/>
          <w:lang w:eastAsia="sv-SE"/>
        </w:rPr>
        <w:t>Proposal: The following techniques should be studied:</w:t>
      </w:r>
    </w:p>
    <w:p w:rsidR="00ED6455" w:rsidRDefault="005744CF" w:rsidP="00ED6455">
      <w:pPr>
        <w:pStyle w:val="CommentText"/>
        <w:numPr>
          <w:ilvl w:val="0"/>
          <w:numId w:val="35"/>
        </w:numPr>
        <w:rPr>
          <w:rFonts w:eastAsia="Calibri"/>
          <w:b/>
          <w:sz w:val="22"/>
          <w:szCs w:val="22"/>
          <w:lang w:eastAsia="sv-SE"/>
        </w:rPr>
      </w:pPr>
      <w:r w:rsidRPr="005744CF">
        <w:t xml:space="preserve"> </w:t>
      </w:r>
      <w:r w:rsidRPr="005744CF">
        <w:rPr>
          <w:rFonts w:eastAsia="Calibri"/>
          <w:b/>
          <w:sz w:val="22"/>
          <w:szCs w:val="22"/>
          <w:lang w:eastAsia="sv-SE"/>
        </w:rPr>
        <w:t>Numerology without  significant</w:t>
      </w:r>
      <w:r>
        <w:rPr>
          <w:rFonts w:eastAsia="Calibri"/>
          <w:b/>
          <w:sz w:val="22"/>
          <w:szCs w:val="22"/>
          <w:lang w:eastAsia="sv-SE"/>
        </w:rPr>
        <w:t xml:space="preserve"> </w:t>
      </w:r>
      <w:r w:rsidRPr="005744CF">
        <w:rPr>
          <w:rFonts w:eastAsia="Calibri"/>
          <w:b/>
          <w:sz w:val="22"/>
          <w:szCs w:val="22"/>
          <w:lang w:eastAsia="sv-SE"/>
        </w:rPr>
        <w:t>cyclic prefix overhead</w:t>
      </w:r>
    </w:p>
    <w:p w:rsidR="00ED6455" w:rsidRPr="00E8494F" w:rsidRDefault="00C07A5F" w:rsidP="00E8494F">
      <w:pPr>
        <w:pStyle w:val="CommentText"/>
        <w:numPr>
          <w:ilvl w:val="0"/>
          <w:numId w:val="35"/>
        </w:numPr>
        <w:rPr>
          <w:rFonts w:eastAsia="Calibri"/>
          <w:b/>
          <w:sz w:val="22"/>
          <w:szCs w:val="22"/>
          <w:lang w:eastAsia="sv-SE"/>
        </w:rPr>
      </w:pPr>
      <w:r>
        <w:rPr>
          <w:rFonts w:eastAsia="Calibri"/>
          <w:b/>
          <w:sz w:val="22"/>
          <w:szCs w:val="22"/>
          <w:lang w:eastAsia="sv-SE"/>
        </w:rPr>
        <w:t xml:space="preserve"> Spectral localization </w:t>
      </w:r>
      <w:r w:rsidR="00ED6455">
        <w:rPr>
          <w:rFonts w:eastAsia="Calibri"/>
          <w:b/>
          <w:sz w:val="22"/>
          <w:szCs w:val="22"/>
          <w:lang w:eastAsia="sv-SE"/>
        </w:rPr>
        <w:t>in order to reduce the guard band</w:t>
      </w:r>
      <w:r w:rsidR="00E8494F" w:rsidRPr="00E8494F">
        <w:rPr>
          <w:rFonts w:eastAsia="Calibri"/>
          <w:b/>
          <w:sz w:val="22"/>
          <w:szCs w:val="22"/>
          <w:lang w:eastAsia="sv-SE"/>
        </w:rPr>
        <w:t xml:space="preserve"> </w:t>
      </w:r>
    </w:p>
    <w:p w:rsidR="00ED6455" w:rsidRDefault="00ED6455" w:rsidP="00ED6455">
      <w:pPr>
        <w:pStyle w:val="CommentText"/>
        <w:numPr>
          <w:ilvl w:val="0"/>
          <w:numId w:val="35"/>
        </w:numPr>
        <w:rPr>
          <w:rFonts w:eastAsia="Calibri"/>
          <w:b/>
          <w:sz w:val="22"/>
          <w:szCs w:val="22"/>
          <w:lang w:eastAsia="sv-SE"/>
        </w:rPr>
      </w:pPr>
      <w:r>
        <w:rPr>
          <w:rFonts w:eastAsia="Calibri"/>
          <w:b/>
          <w:sz w:val="22"/>
          <w:szCs w:val="22"/>
          <w:lang w:eastAsia="sv-SE"/>
        </w:rPr>
        <w:t xml:space="preserve">Massive </w:t>
      </w:r>
      <w:r w:rsidRPr="005A7532">
        <w:rPr>
          <w:rFonts w:eastAsia="Calibri"/>
          <w:b/>
          <w:sz w:val="22"/>
          <w:szCs w:val="22"/>
          <w:lang w:eastAsia="sv-SE"/>
        </w:rPr>
        <w:t xml:space="preserve">MIMO </w:t>
      </w:r>
      <w:r w:rsidR="00F63048" w:rsidRPr="005A7532">
        <w:rPr>
          <w:rFonts w:eastAsia="Calibri"/>
          <w:b/>
          <w:sz w:val="22"/>
          <w:szCs w:val="22"/>
          <w:lang w:eastAsia="sv-SE"/>
        </w:rPr>
        <w:t>in order to</w:t>
      </w:r>
      <w:r w:rsidR="00B257DA" w:rsidRPr="005A7532">
        <w:rPr>
          <w:rFonts w:eastAsia="Calibri"/>
          <w:b/>
          <w:sz w:val="22"/>
          <w:szCs w:val="22"/>
          <w:lang w:eastAsia="sv-SE"/>
        </w:rPr>
        <w:t xml:space="preserve"> reduce</w:t>
      </w:r>
      <w:r w:rsidR="00B257DA">
        <w:rPr>
          <w:rFonts w:eastAsia="Calibri"/>
          <w:b/>
          <w:sz w:val="22"/>
          <w:szCs w:val="22"/>
          <w:lang w:eastAsia="sv-SE"/>
        </w:rPr>
        <w:t xml:space="preserve"> cyclic prefix length and the channel coding overhead</w:t>
      </w:r>
    </w:p>
    <w:p w:rsidR="00ED6455" w:rsidRDefault="00ED6455" w:rsidP="00ED6455">
      <w:pPr>
        <w:pStyle w:val="CommentText"/>
        <w:numPr>
          <w:ilvl w:val="0"/>
          <w:numId w:val="35"/>
        </w:numPr>
        <w:rPr>
          <w:rFonts w:eastAsia="Calibri"/>
          <w:b/>
          <w:sz w:val="22"/>
          <w:szCs w:val="22"/>
          <w:lang w:eastAsia="sv-SE"/>
        </w:rPr>
      </w:pPr>
      <w:r>
        <w:rPr>
          <w:rFonts w:eastAsia="Calibri"/>
          <w:b/>
          <w:sz w:val="22"/>
          <w:szCs w:val="22"/>
          <w:lang w:eastAsia="sv-SE"/>
        </w:rPr>
        <w:t xml:space="preserve">Overloaded Multiple </w:t>
      </w:r>
      <w:proofErr w:type="gramStart"/>
      <w:r>
        <w:rPr>
          <w:rFonts w:eastAsia="Calibri"/>
          <w:b/>
          <w:sz w:val="22"/>
          <w:szCs w:val="22"/>
          <w:lang w:eastAsia="sv-SE"/>
        </w:rPr>
        <w:t>Access</w:t>
      </w:r>
      <w:proofErr w:type="gramEnd"/>
      <w:r>
        <w:rPr>
          <w:rFonts w:eastAsia="Calibri"/>
          <w:b/>
          <w:sz w:val="22"/>
          <w:szCs w:val="22"/>
          <w:lang w:eastAsia="sv-SE"/>
        </w:rPr>
        <w:t xml:space="preserve"> </w:t>
      </w:r>
      <w:r w:rsidR="00F63048" w:rsidRPr="005A7532">
        <w:rPr>
          <w:rFonts w:eastAsia="Calibri"/>
          <w:b/>
          <w:sz w:val="22"/>
          <w:szCs w:val="22"/>
          <w:lang w:eastAsia="sv-SE"/>
        </w:rPr>
        <w:t>for</w:t>
      </w:r>
      <w:r w:rsidR="005747B7" w:rsidRPr="005A7532">
        <w:rPr>
          <w:rFonts w:eastAsia="Calibri"/>
          <w:b/>
          <w:sz w:val="22"/>
          <w:szCs w:val="22"/>
          <w:lang w:eastAsia="sv-SE"/>
        </w:rPr>
        <w:t xml:space="preserve"> </w:t>
      </w:r>
      <w:r w:rsidR="00685422" w:rsidRPr="005A7532">
        <w:rPr>
          <w:rFonts w:eastAsia="Calibri"/>
          <w:b/>
          <w:sz w:val="22"/>
          <w:szCs w:val="22"/>
          <w:lang w:eastAsia="sv-SE"/>
        </w:rPr>
        <w:t>co-scheduling</w:t>
      </w:r>
      <w:r w:rsidR="00685422">
        <w:rPr>
          <w:rFonts w:eastAsia="Calibri"/>
          <w:b/>
          <w:sz w:val="22"/>
          <w:szCs w:val="22"/>
          <w:lang w:eastAsia="sv-SE"/>
        </w:rPr>
        <w:t xml:space="preserve"> several user</w:t>
      </w:r>
      <w:r w:rsidR="00EF03C9">
        <w:rPr>
          <w:rFonts w:eastAsia="Calibri"/>
          <w:b/>
          <w:sz w:val="22"/>
          <w:szCs w:val="22"/>
          <w:lang w:eastAsia="sv-SE"/>
        </w:rPr>
        <w:t>s</w:t>
      </w:r>
      <w:r w:rsidR="00685422">
        <w:rPr>
          <w:rFonts w:eastAsia="Calibri"/>
          <w:b/>
          <w:sz w:val="22"/>
          <w:szCs w:val="22"/>
          <w:lang w:eastAsia="sv-SE"/>
        </w:rPr>
        <w:t xml:space="preserve"> in the same channel resource, making efficient use of high SNRs </w:t>
      </w:r>
      <w:r w:rsidR="00645984">
        <w:rPr>
          <w:rFonts w:eastAsia="Calibri"/>
          <w:b/>
          <w:sz w:val="22"/>
          <w:szCs w:val="22"/>
          <w:lang w:eastAsia="sv-SE"/>
        </w:rPr>
        <w:t xml:space="preserve">while featuring limited </w:t>
      </w:r>
      <w:r w:rsidR="00685422">
        <w:rPr>
          <w:rFonts w:eastAsia="Calibri"/>
          <w:b/>
          <w:sz w:val="22"/>
          <w:szCs w:val="22"/>
          <w:lang w:eastAsia="sv-SE"/>
        </w:rPr>
        <w:t>demodulation/decoding complexity and flexible MCS selection.</w:t>
      </w:r>
    </w:p>
    <w:p w:rsidR="00082550" w:rsidRPr="005A7532" w:rsidRDefault="001C593A" w:rsidP="005A7532">
      <w:pPr>
        <w:pStyle w:val="CommentText"/>
        <w:numPr>
          <w:ilvl w:val="0"/>
          <w:numId w:val="35"/>
        </w:numPr>
        <w:rPr>
          <w:rFonts w:eastAsia="Calibri"/>
          <w:b/>
          <w:sz w:val="22"/>
          <w:szCs w:val="22"/>
          <w:lang w:eastAsia="sv-SE"/>
        </w:rPr>
      </w:pPr>
      <w:r>
        <w:rPr>
          <w:rFonts w:eastAsia="Calibri"/>
          <w:b/>
          <w:sz w:val="22"/>
          <w:szCs w:val="22"/>
          <w:lang w:eastAsia="sv-SE"/>
        </w:rPr>
        <w:t xml:space="preserve">Techniques </w:t>
      </w:r>
      <w:r w:rsidR="00D643CF">
        <w:rPr>
          <w:rFonts w:eastAsia="Calibri"/>
          <w:b/>
          <w:sz w:val="22"/>
          <w:szCs w:val="22"/>
          <w:lang w:eastAsia="sv-SE"/>
        </w:rPr>
        <w:t xml:space="preserve">for </w:t>
      </w:r>
      <w:r w:rsidR="00845461">
        <w:rPr>
          <w:rFonts w:eastAsia="Calibri"/>
          <w:b/>
          <w:sz w:val="22"/>
          <w:szCs w:val="22"/>
          <w:lang w:eastAsia="sv-SE"/>
        </w:rPr>
        <w:t>reducing</w:t>
      </w:r>
      <w:r w:rsidR="00B96862">
        <w:rPr>
          <w:rFonts w:eastAsia="Calibri"/>
          <w:b/>
          <w:sz w:val="22"/>
          <w:szCs w:val="22"/>
          <w:lang w:eastAsia="sv-SE"/>
        </w:rPr>
        <w:t xml:space="preserve"> control channel </w:t>
      </w:r>
      <w:r w:rsidR="006C2655" w:rsidRPr="00B96862">
        <w:rPr>
          <w:rFonts w:eastAsia="Calibri"/>
          <w:b/>
          <w:sz w:val="22"/>
          <w:szCs w:val="22"/>
          <w:lang w:eastAsia="sv-SE"/>
        </w:rPr>
        <w:t>overhead</w:t>
      </w:r>
    </w:p>
    <w:p w:rsidR="00290A3D" w:rsidRDefault="00747F48" w:rsidP="00290A3D">
      <w:pPr>
        <w:pStyle w:val="Heading1"/>
        <w:spacing w:before="240"/>
        <w:ind w:left="431" w:hanging="431"/>
      </w:pPr>
      <w:r w:rsidRPr="00AD0B37">
        <w:t>Conclusion</w:t>
      </w:r>
      <w:r w:rsidR="006B1FD5">
        <w:t>s</w:t>
      </w:r>
    </w:p>
    <w:p w:rsidR="00ED6455" w:rsidRDefault="00E87B19" w:rsidP="007B0477">
      <w:pPr>
        <w:spacing w:after="0" w:line="240" w:lineRule="atLeast"/>
        <w:rPr>
          <w:rFonts w:eastAsia="Calibri"/>
          <w:lang w:eastAsia="sv-SE"/>
        </w:rPr>
      </w:pPr>
      <w:r>
        <w:rPr>
          <w:rFonts w:eastAsia="Calibri"/>
          <w:lang w:eastAsia="sv-SE"/>
        </w:rPr>
        <w:t xml:space="preserve">By analyzing the spectral efficiency, it can be concluded that </w:t>
      </w:r>
      <w:r w:rsidR="00EF03C9">
        <w:rPr>
          <w:rFonts w:eastAsia="Calibri"/>
          <w:lang w:eastAsia="sv-SE"/>
        </w:rPr>
        <w:t xml:space="preserve">the </w:t>
      </w:r>
      <w:r>
        <w:rPr>
          <w:rFonts w:eastAsia="Calibri"/>
          <w:lang w:eastAsia="sv-SE"/>
        </w:rPr>
        <w:t>spectrum guard band and cyclic prefix length will be significant factors that need to be reduced. In particular the following observations were made.</w:t>
      </w:r>
    </w:p>
    <w:p w:rsidR="00C2702E" w:rsidRDefault="00C2702E" w:rsidP="007B0477">
      <w:pPr>
        <w:spacing w:after="0" w:line="240" w:lineRule="atLeast"/>
        <w:rPr>
          <w:b/>
        </w:rPr>
      </w:pPr>
    </w:p>
    <w:p w:rsidR="005113D5" w:rsidRDefault="005113D5" w:rsidP="005113D5">
      <w:pPr>
        <w:pStyle w:val="CommentText"/>
        <w:rPr>
          <w:rFonts w:eastAsia="Calibri"/>
          <w:b/>
          <w:sz w:val="22"/>
          <w:szCs w:val="22"/>
          <w:lang w:eastAsia="sv-SE"/>
        </w:rPr>
      </w:pPr>
      <w:r w:rsidRPr="001F203C">
        <w:rPr>
          <w:rFonts w:eastAsia="Calibri"/>
          <w:b/>
          <w:sz w:val="22"/>
          <w:szCs w:val="22"/>
          <w:lang w:eastAsia="sv-SE"/>
        </w:rPr>
        <w:t>Observation 1:</w:t>
      </w:r>
      <w:r>
        <w:rPr>
          <w:rFonts w:eastAsia="Calibri"/>
          <w:b/>
          <w:sz w:val="22"/>
          <w:szCs w:val="22"/>
          <w:lang w:eastAsia="sv-SE"/>
        </w:rPr>
        <w:tab/>
        <w:t>At its capacity limit, LTE has an overhead of around 39% compared to an ideal system.</w:t>
      </w:r>
    </w:p>
    <w:p w:rsidR="005113D5" w:rsidRDefault="005113D5" w:rsidP="005113D5">
      <w:pPr>
        <w:pStyle w:val="CommentText"/>
      </w:pPr>
      <w:r w:rsidRPr="001F203C">
        <w:rPr>
          <w:rFonts w:eastAsia="Calibri"/>
          <w:b/>
          <w:sz w:val="22"/>
          <w:szCs w:val="22"/>
          <w:lang w:eastAsia="sv-SE"/>
        </w:rPr>
        <w:t xml:space="preserve">Observation </w:t>
      </w:r>
      <w:r>
        <w:rPr>
          <w:rFonts w:eastAsia="Calibri"/>
          <w:b/>
          <w:sz w:val="22"/>
          <w:szCs w:val="22"/>
          <w:lang w:eastAsia="sv-SE"/>
        </w:rPr>
        <w:t>2</w:t>
      </w:r>
      <w:r w:rsidRPr="001F203C">
        <w:rPr>
          <w:rFonts w:eastAsia="Calibri"/>
          <w:b/>
          <w:sz w:val="22"/>
          <w:szCs w:val="22"/>
          <w:lang w:eastAsia="sv-SE"/>
        </w:rPr>
        <w:t>:</w:t>
      </w:r>
      <w:r>
        <w:rPr>
          <w:rFonts w:eastAsia="Calibri"/>
          <w:b/>
          <w:sz w:val="22"/>
          <w:szCs w:val="22"/>
          <w:lang w:eastAsia="sv-SE"/>
        </w:rPr>
        <w:tab/>
      </w:r>
      <w:r w:rsidR="0079599D">
        <w:rPr>
          <w:rFonts w:eastAsia="Calibri"/>
          <w:b/>
          <w:sz w:val="22"/>
          <w:szCs w:val="22"/>
          <w:lang w:eastAsia="sv-SE"/>
        </w:rPr>
        <w:t xml:space="preserve">For LTE, </w:t>
      </w:r>
      <w:r>
        <w:rPr>
          <w:rFonts w:eastAsia="Calibri"/>
          <w:b/>
          <w:sz w:val="22"/>
          <w:szCs w:val="22"/>
          <w:lang w:eastAsia="sv-SE"/>
        </w:rPr>
        <w:t xml:space="preserve">the peak </w:t>
      </w:r>
      <w:r w:rsidR="00EF03C9">
        <w:rPr>
          <w:rFonts w:eastAsia="Calibri"/>
          <w:b/>
          <w:sz w:val="22"/>
          <w:szCs w:val="22"/>
          <w:lang w:eastAsia="sv-SE"/>
        </w:rPr>
        <w:t xml:space="preserve">spectral </w:t>
      </w:r>
      <w:r>
        <w:rPr>
          <w:rFonts w:eastAsia="Calibri"/>
          <w:b/>
          <w:sz w:val="22"/>
          <w:szCs w:val="22"/>
          <w:lang w:eastAsia="sv-SE"/>
        </w:rPr>
        <w:t>efficiency</w:t>
      </w:r>
      <w:r w:rsidR="003A1D61">
        <w:rPr>
          <w:rFonts w:eastAsia="Calibri"/>
          <w:b/>
          <w:sz w:val="22"/>
          <w:szCs w:val="22"/>
          <w:lang w:eastAsia="sv-SE"/>
        </w:rPr>
        <w:t xml:space="preserve"> </w:t>
      </w:r>
      <w:r w:rsidR="0079599D">
        <w:rPr>
          <w:rFonts w:eastAsia="Calibri"/>
          <w:b/>
          <w:sz w:val="22"/>
          <w:szCs w:val="22"/>
          <w:lang w:eastAsia="sv-SE"/>
        </w:rPr>
        <w:t>is primarily impacted by the</w:t>
      </w:r>
      <w:r>
        <w:rPr>
          <w:rFonts w:eastAsia="Calibri"/>
          <w:b/>
          <w:sz w:val="22"/>
          <w:szCs w:val="22"/>
          <w:lang w:eastAsia="sv-SE"/>
        </w:rPr>
        <w:t xml:space="preserve"> reference signal overhead, spectrum guard band, cyclic prefix, control channel overhead and channel coding, in a descending order.</w:t>
      </w:r>
    </w:p>
    <w:p w:rsidR="001A0CD8" w:rsidRDefault="001A0CD8" w:rsidP="001A0CD8">
      <w:pPr>
        <w:pStyle w:val="CommentText"/>
        <w:rPr>
          <w:rFonts w:eastAsia="Calibri"/>
          <w:b/>
          <w:sz w:val="22"/>
          <w:szCs w:val="22"/>
          <w:lang w:eastAsia="sv-SE"/>
        </w:rPr>
      </w:pPr>
      <w:r w:rsidRPr="001F203C">
        <w:rPr>
          <w:rFonts w:eastAsia="Calibri"/>
          <w:b/>
          <w:sz w:val="22"/>
          <w:szCs w:val="22"/>
          <w:lang w:eastAsia="sv-SE"/>
        </w:rPr>
        <w:t xml:space="preserve">Observation </w:t>
      </w:r>
      <w:r>
        <w:rPr>
          <w:rFonts w:eastAsia="Calibri"/>
          <w:b/>
          <w:sz w:val="22"/>
          <w:szCs w:val="22"/>
          <w:lang w:eastAsia="sv-SE"/>
        </w:rPr>
        <w:t>3</w:t>
      </w:r>
      <w:r w:rsidRPr="001F203C">
        <w:rPr>
          <w:rFonts w:eastAsia="Calibri"/>
          <w:b/>
          <w:sz w:val="22"/>
          <w:szCs w:val="22"/>
          <w:lang w:eastAsia="sv-SE"/>
        </w:rPr>
        <w:t>:</w:t>
      </w:r>
      <w:r>
        <w:rPr>
          <w:rFonts w:eastAsia="Calibri"/>
          <w:b/>
          <w:sz w:val="22"/>
          <w:szCs w:val="22"/>
          <w:lang w:eastAsia="sv-SE"/>
        </w:rPr>
        <w:tab/>
        <w:t>For a NR configuration with 8 antennas at UE and 256-QAM using scaled subcarrier spacing for 80MHz channel, reduced TTI and no-shorter-than LTE CP, the peak spectral efficiency is around 28 bps/Hz, which is below the 30 bps/Hz requirement.</w:t>
      </w:r>
    </w:p>
    <w:p w:rsidR="005113D5" w:rsidRDefault="005113D5" w:rsidP="005113D5">
      <w:pPr>
        <w:pStyle w:val="CommentText"/>
        <w:rPr>
          <w:rFonts w:eastAsia="Calibri"/>
          <w:b/>
          <w:sz w:val="22"/>
          <w:szCs w:val="22"/>
          <w:lang w:eastAsia="sv-SE"/>
        </w:rPr>
      </w:pPr>
      <w:r w:rsidRPr="001F203C">
        <w:rPr>
          <w:rFonts w:eastAsia="Calibri"/>
          <w:b/>
          <w:sz w:val="22"/>
          <w:szCs w:val="22"/>
          <w:lang w:eastAsia="sv-SE"/>
        </w:rPr>
        <w:t xml:space="preserve">Observation </w:t>
      </w:r>
      <w:r>
        <w:rPr>
          <w:rFonts w:eastAsia="Calibri"/>
          <w:b/>
          <w:sz w:val="22"/>
          <w:szCs w:val="22"/>
          <w:lang w:eastAsia="sv-SE"/>
        </w:rPr>
        <w:t>4</w:t>
      </w:r>
      <w:r w:rsidRPr="001F203C">
        <w:rPr>
          <w:rFonts w:eastAsia="Calibri"/>
          <w:b/>
          <w:sz w:val="22"/>
          <w:szCs w:val="22"/>
          <w:lang w:eastAsia="sv-SE"/>
        </w:rPr>
        <w:t>:</w:t>
      </w:r>
      <w:r>
        <w:rPr>
          <w:rFonts w:eastAsia="Calibri"/>
          <w:b/>
          <w:sz w:val="22"/>
          <w:szCs w:val="22"/>
          <w:lang w:eastAsia="sv-SE"/>
        </w:rPr>
        <w:tab/>
      </w:r>
      <w:r w:rsidR="0079599D">
        <w:rPr>
          <w:rFonts w:eastAsia="Calibri"/>
          <w:b/>
          <w:sz w:val="22"/>
          <w:szCs w:val="22"/>
          <w:lang w:eastAsia="sv-SE"/>
        </w:rPr>
        <w:t>For NR, t</w:t>
      </w:r>
      <w:r>
        <w:rPr>
          <w:rFonts w:eastAsia="Calibri"/>
          <w:b/>
          <w:sz w:val="22"/>
          <w:szCs w:val="22"/>
          <w:lang w:eastAsia="sv-SE"/>
        </w:rPr>
        <w:t xml:space="preserve">he peak </w:t>
      </w:r>
      <w:r w:rsidR="00EF03C9">
        <w:rPr>
          <w:rFonts w:eastAsia="Calibri"/>
          <w:b/>
          <w:sz w:val="22"/>
          <w:szCs w:val="22"/>
          <w:lang w:eastAsia="sv-SE"/>
        </w:rPr>
        <w:t xml:space="preserve">spectral </w:t>
      </w:r>
      <w:r>
        <w:rPr>
          <w:rFonts w:eastAsia="Calibri"/>
          <w:b/>
          <w:sz w:val="22"/>
          <w:szCs w:val="22"/>
          <w:lang w:eastAsia="sv-SE"/>
        </w:rPr>
        <w:t xml:space="preserve">efficiency </w:t>
      </w:r>
      <w:r w:rsidR="0079599D">
        <w:rPr>
          <w:rFonts w:eastAsia="Calibri"/>
          <w:b/>
          <w:sz w:val="22"/>
          <w:szCs w:val="22"/>
          <w:lang w:eastAsia="sv-SE"/>
        </w:rPr>
        <w:t>is primarily impacted by the</w:t>
      </w:r>
      <w:r>
        <w:rPr>
          <w:rFonts w:eastAsia="Calibri"/>
          <w:b/>
          <w:sz w:val="22"/>
          <w:szCs w:val="22"/>
          <w:lang w:eastAsia="sv-SE"/>
        </w:rPr>
        <w:t xml:space="preserve"> cyclic prefix, reference signal overhead, spectrum guard band, control channel overhead and channel coding, in a descending order.</w:t>
      </w:r>
    </w:p>
    <w:p w:rsidR="00E87B19" w:rsidRPr="00E87B19" w:rsidRDefault="00E87B19" w:rsidP="005113D5">
      <w:pPr>
        <w:pStyle w:val="CommentText"/>
        <w:rPr>
          <w:rFonts w:eastAsia="Calibri"/>
          <w:sz w:val="22"/>
          <w:szCs w:val="22"/>
          <w:lang w:eastAsia="sv-SE"/>
        </w:rPr>
      </w:pPr>
      <w:r>
        <w:rPr>
          <w:rFonts w:eastAsia="Calibri"/>
          <w:sz w:val="22"/>
          <w:szCs w:val="22"/>
          <w:lang w:eastAsia="sv-SE"/>
        </w:rPr>
        <w:t xml:space="preserve">This leads to the identification techniques according to the following proposal. </w:t>
      </w:r>
    </w:p>
    <w:p w:rsidR="005113D5" w:rsidRDefault="005113D5" w:rsidP="005113D5">
      <w:pPr>
        <w:pStyle w:val="CommentText"/>
        <w:rPr>
          <w:rFonts w:eastAsia="Calibri"/>
          <w:b/>
          <w:sz w:val="22"/>
          <w:szCs w:val="22"/>
          <w:lang w:eastAsia="sv-SE"/>
        </w:rPr>
      </w:pPr>
      <w:r>
        <w:rPr>
          <w:rFonts w:eastAsia="Calibri"/>
          <w:b/>
          <w:sz w:val="22"/>
          <w:szCs w:val="22"/>
          <w:lang w:eastAsia="sv-SE"/>
        </w:rPr>
        <w:t>Proposal: The following techniques should be studied:</w:t>
      </w:r>
    </w:p>
    <w:p w:rsidR="009D1EC2" w:rsidRDefault="005744CF">
      <w:pPr>
        <w:pStyle w:val="CommentText"/>
        <w:numPr>
          <w:ilvl w:val="0"/>
          <w:numId w:val="35"/>
        </w:numPr>
        <w:rPr>
          <w:rFonts w:eastAsia="Calibri"/>
          <w:b/>
          <w:sz w:val="22"/>
          <w:szCs w:val="22"/>
          <w:lang w:eastAsia="sv-SE"/>
        </w:rPr>
      </w:pPr>
      <w:r w:rsidRPr="005744CF">
        <w:rPr>
          <w:rFonts w:eastAsia="Calibri"/>
          <w:b/>
          <w:sz w:val="22"/>
          <w:szCs w:val="22"/>
          <w:lang w:eastAsia="sv-SE"/>
        </w:rPr>
        <w:t>Numerology without  significant</w:t>
      </w:r>
      <w:r>
        <w:rPr>
          <w:rFonts w:eastAsia="Calibri"/>
          <w:b/>
          <w:sz w:val="22"/>
          <w:szCs w:val="22"/>
          <w:lang w:eastAsia="sv-SE"/>
        </w:rPr>
        <w:t xml:space="preserve"> </w:t>
      </w:r>
      <w:r w:rsidRPr="005744CF">
        <w:rPr>
          <w:rFonts w:eastAsia="Calibri"/>
          <w:b/>
          <w:sz w:val="22"/>
          <w:szCs w:val="22"/>
          <w:lang w:eastAsia="sv-SE"/>
        </w:rPr>
        <w:t>cyclic prefix overhead</w:t>
      </w:r>
    </w:p>
    <w:p w:rsidR="00082550" w:rsidRDefault="00BA5734">
      <w:pPr>
        <w:pStyle w:val="CommentText"/>
        <w:numPr>
          <w:ilvl w:val="0"/>
          <w:numId w:val="35"/>
        </w:numPr>
        <w:rPr>
          <w:rFonts w:eastAsia="Calibri"/>
          <w:b/>
          <w:sz w:val="22"/>
          <w:szCs w:val="22"/>
          <w:lang w:eastAsia="sv-SE"/>
        </w:rPr>
      </w:pPr>
      <w:r>
        <w:rPr>
          <w:rFonts w:eastAsia="Calibri"/>
          <w:b/>
          <w:sz w:val="22"/>
          <w:szCs w:val="22"/>
          <w:lang w:eastAsia="sv-SE"/>
        </w:rPr>
        <w:lastRenderedPageBreak/>
        <w:t>Spectral localization</w:t>
      </w:r>
      <w:r w:rsidR="00ED6455">
        <w:rPr>
          <w:rFonts w:eastAsia="Calibri"/>
          <w:b/>
          <w:sz w:val="22"/>
          <w:szCs w:val="22"/>
          <w:lang w:eastAsia="sv-SE"/>
        </w:rPr>
        <w:t xml:space="preserve"> in order to reduce the guard band</w:t>
      </w:r>
    </w:p>
    <w:p w:rsidR="00082550" w:rsidRDefault="00ED6455">
      <w:pPr>
        <w:pStyle w:val="CommentText"/>
        <w:numPr>
          <w:ilvl w:val="0"/>
          <w:numId w:val="35"/>
        </w:numPr>
        <w:rPr>
          <w:rFonts w:eastAsia="Calibri"/>
          <w:b/>
          <w:sz w:val="22"/>
          <w:szCs w:val="22"/>
          <w:lang w:eastAsia="sv-SE"/>
        </w:rPr>
      </w:pPr>
      <w:r w:rsidRPr="005A7532">
        <w:rPr>
          <w:rFonts w:eastAsia="Calibri"/>
          <w:b/>
          <w:sz w:val="22"/>
          <w:szCs w:val="22"/>
          <w:lang w:eastAsia="sv-SE"/>
        </w:rPr>
        <w:t xml:space="preserve">Massive MIMO </w:t>
      </w:r>
      <w:r w:rsidR="00F63048" w:rsidRPr="005A7532">
        <w:rPr>
          <w:rFonts w:eastAsia="Calibri"/>
          <w:b/>
          <w:sz w:val="22"/>
          <w:szCs w:val="22"/>
          <w:lang w:eastAsia="sv-SE"/>
        </w:rPr>
        <w:t>in order to</w:t>
      </w:r>
      <w:r w:rsidR="00B257DA" w:rsidRPr="005A7532">
        <w:rPr>
          <w:rFonts w:eastAsia="Calibri"/>
          <w:b/>
          <w:sz w:val="22"/>
          <w:szCs w:val="22"/>
          <w:lang w:eastAsia="sv-SE"/>
        </w:rPr>
        <w:t xml:space="preserve"> reduce</w:t>
      </w:r>
      <w:r w:rsidR="00B257DA">
        <w:rPr>
          <w:rFonts w:eastAsia="Calibri"/>
          <w:b/>
          <w:sz w:val="22"/>
          <w:szCs w:val="22"/>
          <w:lang w:eastAsia="sv-SE"/>
        </w:rPr>
        <w:t xml:space="preserve"> cyclic prefix length and the channel coding overhead</w:t>
      </w:r>
    </w:p>
    <w:p w:rsidR="00082550" w:rsidRDefault="00ED6455">
      <w:pPr>
        <w:pStyle w:val="CommentText"/>
        <w:numPr>
          <w:ilvl w:val="0"/>
          <w:numId w:val="35"/>
        </w:numPr>
        <w:rPr>
          <w:rFonts w:eastAsia="Calibri"/>
          <w:b/>
          <w:sz w:val="22"/>
          <w:szCs w:val="22"/>
          <w:lang w:eastAsia="sv-SE"/>
        </w:rPr>
      </w:pPr>
      <w:r>
        <w:rPr>
          <w:rFonts w:eastAsia="Calibri"/>
          <w:b/>
          <w:sz w:val="22"/>
          <w:szCs w:val="22"/>
          <w:lang w:eastAsia="sv-SE"/>
        </w:rPr>
        <w:t xml:space="preserve">Overloaded Multiple </w:t>
      </w:r>
      <w:proofErr w:type="gramStart"/>
      <w:r>
        <w:rPr>
          <w:rFonts w:eastAsia="Calibri"/>
          <w:b/>
          <w:sz w:val="22"/>
          <w:szCs w:val="22"/>
          <w:lang w:eastAsia="sv-SE"/>
        </w:rPr>
        <w:t>Access</w:t>
      </w:r>
      <w:proofErr w:type="gramEnd"/>
      <w:r>
        <w:rPr>
          <w:rFonts w:eastAsia="Calibri"/>
          <w:b/>
          <w:sz w:val="22"/>
          <w:szCs w:val="22"/>
          <w:lang w:eastAsia="sv-SE"/>
        </w:rPr>
        <w:t xml:space="preserve"> </w:t>
      </w:r>
      <w:r w:rsidR="00F63048" w:rsidRPr="005A7532">
        <w:rPr>
          <w:rFonts w:eastAsia="Calibri"/>
          <w:b/>
          <w:sz w:val="22"/>
          <w:szCs w:val="22"/>
          <w:lang w:eastAsia="sv-SE"/>
        </w:rPr>
        <w:t>for</w:t>
      </w:r>
      <w:r w:rsidR="00FE7AD8" w:rsidRPr="005A7532">
        <w:rPr>
          <w:rFonts w:eastAsia="Calibri"/>
          <w:b/>
          <w:sz w:val="22"/>
          <w:szCs w:val="22"/>
          <w:lang w:eastAsia="sv-SE"/>
        </w:rPr>
        <w:t xml:space="preserve"> </w:t>
      </w:r>
      <w:r w:rsidR="00645984" w:rsidRPr="005A7532">
        <w:rPr>
          <w:rFonts w:eastAsia="Calibri"/>
          <w:b/>
          <w:sz w:val="22"/>
          <w:szCs w:val="22"/>
          <w:lang w:eastAsia="sv-SE"/>
        </w:rPr>
        <w:t>co-scheduling</w:t>
      </w:r>
      <w:r w:rsidR="00645984">
        <w:rPr>
          <w:rFonts w:eastAsia="Calibri"/>
          <w:b/>
          <w:sz w:val="22"/>
          <w:szCs w:val="22"/>
          <w:lang w:eastAsia="sv-SE"/>
        </w:rPr>
        <w:t xml:space="preserve"> several user</w:t>
      </w:r>
      <w:r w:rsidR="00EF03C9">
        <w:rPr>
          <w:rFonts w:eastAsia="Calibri"/>
          <w:b/>
          <w:sz w:val="22"/>
          <w:szCs w:val="22"/>
          <w:lang w:eastAsia="sv-SE"/>
        </w:rPr>
        <w:t>s</w:t>
      </w:r>
      <w:r w:rsidR="00645984">
        <w:rPr>
          <w:rFonts w:eastAsia="Calibri"/>
          <w:b/>
          <w:sz w:val="22"/>
          <w:szCs w:val="22"/>
          <w:lang w:eastAsia="sv-SE"/>
        </w:rPr>
        <w:t xml:space="preserve"> in the same channel resource, making efficient use of high SNRs while featuring limited demodulation/decoding complexity and flexible MCS selection.</w:t>
      </w:r>
    </w:p>
    <w:p w:rsidR="00082550" w:rsidRDefault="00586F38">
      <w:pPr>
        <w:pStyle w:val="CommentText"/>
        <w:numPr>
          <w:ilvl w:val="0"/>
          <w:numId w:val="35"/>
        </w:numPr>
        <w:rPr>
          <w:rFonts w:eastAsia="Calibri"/>
          <w:b/>
          <w:sz w:val="22"/>
          <w:szCs w:val="22"/>
          <w:lang w:eastAsia="sv-SE"/>
        </w:rPr>
      </w:pPr>
      <w:r>
        <w:rPr>
          <w:rFonts w:eastAsia="Calibri"/>
          <w:b/>
          <w:sz w:val="22"/>
          <w:szCs w:val="22"/>
          <w:lang w:eastAsia="sv-SE"/>
        </w:rPr>
        <w:t xml:space="preserve">Techniques </w:t>
      </w:r>
      <w:r w:rsidR="00D643CF">
        <w:rPr>
          <w:rFonts w:eastAsia="Calibri"/>
          <w:b/>
          <w:sz w:val="22"/>
          <w:szCs w:val="22"/>
          <w:lang w:eastAsia="sv-SE"/>
        </w:rPr>
        <w:t xml:space="preserve">for </w:t>
      </w:r>
      <w:r w:rsidR="001E5B71">
        <w:rPr>
          <w:rFonts w:eastAsia="Calibri"/>
          <w:b/>
          <w:sz w:val="22"/>
          <w:szCs w:val="22"/>
          <w:lang w:eastAsia="sv-SE"/>
        </w:rPr>
        <w:t>reducing</w:t>
      </w:r>
      <w:r w:rsidR="00E12D20">
        <w:rPr>
          <w:rFonts w:eastAsia="Calibri"/>
          <w:b/>
          <w:sz w:val="22"/>
          <w:szCs w:val="22"/>
          <w:lang w:eastAsia="sv-SE"/>
        </w:rPr>
        <w:t xml:space="preserve"> control channel </w:t>
      </w:r>
      <w:r w:rsidR="00EF7F7C">
        <w:rPr>
          <w:rFonts w:eastAsia="Calibri"/>
          <w:b/>
          <w:sz w:val="22"/>
          <w:szCs w:val="22"/>
          <w:lang w:eastAsia="sv-SE"/>
        </w:rPr>
        <w:t>overhead</w:t>
      </w:r>
    </w:p>
    <w:p w:rsidR="00082550" w:rsidRDefault="00082550">
      <w:pPr>
        <w:pStyle w:val="CommentText"/>
        <w:ind w:left="360"/>
        <w:rPr>
          <w:rFonts w:eastAsia="Calibri"/>
          <w:b/>
          <w:sz w:val="22"/>
          <w:szCs w:val="22"/>
          <w:lang w:eastAsia="sv-SE"/>
        </w:rPr>
      </w:pPr>
    </w:p>
    <w:bookmarkEnd w:id="0"/>
    <w:p w:rsidR="00F806B2" w:rsidRPr="005A7532" w:rsidRDefault="00F806B2" w:rsidP="00F806B2">
      <w:pPr>
        <w:pStyle w:val="Heading1"/>
        <w:numPr>
          <w:ilvl w:val="0"/>
          <w:numId w:val="0"/>
        </w:numPr>
        <w:spacing w:before="240"/>
      </w:pPr>
      <w:r w:rsidRPr="005A7532">
        <w:t>References</w:t>
      </w:r>
    </w:p>
    <w:p w:rsidR="00D44F30" w:rsidRPr="005A7532" w:rsidRDefault="00F63048" w:rsidP="00D44F30">
      <w:pPr>
        <w:numPr>
          <w:ilvl w:val="0"/>
          <w:numId w:val="1"/>
        </w:numPr>
        <w:rPr>
          <w:sz w:val="20"/>
          <w:szCs w:val="20"/>
        </w:rPr>
      </w:pPr>
      <w:bookmarkStart w:id="2" w:name="_Ref445803258"/>
      <w:r w:rsidRPr="005A7532">
        <w:rPr>
          <w:sz w:val="20"/>
          <w:szCs w:val="20"/>
        </w:rPr>
        <w:t>3GPP TR 38.913 v0.2.0</w:t>
      </w:r>
      <w:bookmarkEnd w:id="2"/>
      <w:r w:rsidR="005A7532">
        <w:rPr>
          <w:sz w:val="20"/>
          <w:szCs w:val="20"/>
        </w:rPr>
        <w:t xml:space="preserve">, Study on </w:t>
      </w:r>
      <w:r w:rsidR="00EF03C9">
        <w:rPr>
          <w:sz w:val="20"/>
          <w:szCs w:val="20"/>
        </w:rPr>
        <w:t xml:space="preserve">scenarios </w:t>
      </w:r>
      <w:r w:rsidR="005A7532">
        <w:rPr>
          <w:sz w:val="20"/>
          <w:szCs w:val="20"/>
        </w:rPr>
        <w:t>for and requirements for next generation access technologies</w:t>
      </w:r>
    </w:p>
    <w:p w:rsidR="00E8494F" w:rsidRPr="005A7532" w:rsidRDefault="00E8494F" w:rsidP="00E8494F">
      <w:pPr>
        <w:pStyle w:val="ListParagraph"/>
        <w:numPr>
          <w:ilvl w:val="0"/>
          <w:numId w:val="1"/>
        </w:numPr>
        <w:rPr>
          <w:sz w:val="18"/>
          <w:szCs w:val="20"/>
        </w:rPr>
      </w:pPr>
      <w:r w:rsidRPr="005A7532">
        <w:rPr>
          <w:noProof/>
          <w:sz w:val="20"/>
        </w:rPr>
        <w:t xml:space="preserve">X. Huang, J. A. Zhang and Y. J. Guo, "Out-of-band emission reduction and a unified framework for precoded OFDM," </w:t>
      </w:r>
      <w:r w:rsidRPr="005A7532">
        <w:rPr>
          <w:i/>
          <w:iCs/>
          <w:noProof/>
          <w:sz w:val="20"/>
        </w:rPr>
        <w:t xml:space="preserve">IEEE Commun. Mag., </w:t>
      </w:r>
      <w:r w:rsidRPr="005A7532">
        <w:rPr>
          <w:noProof/>
          <w:sz w:val="20"/>
        </w:rPr>
        <w:t>vol. 53, no. 6, pp. 151-159, Jun. 2015.</w:t>
      </w:r>
    </w:p>
    <w:p w:rsidR="00AF1BAD" w:rsidRDefault="00B2062A">
      <w:pPr>
        <w:pStyle w:val="References"/>
        <w:numPr>
          <w:ilvl w:val="0"/>
          <w:numId w:val="1"/>
        </w:numPr>
        <w:spacing w:after="60"/>
      </w:pPr>
      <w:bookmarkStart w:id="3" w:name="_Ref446430450"/>
      <w:r w:rsidRPr="00135595">
        <w:rPr>
          <w:rFonts w:cs="Calibri"/>
          <w:noProof/>
          <w:sz w:val="20"/>
          <w:szCs w:val="22"/>
          <w:lang w:eastAsia="zh-CN"/>
        </w:rPr>
        <w:t>Abdoli, J., Ming Jia, Jianglei Ma, “Filtered-OFDM: A new waveform for future wireless systems”, IEEE International Workshop on Signal Processing Advances in Wireless Communications, 2015</w:t>
      </w:r>
      <w:bookmarkEnd w:id="3"/>
    </w:p>
    <w:sectPr w:rsidR="00AF1BAD" w:rsidSect="00DA1C31">
      <w:headerReference w:type="default" r:id="rId8"/>
      <w:footerReference w:type="default" r:id="rId9"/>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DB3079" w15:done="0"/>
  <w15:commentEx w15:paraId="3EDF65CD" w15:done="0"/>
  <w15:commentEx w15:paraId="37584AA0" w15:done="0"/>
  <w15:commentEx w15:paraId="1908B4C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2E7" w:rsidRDefault="004F02E7">
      <w:r>
        <w:separator/>
      </w:r>
    </w:p>
  </w:endnote>
  <w:endnote w:type="continuationSeparator" w:id="0">
    <w:p w:rsidR="004F02E7" w:rsidRDefault="004F02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宋体">
    <w:altName w:val="SimSun"/>
    <w:charset w:val="50"/>
    <w:family w:val="auto"/>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86E" w:rsidRDefault="0068486E">
    <w:pPr>
      <w:pStyle w:val="Footer"/>
    </w:pPr>
  </w:p>
  <w:p w:rsidR="0068486E" w:rsidRDefault="006848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2E7" w:rsidRDefault="004F02E7">
      <w:r>
        <w:separator/>
      </w:r>
    </w:p>
  </w:footnote>
  <w:footnote w:type="continuationSeparator" w:id="0">
    <w:p w:rsidR="004F02E7" w:rsidRDefault="004F02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86E" w:rsidRDefault="0068486E">
    <w:pPr>
      <w:pStyle w:val="Header"/>
    </w:pPr>
  </w:p>
  <w:p w:rsidR="0068486E" w:rsidRDefault="0068486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2351"/>
    <w:multiLevelType w:val="hybridMultilevel"/>
    <w:tmpl w:val="DAF44954"/>
    <w:lvl w:ilvl="0" w:tplc="CD524D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9359A8"/>
    <w:multiLevelType w:val="hybridMultilevel"/>
    <w:tmpl w:val="84CA9E98"/>
    <w:lvl w:ilvl="0" w:tplc="17C8AD62">
      <w:start w:val="26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063527"/>
    <w:multiLevelType w:val="hybridMultilevel"/>
    <w:tmpl w:val="2CE24C80"/>
    <w:lvl w:ilvl="0" w:tplc="B73AB4C0">
      <w:start w:val="1514"/>
      <w:numFmt w:val="bullet"/>
      <w:lvlText w:val="•"/>
      <w:lvlJc w:val="left"/>
      <w:pPr>
        <w:ind w:left="845" w:hanging="420"/>
      </w:pPr>
      <w:rPr>
        <w:rFonts w:ascii="SimSun" w:hAnsi="SimSun" w:hint="default"/>
      </w:rPr>
    </w:lvl>
    <w:lvl w:ilvl="1" w:tplc="327E95C2">
      <w:start w:val="8"/>
      <w:numFmt w:val="bullet"/>
      <w:lvlText w:val="-"/>
      <w:lvlJc w:val="left"/>
      <w:pPr>
        <w:ind w:left="1265" w:hanging="420"/>
      </w:pPr>
      <w:rPr>
        <w:rFonts w:ascii="Times New Roman" w:eastAsia="Times New Roman" w:hAnsi="Times New Roman" w:cs="Times New Roman" w:hint="default"/>
      </w:rPr>
    </w:lvl>
    <w:lvl w:ilvl="2" w:tplc="B73AB4C0">
      <w:start w:val="1514"/>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4">
    <w:nsid w:val="1DD76FE6"/>
    <w:multiLevelType w:val="hybridMultilevel"/>
    <w:tmpl w:val="1644B11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D93BFA"/>
    <w:multiLevelType w:val="hybridMultilevel"/>
    <w:tmpl w:val="B256FE62"/>
    <w:lvl w:ilvl="0" w:tplc="50761AF4">
      <w:start w:val="1"/>
      <w:numFmt w:val="decimal"/>
      <w:lvlText w:val="%1.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D5376D"/>
    <w:multiLevelType w:val="hybridMultilevel"/>
    <w:tmpl w:val="0F00CA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329E1EF7"/>
    <w:multiLevelType w:val="hybridMultilevel"/>
    <w:tmpl w:val="4A4EEC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3B557C1"/>
    <w:multiLevelType w:val="multilevel"/>
    <w:tmpl w:val="4A945F4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5451ECE"/>
    <w:multiLevelType w:val="hybridMultilevel"/>
    <w:tmpl w:val="D2C098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837E30"/>
    <w:multiLevelType w:val="hybridMultilevel"/>
    <w:tmpl w:val="866C6020"/>
    <w:lvl w:ilvl="0" w:tplc="02048F94">
      <w:start w:val="1"/>
      <w:numFmt w:val="bullet"/>
      <w:lvlText w:val="•"/>
      <w:lvlJc w:val="left"/>
      <w:pPr>
        <w:tabs>
          <w:tab w:val="num" w:pos="720"/>
        </w:tabs>
        <w:ind w:left="720" w:hanging="360"/>
      </w:pPr>
      <w:rPr>
        <w:rFonts w:ascii="Arial" w:hAnsi="Arial" w:hint="default"/>
      </w:rPr>
    </w:lvl>
    <w:lvl w:ilvl="1" w:tplc="821CD3F4">
      <w:start w:val="1"/>
      <w:numFmt w:val="bullet"/>
      <w:lvlText w:val="•"/>
      <w:lvlJc w:val="left"/>
      <w:pPr>
        <w:tabs>
          <w:tab w:val="num" w:pos="1440"/>
        </w:tabs>
        <w:ind w:left="1440" w:hanging="360"/>
      </w:pPr>
      <w:rPr>
        <w:rFonts w:ascii="Arial" w:hAnsi="Arial" w:hint="default"/>
      </w:rPr>
    </w:lvl>
    <w:lvl w:ilvl="2" w:tplc="E32E176E">
      <w:start w:val="6119"/>
      <w:numFmt w:val="bullet"/>
      <w:lvlText w:val="•"/>
      <w:lvlJc w:val="left"/>
      <w:pPr>
        <w:tabs>
          <w:tab w:val="num" w:pos="2160"/>
        </w:tabs>
        <w:ind w:left="2160" w:hanging="360"/>
      </w:pPr>
      <w:rPr>
        <w:rFonts w:ascii="Arial" w:hAnsi="Arial" w:hint="default"/>
      </w:rPr>
    </w:lvl>
    <w:lvl w:ilvl="3" w:tplc="5598FDA4">
      <w:start w:val="6119"/>
      <w:numFmt w:val="bullet"/>
      <w:lvlText w:val="–"/>
      <w:lvlJc w:val="left"/>
      <w:pPr>
        <w:tabs>
          <w:tab w:val="num" w:pos="2880"/>
        </w:tabs>
        <w:ind w:left="2880" w:hanging="360"/>
      </w:pPr>
      <w:rPr>
        <w:rFonts w:ascii="Arial" w:hAnsi="Arial" w:hint="default"/>
      </w:rPr>
    </w:lvl>
    <w:lvl w:ilvl="4" w:tplc="00C2592A">
      <w:start w:val="6119"/>
      <w:numFmt w:val="bullet"/>
      <w:lvlText w:val="»"/>
      <w:lvlJc w:val="left"/>
      <w:pPr>
        <w:tabs>
          <w:tab w:val="num" w:pos="3600"/>
        </w:tabs>
        <w:ind w:left="3600" w:hanging="360"/>
      </w:pPr>
      <w:rPr>
        <w:rFonts w:ascii="Arial" w:hAnsi="Arial" w:hint="default"/>
      </w:rPr>
    </w:lvl>
    <w:lvl w:ilvl="5" w:tplc="07ACBE78" w:tentative="1">
      <w:start w:val="1"/>
      <w:numFmt w:val="bullet"/>
      <w:lvlText w:val="•"/>
      <w:lvlJc w:val="left"/>
      <w:pPr>
        <w:tabs>
          <w:tab w:val="num" w:pos="4320"/>
        </w:tabs>
        <w:ind w:left="4320" w:hanging="360"/>
      </w:pPr>
      <w:rPr>
        <w:rFonts w:ascii="Arial" w:hAnsi="Arial" w:hint="default"/>
      </w:rPr>
    </w:lvl>
    <w:lvl w:ilvl="6" w:tplc="8A509938" w:tentative="1">
      <w:start w:val="1"/>
      <w:numFmt w:val="bullet"/>
      <w:lvlText w:val="•"/>
      <w:lvlJc w:val="left"/>
      <w:pPr>
        <w:tabs>
          <w:tab w:val="num" w:pos="5040"/>
        </w:tabs>
        <w:ind w:left="5040" w:hanging="360"/>
      </w:pPr>
      <w:rPr>
        <w:rFonts w:ascii="Arial" w:hAnsi="Arial" w:hint="default"/>
      </w:rPr>
    </w:lvl>
    <w:lvl w:ilvl="7" w:tplc="A6D81E8A" w:tentative="1">
      <w:start w:val="1"/>
      <w:numFmt w:val="bullet"/>
      <w:lvlText w:val="•"/>
      <w:lvlJc w:val="left"/>
      <w:pPr>
        <w:tabs>
          <w:tab w:val="num" w:pos="5760"/>
        </w:tabs>
        <w:ind w:left="5760" w:hanging="360"/>
      </w:pPr>
      <w:rPr>
        <w:rFonts w:ascii="Arial" w:hAnsi="Arial" w:hint="default"/>
      </w:rPr>
    </w:lvl>
    <w:lvl w:ilvl="8" w:tplc="F0C44C04" w:tentative="1">
      <w:start w:val="1"/>
      <w:numFmt w:val="bullet"/>
      <w:lvlText w:val="•"/>
      <w:lvlJc w:val="left"/>
      <w:pPr>
        <w:tabs>
          <w:tab w:val="num" w:pos="6480"/>
        </w:tabs>
        <w:ind w:left="6480" w:hanging="360"/>
      </w:pPr>
      <w:rPr>
        <w:rFonts w:ascii="Arial" w:hAnsi="Arial" w:hint="default"/>
      </w:rPr>
    </w:lvl>
  </w:abstractNum>
  <w:abstractNum w:abstractNumId="13">
    <w:nsid w:val="4B6C4424"/>
    <w:multiLevelType w:val="hybridMultilevel"/>
    <w:tmpl w:val="E380296C"/>
    <w:lvl w:ilvl="0" w:tplc="DBDAE0F6">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DD51CC2"/>
    <w:multiLevelType w:val="hybridMultilevel"/>
    <w:tmpl w:val="EFAACD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16">
    <w:nsid w:val="5879633C"/>
    <w:multiLevelType w:val="hybridMultilevel"/>
    <w:tmpl w:val="6E4CD08E"/>
    <w:lvl w:ilvl="0" w:tplc="7E7A7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B214251"/>
    <w:multiLevelType w:val="hybridMultilevel"/>
    <w:tmpl w:val="C09E0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E953BE"/>
    <w:multiLevelType w:val="hybridMultilevel"/>
    <w:tmpl w:val="AC4418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A2F4C2C"/>
    <w:multiLevelType w:val="hybridMultilevel"/>
    <w:tmpl w:val="0F3AA9F4"/>
    <w:lvl w:ilvl="0" w:tplc="A73C1FA2">
      <w:start w:val="1"/>
      <w:numFmt w:val="bullet"/>
      <w:lvlText w:val="•"/>
      <w:lvlJc w:val="left"/>
      <w:pPr>
        <w:tabs>
          <w:tab w:val="num" w:pos="720"/>
        </w:tabs>
        <w:ind w:left="720" w:hanging="360"/>
      </w:pPr>
      <w:rPr>
        <w:rFonts w:ascii="Arial" w:hAnsi="Arial" w:hint="default"/>
      </w:rPr>
    </w:lvl>
    <w:lvl w:ilvl="1" w:tplc="EBE0754E">
      <w:start w:val="3868"/>
      <w:numFmt w:val="bullet"/>
      <w:lvlText w:val="–"/>
      <w:lvlJc w:val="left"/>
      <w:pPr>
        <w:tabs>
          <w:tab w:val="num" w:pos="1440"/>
        </w:tabs>
        <w:ind w:left="1440" w:hanging="360"/>
      </w:pPr>
      <w:rPr>
        <w:rFonts w:ascii="Arial" w:hAnsi="Arial" w:hint="default"/>
      </w:rPr>
    </w:lvl>
    <w:lvl w:ilvl="2" w:tplc="ADECDEBC">
      <w:start w:val="3868"/>
      <w:numFmt w:val="bullet"/>
      <w:lvlText w:val="•"/>
      <w:lvlJc w:val="left"/>
      <w:pPr>
        <w:tabs>
          <w:tab w:val="num" w:pos="2160"/>
        </w:tabs>
        <w:ind w:left="2160" w:hanging="360"/>
      </w:pPr>
      <w:rPr>
        <w:rFonts w:ascii="Arial" w:hAnsi="Arial" w:hint="default"/>
      </w:rPr>
    </w:lvl>
    <w:lvl w:ilvl="3" w:tplc="71901794" w:tentative="1">
      <w:start w:val="1"/>
      <w:numFmt w:val="bullet"/>
      <w:lvlText w:val="•"/>
      <w:lvlJc w:val="left"/>
      <w:pPr>
        <w:tabs>
          <w:tab w:val="num" w:pos="2880"/>
        </w:tabs>
        <w:ind w:left="2880" w:hanging="360"/>
      </w:pPr>
      <w:rPr>
        <w:rFonts w:ascii="Arial" w:hAnsi="Arial" w:hint="default"/>
      </w:rPr>
    </w:lvl>
    <w:lvl w:ilvl="4" w:tplc="E8CED55E" w:tentative="1">
      <w:start w:val="1"/>
      <w:numFmt w:val="bullet"/>
      <w:lvlText w:val="•"/>
      <w:lvlJc w:val="left"/>
      <w:pPr>
        <w:tabs>
          <w:tab w:val="num" w:pos="3600"/>
        </w:tabs>
        <w:ind w:left="3600" w:hanging="360"/>
      </w:pPr>
      <w:rPr>
        <w:rFonts w:ascii="Arial" w:hAnsi="Arial" w:hint="default"/>
      </w:rPr>
    </w:lvl>
    <w:lvl w:ilvl="5" w:tplc="F134E3A6" w:tentative="1">
      <w:start w:val="1"/>
      <w:numFmt w:val="bullet"/>
      <w:lvlText w:val="•"/>
      <w:lvlJc w:val="left"/>
      <w:pPr>
        <w:tabs>
          <w:tab w:val="num" w:pos="4320"/>
        </w:tabs>
        <w:ind w:left="4320" w:hanging="360"/>
      </w:pPr>
      <w:rPr>
        <w:rFonts w:ascii="Arial" w:hAnsi="Arial" w:hint="default"/>
      </w:rPr>
    </w:lvl>
    <w:lvl w:ilvl="6" w:tplc="1206B500" w:tentative="1">
      <w:start w:val="1"/>
      <w:numFmt w:val="bullet"/>
      <w:lvlText w:val="•"/>
      <w:lvlJc w:val="left"/>
      <w:pPr>
        <w:tabs>
          <w:tab w:val="num" w:pos="5040"/>
        </w:tabs>
        <w:ind w:left="5040" w:hanging="360"/>
      </w:pPr>
      <w:rPr>
        <w:rFonts w:ascii="Arial" w:hAnsi="Arial" w:hint="default"/>
      </w:rPr>
    </w:lvl>
    <w:lvl w:ilvl="7" w:tplc="44B2EA8A" w:tentative="1">
      <w:start w:val="1"/>
      <w:numFmt w:val="bullet"/>
      <w:lvlText w:val="•"/>
      <w:lvlJc w:val="left"/>
      <w:pPr>
        <w:tabs>
          <w:tab w:val="num" w:pos="5760"/>
        </w:tabs>
        <w:ind w:left="5760" w:hanging="360"/>
      </w:pPr>
      <w:rPr>
        <w:rFonts w:ascii="Arial" w:hAnsi="Arial" w:hint="default"/>
      </w:rPr>
    </w:lvl>
    <w:lvl w:ilvl="8" w:tplc="6DDA9DEA" w:tentative="1">
      <w:start w:val="1"/>
      <w:numFmt w:val="bullet"/>
      <w:lvlText w:val="•"/>
      <w:lvlJc w:val="left"/>
      <w:pPr>
        <w:tabs>
          <w:tab w:val="num" w:pos="6480"/>
        </w:tabs>
        <w:ind w:left="6480" w:hanging="360"/>
      </w:pPr>
      <w:rPr>
        <w:rFonts w:ascii="Arial" w:hAnsi="Arial" w:hint="default"/>
      </w:rPr>
    </w:lvl>
  </w:abstractNum>
  <w:abstractNum w:abstractNumId="20">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21">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22"/>
  </w:num>
  <w:num w:numId="4">
    <w:abstractNumId w:val="5"/>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3"/>
  </w:num>
  <w:num w:numId="15">
    <w:abstractNumId w:val="8"/>
  </w:num>
  <w:num w:numId="16">
    <w:abstractNumId w:val="0"/>
  </w:num>
  <w:num w:numId="17">
    <w:abstractNumId w:val="13"/>
  </w:num>
  <w:num w:numId="18">
    <w:abstractNumId w:val="8"/>
  </w:num>
  <w:num w:numId="19">
    <w:abstractNumId w:val="8"/>
  </w:num>
  <w:num w:numId="20">
    <w:abstractNumId w:val="8"/>
  </w:num>
  <w:num w:numId="21">
    <w:abstractNumId w:val="4"/>
  </w:num>
  <w:num w:numId="22">
    <w:abstractNumId w:val="2"/>
  </w:num>
  <w:num w:numId="23">
    <w:abstractNumId w:val="20"/>
  </w:num>
  <w:num w:numId="24">
    <w:abstractNumId w:val="15"/>
  </w:num>
  <w:num w:numId="25">
    <w:abstractNumId w:val="1"/>
  </w:num>
  <w:num w:numId="26">
    <w:abstractNumId w:val="19"/>
  </w:num>
  <w:num w:numId="27">
    <w:abstractNumId w:val="18"/>
  </w:num>
  <w:num w:numId="28">
    <w:abstractNumId w:val="12"/>
  </w:num>
  <w:num w:numId="29">
    <w:abstractNumId w:val="9"/>
  </w:num>
  <w:num w:numId="30">
    <w:abstractNumId w:val="16"/>
  </w:num>
  <w:num w:numId="31">
    <w:abstractNumId w:val="11"/>
  </w:num>
  <w:num w:numId="32">
    <w:abstractNumId w:val="17"/>
  </w:num>
  <w:num w:numId="33">
    <w:abstractNumId w:val="6"/>
  </w:num>
  <w:num w:numId="34">
    <w:abstractNumId w:val="14"/>
  </w:num>
  <w:num w:numId="35">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gjiyong">
    <w15:presenceInfo w15:providerId="AD" w15:userId="S-1-5-21-147214757-305610072-1517763936-233139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3250"/>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BB7"/>
    <w:rsid w:val="00003C56"/>
    <w:rsid w:val="00003D43"/>
    <w:rsid w:val="00003EC2"/>
    <w:rsid w:val="000040A9"/>
    <w:rsid w:val="000041F0"/>
    <w:rsid w:val="0000458E"/>
    <w:rsid w:val="00004E70"/>
    <w:rsid w:val="000072B6"/>
    <w:rsid w:val="00007813"/>
    <w:rsid w:val="000109E6"/>
    <w:rsid w:val="00011D94"/>
    <w:rsid w:val="00011F67"/>
    <w:rsid w:val="00012862"/>
    <w:rsid w:val="000128E6"/>
    <w:rsid w:val="00015EFB"/>
    <w:rsid w:val="000165E2"/>
    <w:rsid w:val="000172BE"/>
    <w:rsid w:val="00017D8A"/>
    <w:rsid w:val="00020472"/>
    <w:rsid w:val="00021B5C"/>
    <w:rsid w:val="00023388"/>
    <w:rsid w:val="00023425"/>
    <w:rsid w:val="000241BE"/>
    <w:rsid w:val="000242F2"/>
    <w:rsid w:val="00026D4B"/>
    <w:rsid w:val="000275C6"/>
    <w:rsid w:val="00027AD6"/>
    <w:rsid w:val="0003024C"/>
    <w:rsid w:val="00031492"/>
    <w:rsid w:val="00031ADB"/>
    <w:rsid w:val="00032056"/>
    <w:rsid w:val="000328CA"/>
    <w:rsid w:val="00032E40"/>
    <w:rsid w:val="00033512"/>
    <w:rsid w:val="0003376B"/>
    <w:rsid w:val="00034676"/>
    <w:rsid w:val="000346E6"/>
    <w:rsid w:val="000352B3"/>
    <w:rsid w:val="00036246"/>
    <w:rsid w:val="0004023E"/>
    <w:rsid w:val="0004024B"/>
    <w:rsid w:val="00041C57"/>
    <w:rsid w:val="000434B7"/>
    <w:rsid w:val="000435E4"/>
    <w:rsid w:val="00044588"/>
    <w:rsid w:val="000465F6"/>
    <w:rsid w:val="00046796"/>
    <w:rsid w:val="000467FD"/>
    <w:rsid w:val="00046AAF"/>
    <w:rsid w:val="00047225"/>
    <w:rsid w:val="00047DB5"/>
    <w:rsid w:val="00047E60"/>
    <w:rsid w:val="000521D8"/>
    <w:rsid w:val="000525AC"/>
    <w:rsid w:val="00052AD2"/>
    <w:rsid w:val="00052ECA"/>
    <w:rsid w:val="000530DF"/>
    <w:rsid w:val="00053F41"/>
    <w:rsid w:val="00054E0C"/>
    <w:rsid w:val="0005541D"/>
    <w:rsid w:val="00056481"/>
    <w:rsid w:val="000565C8"/>
    <w:rsid w:val="00056825"/>
    <w:rsid w:val="00057DC8"/>
    <w:rsid w:val="000612E1"/>
    <w:rsid w:val="000614FE"/>
    <w:rsid w:val="00061FFA"/>
    <w:rsid w:val="00063936"/>
    <w:rsid w:val="00065B39"/>
    <w:rsid w:val="00065D38"/>
    <w:rsid w:val="00067711"/>
    <w:rsid w:val="00067DD1"/>
    <w:rsid w:val="00070447"/>
    <w:rsid w:val="000706E7"/>
    <w:rsid w:val="00070EF8"/>
    <w:rsid w:val="00071192"/>
    <w:rsid w:val="000713A7"/>
    <w:rsid w:val="00072A80"/>
    <w:rsid w:val="000731A0"/>
    <w:rsid w:val="000733C1"/>
    <w:rsid w:val="000736C1"/>
    <w:rsid w:val="00073797"/>
    <w:rsid w:val="00073DEC"/>
    <w:rsid w:val="000745AA"/>
    <w:rsid w:val="00074E86"/>
    <w:rsid w:val="00075632"/>
    <w:rsid w:val="00076097"/>
    <w:rsid w:val="00076541"/>
    <w:rsid w:val="000772F4"/>
    <w:rsid w:val="000776EB"/>
    <w:rsid w:val="00077AF7"/>
    <w:rsid w:val="000823B0"/>
    <w:rsid w:val="00082550"/>
    <w:rsid w:val="0008335B"/>
    <w:rsid w:val="00083379"/>
    <w:rsid w:val="00083587"/>
    <w:rsid w:val="00083838"/>
    <w:rsid w:val="00083890"/>
    <w:rsid w:val="00083B6A"/>
    <w:rsid w:val="00085250"/>
    <w:rsid w:val="00085E04"/>
    <w:rsid w:val="00086502"/>
    <w:rsid w:val="00086800"/>
    <w:rsid w:val="00087913"/>
    <w:rsid w:val="000902DC"/>
    <w:rsid w:val="000911AE"/>
    <w:rsid w:val="00091646"/>
    <w:rsid w:val="00093697"/>
    <w:rsid w:val="00093D42"/>
    <w:rsid w:val="00094A16"/>
    <w:rsid w:val="00094A37"/>
    <w:rsid w:val="00094DE6"/>
    <w:rsid w:val="00095521"/>
    <w:rsid w:val="00096356"/>
    <w:rsid w:val="000970B3"/>
    <w:rsid w:val="00097C99"/>
    <w:rsid w:val="000A0528"/>
    <w:rsid w:val="000A0F14"/>
    <w:rsid w:val="000A1441"/>
    <w:rsid w:val="000A164C"/>
    <w:rsid w:val="000A1A06"/>
    <w:rsid w:val="000A1B60"/>
    <w:rsid w:val="000A21B4"/>
    <w:rsid w:val="000A2CC7"/>
    <w:rsid w:val="000A2ED6"/>
    <w:rsid w:val="000A4205"/>
    <w:rsid w:val="000A4A19"/>
    <w:rsid w:val="000A5A3C"/>
    <w:rsid w:val="000A5D78"/>
    <w:rsid w:val="000A6351"/>
    <w:rsid w:val="000A63C3"/>
    <w:rsid w:val="000A63D6"/>
    <w:rsid w:val="000A7B38"/>
    <w:rsid w:val="000B0343"/>
    <w:rsid w:val="000B2985"/>
    <w:rsid w:val="000B2C88"/>
    <w:rsid w:val="000B3342"/>
    <w:rsid w:val="000B51FA"/>
    <w:rsid w:val="000B5905"/>
    <w:rsid w:val="000B5975"/>
    <w:rsid w:val="000B6E2C"/>
    <w:rsid w:val="000B76C5"/>
    <w:rsid w:val="000B7914"/>
    <w:rsid w:val="000B7A10"/>
    <w:rsid w:val="000B7C4B"/>
    <w:rsid w:val="000C115D"/>
    <w:rsid w:val="000C1535"/>
    <w:rsid w:val="000C252B"/>
    <w:rsid w:val="000C2FBD"/>
    <w:rsid w:val="000C3B0C"/>
    <w:rsid w:val="000C422D"/>
    <w:rsid w:val="000C5F91"/>
    <w:rsid w:val="000C6025"/>
    <w:rsid w:val="000C6DBB"/>
    <w:rsid w:val="000C6E4C"/>
    <w:rsid w:val="000C6EA6"/>
    <w:rsid w:val="000C726C"/>
    <w:rsid w:val="000D0565"/>
    <w:rsid w:val="000D0E4E"/>
    <w:rsid w:val="000D113C"/>
    <w:rsid w:val="000D12D1"/>
    <w:rsid w:val="000D159A"/>
    <w:rsid w:val="000D22CC"/>
    <w:rsid w:val="000D36AE"/>
    <w:rsid w:val="000D38A1"/>
    <w:rsid w:val="000D4170"/>
    <w:rsid w:val="000D4AE0"/>
    <w:rsid w:val="000D4C4E"/>
    <w:rsid w:val="000D5077"/>
    <w:rsid w:val="000D5362"/>
    <w:rsid w:val="000D57F8"/>
    <w:rsid w:val="000D5851"/>
    <w:rsid w:val="000D5C60"/>
    <w:rsid w:val="000D6B90"/>
    <w:rsid w:val="000D71E2"/>
    <w:rsid w:val="000D73A5"/>
    <w:rsid w:val="000D7753"/>
    <w:rsid w:val="000E07D6"/>
    <w:rsid w:val="000E1380"/>
    <w:rsid w:val="000E18DF"/>
    <w:rsid w:val="000E59A0"/>
    <w:rsid w:val="000E7A84"/>
    <w:rsid w:val="000F15BC"/>
    <w:rsid w:val="000F180A"/>
    <w:rsid w:val="000F1C92"/>
    <w:rsid w:val="000F1EA7"/>
    <w:rsid w:val="000F2DD6"/>
    <w:rsid w:val="000F2EEE"/>
    <w:rsid w:val="000F2F30"/>
    <w:rsid w:val="000F30CF"/>
    <w:rsid w:val="000F3321"/>
    <w:rsid w:val="000F3697"/>
    <w:rsid w:val="000F4567"/>
    <w:rsid w:val="000F5267"/>
    <w:rsid w:val="000F7F58"/>
    <w:rsid w:val="00100128"/>
    <w:rsid w:val="00100FF3"/>
    <w:rsid w:val="001026CA"/>
    <w:rsid w:val="0010341E"/>
    <w:rsid w:val="001043C2"/>
    <w:rsid w:val="001043E1"/>
    <w:rsid w:val="0010505A"/>
    <w:rsid w:val="00105CC7"/>
    <w:rsid w:val="00107779"/>
    <w:rsid w:val="001078C2"/>
    <w:rsid w:val="00107E1C"/>
    <w:rsid w:val="00110243"/>
    <w:rsid w:val="001112C4"/>
    <w:rsid w:val="00111444"/>
    <w:rsid w:val="00111723"/>
    <w:rsid w:val="001129B5"/>
    <w:rsid w:val="00112D2F"/>
    <w:rsid w:val="00113A73"/>
    <w:rsid w:val="00113DFB"/>
    <w:rsid w:val="001141E3"/>
    <w:rsid w:val="001144DF"/>
    <w:rsid w:val="00114D78"/>
    <w:rsid w:val="0011557B"/>
    <w:rsid w:val="00117C85"/>
    <w:rsid w:val="00120B13"/>
    <w:rsid w:val="00120BD6"/>
    <w:rsid w:val="00121DBC"/>
    <w:rsid w:val="00121E75"/>
    <w:rsid w:val="00124D84"/>
    <w:rsid w:val="001250DD"/>
    <w:rsid w:val="00125733"/>
    <w:rsid w:val="0012611D"/>
    <w:rsid w:val="001263AA"/>
    <w:rsid w:val="00126BE6"/>
    <w:rsid w:val="00130779"/>
    <w:rsid w:val="001307A1"/>
    <w:rsid w:val="001321D3"/>
    <w:rsid w:val="00133599"/>
    <w:rsid w:val="00133BF7"/>
    <w:rsid w:val="00134B88"/>
    <w:rsid w:val="001355EF"/>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CD4"/>
    <w:rsid w:val="00150985"/>
    <w:rsid w:val="00151619"/>
    <w:rsid w:val="00152835"/>
    <w:rsid w:val="0015376E"/>
    <w:rsid w:val="00153D4C"/>
    <w:rsid w:val="00154E9F"/>
    <w:rsid w:val="0015534A"/>
    <w:rsid w:val="001559FA"/>
    <w:rsid w:val="00156374"/>
    <w:rsid w:val="001577D8"/>
    <w:rsid w:val="00157FC3"/>
    <w:rsid w:val="00160739"/>
    <w:rsid w:val="0016271E"/>
    <w:rsid w:val="00162D7A"/>
    <w:rsid w:val="00162DF4"/>
    <w:rsid w:val="001635B1"/>
    <w:rsid w:val="001640F9"/>
    <w:rsid w:val="00164C5F"/>
    <w:rsid w:val="00164DAB"/>
    <w:rsid w:val="00165BBB"/>
    <w:rsid w:val="0016613F"/>
    <w:rsid w:val="00166215"/>
    <w:rsid w:val="00166591"/>
    <w:rsid w:val="001706CB"/>
    <w:rsid w:val="00171143"/>
    <w:rsid w:val="00171AC2"/>
    <w:rsid w:val="00172864"/>
    <w:rsid w:val="00172B82"/>
    <w:rsid w:val="00172EF1"/>
    <w:rsid w:val="00172EFA"/>
    <w:rsid w:val="00173608"/>
    <w:rsid w:val="001745EC"/>
    <w:rsid w:val="00174626"/>
    <w:rsid w:val="001747B7"/>
    <w:rsid w:val="001757F5"/>
    <w:rsid w:val="00175C30"/>
    <w:rsid w:val="00177069"/>
    <w:rsid w:val="00177A11"/>
    <w:rsid w:val="00177FC1"/>
    <w:rsid w:val="001815A2"/>
    <w:rsid w:val="00181640"/>
    <w:rsid w:val="00181820"/>
    <w:rsid w:val="00181FC1"/>
    <w:rsid w:val="00183034"/>
    <w:rsid w:val="001830F7"/>
    <w:rsid w:val="00183EE6"/>
    <w:rsid w:val="00185237"/>
    <w:rsid w:val="0018588A"/>
    <w:rsid w:val="0018590E"/>
    <w:rsid w:val="00187252"/>
    <w:rsid w:val="00187E7E"/>
    <w:rsid w:val="00190CB1"/>
    <w:rsid w:val="00191C91"/>
    <w:rsid w:val="001920A1"/>
    <w:rsid w:val="00192DD9"/>
    <w:rsid w:val="00193F8C"/>
    <w:rsid w:val="00194339"/>
    <w:rsid w:val="00194848"/>
    <w:rsid w:val="001958EA"/>
    <w:rsid w:val="00195907"/>
    <w:rsid w:val="00195E0E"/>
    <w:rsid w:val="00195E8D"/>
    <w:rsid w:val="00196B68"/>
    <w:rsid w:val="001A0CD8"/>
    <w:rsid w:val="001A180D"/>
    <w:rsid w:val="001A1BAC"/>
    <w:rsid w:val="001A23CE"/>
    <w:rsid w:val="001A2C89"/>
    <w:rsid w:val="001A673E"/>
    <w:rsid w:val="001A7763"/>
    <w:rsid w:val="001B3964"/>
    <w:rsid w:val="001B4452"/>
    <w:rsid w:val="001B466C"/>
    <w:rsid w:val="001B4F34"/>
    <w:rsid w:val="001B52EC"/>
    <w:rsid w:val="001B554A"/>
    <w:rsid w:val="001B56F2"/>
    <w:rsid w:val="001B6564"/>
    <w:rsid w:val="001B691A"/>
    <w:rsid w:val="001C02D8"/>
    <w:rsid w:val="001C04E3"/>
    <w:rsid w:val="001C1CA4"/>
    <w:rsid w:val="001C2378"/>
    <w:rsid w:val="001C35DC"/>
    <w:rsid w:val="001C3D93"/>
    <w:rsid w:val="001C3EE9"/>
    <w:rsid w:val="001C3FA4"/>
    <w:rsid w:val="001C40F9"/>
    <w:rsid w:val="001C458B"/>
    <w:rsid w:val="001C47F7"/>
    <w:rsid w:val="001C496B"/>
    <w:rsid w:val="001C593A"/>
    <w:rsid w:val="001C59D3"/>
    <w:rsid w:val="001C5D4F"/>
    <w:rsid w:val="001C64C0"/>
    <w:rsid w:val="001C66DF"/>
    <w:rsid w:val="001C69DA"/>
    <w:rsid w:val="001C6F06"/>
    <w:rsid w:val="001C75A2"/>
    <w:rsid w:val="001D0484"/>
    <w:rsid w:val="001D2360"/>
    <w:rsid w:val="001D3109"/>
    <w:rsid w:val="001D332E"/>
    <w:rsid w:val="001D5033"/>
    <w:rsid w:val="001D50B8"/>
    <w:rsid w:val="001D5C88"/>
    <w:rsid w:val="001D6567"/>
    <w:rsid w:val="001D695C"/>
    <w:rsid w:val="001D6FD9"/>
    <w:rsid w:val="001D780E"/>
    <w:rsid w:val="001E05C3"/>
    <w:rsid w:val="001E0AD3"/>
    <w:rsid w:val="001E323D"/>
    <w:rsid w:val="001E36E4"/>
    <w:rsid w:val="001E379D"/>
    <w:rsid w:val="001E3A3C"/>
    <w:rsid w:val="001E5B71"/>
    <w:rsid w:val="001E5C23"/>
    <w:rsid w:val="001E7504"/>
    <w:rsid w:val="001E75CC"/>
    <w:rsid w:val="001E76DF"/>
    <w:rsid w:val="001E7D99"/>
    <w:rsid w:val="001F1308"/>
    <w:rsid w:val="001F1525"/>
    <w:rsid w:val="001F15D5"/>
    <w:rsid w:val="001F1E87"/>
    <w:rsid w:val="001F1EB6"/>
    <w:rsid w:val="001F203C"/>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20B2"/>
    <w:rsid w:val="00203416"/>
    <w:rsid w:val="0020349A"/>
    <w:rsid w:val="002034B4"/>
    <w:rsid w:val="00204032"/>
    <w:rsid w:val="00204BAD"/>
    <w:rsid w:val="00204D60"/>
    <w:rsid w:val="00204DA0"/>
    <w:rsid w:val="00205627"/>
    <w:rsid w:val="002056D0"/>
    <w:rsid w:val="00210860"/>
    <w:rsid w:val="00210B6A"/>
    <w:rsid w:val="00210BB9"/>
    <w:rsid w:val="00211D10"/>
    <w:rsid w:val="002122C8"/>
    <w:rsid w:val="00212CB6"/>
    <w:rsid w:val="00212E37"/>
    <w:rsid w:val="002138FF"/>
    <w:rsid w:val="002140FF"/>
    <w:rsid w:val="002147F7"/>
    <w:rsid w:val="00214FED"/>
    <w:rsid w:val="00220122"/>
    <w:rsid w:val="00220894"/>
    <w:rsid w:val="00220CD0"/>
    <w:rsid w:val="00221D8A"/>
    <w:rsid w:val="00224952"/>
    <w:rsid w:val="00224DD2"/>
    <w:rsid w:val="00225073"/>
    <w:rsid w:val="00225A6A"/>
    <w:rsid w:val="00225AC7"/>
    <w:rsid w:val="00225ACC"/>
    <w:rsid w:val="002276DD"/>
    <w:rsid w:val="00231C25"/>
    <w:rsid w:val="00231C6F"/>
    <w:rsid w:val="00232A90"/>
    <w:rsid w:val="00233488"/>
    <w:rsid w:val="00234151"/>
    <w:rsid w:val="0023432C"/>
    <w:rsid w:val="00234F8C"/>
    <w:rsid w:val="00235542"/>
    <w:rsid w:val="002356C0"/>
    <w:rsid w:val="002356C5"/>
    <w:rsid w:val="002369B0"/>
    <w:rsid w:val="00236AD8"/>
    <w:rsid w:val="002401F5"/>
    <w:rsid w:val="00240E54"/>
    <w:rsid w:val="00241D73"/>
    <w:rsid w:val="002451C5"/>
    <w:rsid w:val="00245F1F"/>
    <w:rsid w:val="002464B7"/>
    <w:rsid w:val="0024663B"/>
    <w:rsid w:val="00246BC5"/>
    <w:rsid w:val="00247103"/>
    <w:rsid w:val="00250067"/>
    <w:rsid w:val="00250297"/>
    <w:rsid w:val="002516DE"/>
    <w:rsid w:val="00251F81"/>
    <w:rsid w:val="00252BE0"/>
    <w:rsid w:val="00253588"/>
    <w:rsid w:val="002546F4"/>
    <w:rsid w:val="002551D0"/>
    <w:rsid w:val="00255374"/>
    <w:rsid w:val="00255C16"/>
    <w:rsid w:val="00257BF4"/>
    <w:rsid w:val="00260003"/>
    <w:rsid w:val="0026035D"/>
    <w:rsid w:val="002603A0"/>
    <w:rsid w:val="002606D6"/>
    <w:rsid w:val="00261C98"/>
    <w:rsid w:val="0026248E"/>
    <w:rsid w:val="00262914"/>
    <w:rsid w:val="00263CE5"/>
    <w:rsid w:val="002647BF"/>
    <w:rsid w:val="002647D5"/>
    <w:rsid w:val="00264C72"/>
    <w:rsid w:val="00265032"/>
    <w:rsid w:val="002651FB"/>
    <w:rsid w:val="0026538C"/>
    <w:rsid w:val="00265781"/>
    <w:rsid w:val="002664CC"/>
    <w:rsid w:val="00266B13"/>
    <w:rsid w:val="00266C6D"/>
    <w:rsid w:val="00266D3A"/>
    <w:rsid w:val="00270728"/>
    <w:rsid w:val="00270D42"/>
    <w:rsid w:val="0027161F"/>
    <w:rsid w:val="00271850"/>
    <w:rsid w:val="0027195D"/>
    <w:rsid w:val="00272202"/>
    <w:rsid w:val="00272B03"/>
    <w:rsid w:val="002733E2"/>
    <w:rsid w:val="00273C8F"/>
    <w:rsid w:val="00274246"/>
    <w:rsid w:val="00274332"/>
    <w:rsid w:val="002750B1"/>
    <w:rsid w:val="00276A35"/>
    <w:rsid w:val="00277835"/>
    <w:rsid w:val="00280AB1"/>
    <w:rsid w:val="00280E5C"/>
    <w:rsid w:val="00281040"/>
    <w:rsid w:val="00282209"/>
    <w:rsid w:val="00282654"/>
    <w:rsid w:val="00283426"/>
    <w:rsid w:val="002843E3"/>
    <w:rsid w:val="002844B6"/>
    <w:rsid w:val="00284BAE"/>
    <w:rsid w:val="002859AF"/>
    <w:rsid w:val="00286AE7"/>
    <w:rsid w:val="00287243"/>
    <w:rsid w:val="00290647"/>
    <w:rsid w:val="00290849"/>
    <w:rsid w:val="00290A3D"/>
    <w:rsid w:val="00291385"/>
    <w:rsid w:val="00291422"/>
    <w:rsid w:val="0029237F"/>
    <w:rsid w:val="00292715"/>
    <w:rsid w:val="00293186"/>
    <w:rsid w:val="002936DF"/>
    <w:rsid w:val="00293E57"/>
    <w:rsid w:val="002947D1"/>
    <w:rsid w:val="002948DF"/>
    <w:rsid w:val="00294D90"/>
    <w:rsid w:val="002A1E92"/>
    <w:rsid w:val="002A204D"/>
    <w:rsid w:val="002A2616"/>
    <w:rsid w:val="002A26E1"/>
    <w:rsid w:val="002A368A"/>
    <w:rsid w:val="002A4065"/>
    <w:rsid w:val="002A4CDD"/>
    <w:rsid w:val="002A59F0"/>
    <w:rsid w:val="002A6432"/>
    <w:rsid w:val="002A6CCB"/>
    <w:rsid w:val="002A6F25"/>
    <w:rsid w:val="002A6FD3"/>
    <w:rsid w:val="002A78E7"/>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53C"/>
    <w:rsid w:val="002C288F"/>
    <w:rsid w:val="002C38B2"/>
    <w:rsid w:val="002C3D7D"/>
    <w:rsid w:val="002C3F9C"/>
    <w:rsid w:val="002C5AFA"/>
    <w:rsid w:val="002D0108"/>
    <w:rsid w:val="002D0439"/>
    <w:rsid w:val="002D11B7"/>
    <w:rsid w:val="002D3BBC"/>
    <w:rsid w:val="002D438A"/>
    <w:rsid w:val="002D5738"/>
    <w:rsid w:val="002D5E53"/>
    <w:rsid w:val="002D65A6"/>
    <w:rsid w:val="002D7149"/>
    <w:rsid w:val="002E0319"/>
    <w:rsid w:val="002E10BA"/>
    <w:rsid w:val="002E179B"/>
    <w:rsid w:val="002E1C9E"/>
    <w:rsid w:val="002E257B"/>
    <w:rsid w:val="002E2709"/>
    <w:rsid w:val="002E3C65"/>
    <w:rsid w:val="002E3F5B"/>
    <w:rsid w:val="002E4362"/>
    <w:rsid w:val="002E4941"/>
    <w:rsid w:val="002E4D69"/>
    <w:rsid w:val="002E63D9"/>
    <w:rsid w:val="002E640E"/>
    <w:rsid w:val="002F0AD9"/>
    <w:rsid w:val="002F0C28"/>
    <w:rsid w:val="002F16F6"/>
    <w:rsid w:val="002F3CDE"/>
    <w:rsid w:val="002F5DD6"/>
    <w:rsid w:val="002F5FEA"/>
    <w:rsid w:val="002F63E7"/>
    <w:rsid w:val="002F7B97"/>
    <w:rsid w:val="002F7BE3"/>
    <w:rsid w:val="002F7E6A"/>
    <w:rsid w:val="00300165"/>
    <w:rsid w:val="003010CF"/>
    <w:rsid w:val="00303440"/>
    <w:rsid w:val="00304D9B"/>
    <w:rsid w:val="00305FF9"/>
    <w:rsid w:val="0030669E"/>
    <w:rsid w:val="00306D98"/>
    <w:rsid w:val="00306E6B"/>
    <w:rsid w:val="003075B8"/>
    <w:rsid w:val="003100C8"/>
    <w:rsid w:val="003108FC"/>
    <w:rsid w:val="00311161"/>
    <w:rsid w:val="00312400"/>
    <w:rsid w:val="00312739"/>
    <w:rsid w:val="00312D10"/>
    <w:rsid w:val="003135E5"/>
    <w:rsid w:val="00313D67"/>
    <w:rsid w:val="003178DA"/>
    <w:rsid w:val="00317DB8"/>
    <w:rsid w:val="00320618"/>
    <w:rsid w:val="0032100B"/>
    <w:rsid w:val="00321BD7"/>
    <w:rsid w:val="0032260F"/>
    <w:rsid w:val="003228DA"/>
    <w:rsid w:val="003236B9"/>
    <w:rsid w:val="00323D6B"/>
    <w:rsid w:val="00324826"/>
    <w:rsid w:val="003258CE"/>
    <w:rsid w:val="00325EEA"/>
    <w:rsid w:val="00326957"/>
    <w:rsid w:val="00326AE2"/>
    <w:rsid w:val="00330BA6"/>
    <w:rsid w:val="0033171D"/>
    <w:rsid w:val="00331FC3"/>
    <w:rsid w:val="00332814"/>
    <w:rsid w:val="003336B3"/>
    <w:rsid w:val="00335B75"/>
    <w:rsid w:val="00335D8C"/>
    <w:rsid w:val="00335FBF"/>
    <w:rsid w:val="00336072"/>
    <w:rsid w:val="003363A1"/>
    <w:rsid w:val="0034226D"/>
    <w:rsid w:val="00342972"/>
    <w:rsid w:val="00342FDD"/>
    <w:rsid w:val="00343A4C"/>
    <w:rsid w:val="0034429B"/>
    <w:rsid w:val="00344866"/>
    <w:rsid w:val="0034638C"/>
    <w:rsid w:val="00346F7F"/>
    <w:rsid w:val="00350108"/>
    <w:rsid w:val="0035068E"/>
    <w:rsid w:val="00350762"/>
    <w:rsid w:val="003507C4"/>
    <w:rsid w:val="003519A1"/>
    <w:rsid w:val="00352480"/>
    <w:rsid w:val="003530D2"/>
    <w:rsid w:val="0035331A"/>
    <w:rsid w:val="003534E1"/>
    <w:rsid w:val="00353F24"/>
    <w:rsid w:val="003543B3"/>
    <w:rsid w:val="003544FE"/>
    <w:rsid w:val="003548D8"/>
    <w:rsid w:val="003554CA"/>
    <w:rsid w:val="00355791"/>
    <w:rsid w:val="0035593E"/>
    <w:rsid w:val="00360232"/>
    <w:rsid w:val="003602E0"/>
    <w:rsid w:val="00360D01"/>
    <w:rsid w:val="00362569"/>
    <w:rsid w:val="003636CD"/>
    <w:rsid w:val="00363950"/>
    <w:rsid w:val="00363C89"/>
    <w:rsid w:val="00363C98"/>
    <w:rsid w:val="0036487C"/>
    <w:rsid w:val="00365411"/>
    <w:rsid w:val="00365FA2"/>
    <w:rsid w:val="00366C69"/>
    <w:rsid w:val="00367441"/>
    <w:rsid w:val="00367B1D"/>
    <w:rsid w:val="00370E4F"/>
    <w:rsid w:val="00371215"/>
    <w:rsid w:val="00372ADF"/>
    <w:rsid w:val="00372F0D"/>
    <w:rsid w:val="00374059"/>
    <w:rsid w:val="0037437E"/>
    <w:rsid w:val="0037535B"/>
    <w:rsid w:val="0037552D"/>
    <w:rsid w:val="003756DB"/>
    <w:rsid w:val="003757DD"/>
    <w:rsid w:val="003770BB"/>
    <w:rsid w:val="00377632"/>
    <w:rsid w:val="0037771A"/>
    <w:rsid w:val="00377FC7"/>
    <w:rsid w:val="0038002D"/>
    <w:rsid w:val="003802DC"/>
    <w:rsid w:val="00380E4E"/>
    <w:rsid w:val="00380FBF"/>
    <w:rsid w:val="00382A43"/>
    <w:rsid w:val="00382D60"/>
    <w:rsid w:val="00382F29"/>
    <w:rsid w:val="00383C71"/>
    <w:rsid w:val="00383C8D"/>
    <w:rsid w:val="0038507A"/>
    <w:rsid w:val="003852FB"/>
    <w:rsid w:val="00385429"/>
    <w:rsid w:val="00385B05"/>
    <w:rsid w:val="00385D70"/>
    <w:rsid w:val="00386382"/>
    <w:rsid w:val="003865EF"/>
    <w:rsid w:val="00386BA9"/>
    <w:rsid w:val="00390017"/>
    <w:rsid w:val="003901A3"/>
    <w:rsid w:val="0039072F"/>
    <w:rsid w:val="00390EAA"/>
    <w:rsid w:val="003910DC"/>
    <w:rsid w:val="003913F3"/>
    <w:rsid w:val="003940CE"/>
    <w:rsid w:val="00396CA7"/>
    <w:rsid w:val="00397C1D"/>
    <w:rsid w:val="00397F5B"/>
    <w:rsid w:val="003A180F"/>
    <w:rsid w:val="003A18DD"/>
    <w:rsid w:val="003A1D61"/>
    <w:rsid w:val="003A20C8"/>
    <w:rsid w:val="003A23BF"/>
    <w:rsid w:val="003A2806"/>
    <w:rsid w:val="003A2C29"/>
    <w:rsid w:val="003A2EC3"/>
    <w:rsid w:val="003A36F2"/>
    <w:rsid w:val="003A3D39"/>
    <w:rsid w:val="003A3EC7"/>
    <w:rsid w:val="003A40B4"/>
    <w:rsid w:val="003A4B28"/>
    <w:rsid w:val="003A4D8C"/>
    <w:rsid w:val="003A62E6"/>
    <w:rsid w:val="003A692B"/>
    <w:rsid w:val="003A7834"/>
    <w:rsid w:val="003B03A9"/>
    <w:rsid w:val="003B0B5B"/>
    <w:rsid w:val="003B0E79"/>
    <w:rsid w:val="003B3575"/>
    <w:rsid w:val="003B50BC"/>
    <w:rsid w:val="003B551D"/>
    <w:rsid w:val="003B5D97"/>
    <w:rsid w:val="003B63A4"/>
    <w:rsid w:val="003B68FE"/>
    <w:rsid w:val="003B6D7D"/>
    <w:rsid w:val="003B7474"/>
    <w:rsid w:val="003B7D7E"/>
    <w:rsid w:val="003C0A12"/>
    <w:rsid w:val="003C1012"/>
    <w:rsid w:val="003C11C9"/>
    <w:rsid w:val="003C1229"/>
    <w:rsid w:val="003C1FD4"/>
    <w:rsid w:val="003C213D"/>
    <w:rsid w:val="003C25AD"/>
    <w:rsid w:val="003C2D21"/>
    <w:rsid w:val="003C5E6B"/>
    <w:rsid w:val="003C60AE"/>
    <w:rsid w:val="003C79CC"/>
    <w:rsid w:val="003C7AD7"/>
    <w:rsid w:val="003D0FC3"/>
    <w:rsid w:val="003D2C1D"/>
    <w:rsid w:val="003D2C34"/>
    <w:rsid w:val="003D3DDD"/>
    <w:rsid w:val="003D5CBF"/>
    <w:rsid w:val="003D66D2"/>
    <w:rsid w:val="003E07AE"/>
    <w:rsid w:val="003E0A27"/>
    <w:rsid w:val="003E14FC"/>
    <w:rsid w:val="003E1A3E"/>
    <w:rsid w:val="003E2976"/>
    <w:rsid w:val="003E4858"/>
    <w:rsid w:val="003E6316"/>
    <w:rsid w:val="003E6884"/>
    <w:rsid w:val="003E6AC5"/>
    <w:rsid w:val="003E6D73"/>
    <w:rsid w:val="003F0096"/>
    <w:rsid w:val="003F0850"/>
    <w:rsid w:val="003F0D12"/>
    <w:rsid w:val="003F160C"/>
    <w:rsid w:val="003F324F"/>
    <w:rsid w:val="003F33BC"/>
    <w:rsid w:val="003F3C40"/>
    <w:rsid w:val="003F3D4E"/>
    <w:rsid w:val="003F477E"/>
    <w:rsid w:val="003F6CD2"/>
    <w:rsid w:val="003F788D"/>
    <w:rsid w:val="0040126E"/>
    <w:rsid w:val="004014A3"/>
    <w:rsid w:val="004020D4"/>
    <w:rsid w:val="004021B6"/>
    <w:rsid w:val="0040457B"/>
    <w:rsid w:val="004047C4"/>
    <w:rsid w:val="00404AF5"/>
    <w:rsid w:val="0040570B"/>
    <w:rsid w:val="00405EDB"/>
    <w:rsid w:val="00405FB1"/>
    <w:rsid w:val="00406460"/>
    <w:rsid w:val="00407EF7"/>
    <w:rsid w:val="00410751"/>
    <w:rsid w:val="00412461"/>
    <w:rsid w:val="00412546"/>
    <w:rsid w:val="00413053"/>
    <w:rsid w:val="0041319C"/>
    <w:rsid w:val="004137B6"/>
    <w:rsid w:val="00413A54"/>
    <w:rsid w:val="00413C10"/>
    <w:rsid w:val="00413CD9"/>
    <w:rsid w:val="00413F9A"/>
    <w:rsid w:val="004140CA"/>
    <w:rsid w:val="004149E6"/>
    <w:rsid w:val="00414C65"/>
    <w:rsid w:val="00415D76"/>
    <w:rsid w:val="004165E8"/>
    <w:rsid w:val="00416665"/>
    <w:rsid w:val="00416A67"/>
    <w:rsid w:val="00416ACB"/>
    <w:rsid w:val="00417487"/>
    <w:rsid w:val="004179C2"/>
    <w:rsid w:val="00421DCF"/>
    <w:rsid w:val="00422341"/>
    <w:rsid w:val="00423641"/>
    <w:rsid w:val="00426266"/>
    <w:rsid w:val="004302FA"/>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0BB4"/>
    <w:rsid w:val="00442F81"/>
    <w:rsid w:val="00445F7F"/>
    <w:rsid w:val="004461D9"/>
    <w:rsid w:val="00446857"/>
    <w:rsid w:val="00446AC6"/>
    <w:rsid w:val="0044759B"/>
    <w:rsid w:val="00447F54"/>
    <w:rsid w:val="00450B7E"/>
    <w:rsid w:val="0045136B"/>
    <w:rsid w:val="00451C7E"/>
    <w:rsid w:val="00453BB6"/>
    <w:rsid w:val="00453CAA"/>
    <w:rsid w:val="0045457A"/>
    <w:rsid w:val="00455113"/>
    <w:rsid w:val="00456421"/>
    <w:rsid w:val="00456DAB"/>
    <w:rsid w:val="00457D17"/>
    <w:rsid w:val="00460CC3"/>
    <w:rsid w:val="00460E86"/>
    <w:rsid w:val="00464475"/>
    <w:rsid w:val="004646B4"/>
    <w:rsid w:val="00464A88"/>
    <w:rsid w:val="004651A0"/>
    <w:rsid w:val="00466532"/>
    <w:rsid w:val="00467488"/>
    <w:rsid w:val="0047021C"/>
    <w:rsid w:val="0047055B"/>
    <w:rsid w:val="0047083E"/>
    <w:rsid w:val="00470EB5"/>
    <w:rsid w:val="00471FE2"/>
    <w:rsid w:val="0047286B"/>
    <w:rsid w:val="00472E27"/>
    <w:rsid w:val="00474220"/>
    <w:rsid w:val="004745C3"/>
    <w:rsid w:val="00474814"/>
    <w:rsid w:val="004752D3"/>
    <w:rsid w:val="004754E1"/>
    <w:rsid w:val="00475791"/>
    <w:rsid w:val="00475CE0"/>
    <w:rsid w:val="00476827"/>
    <w:rsid w:val="00476BD4"/>
    <w:rsid w:val="00477443"/>
    <w:rsid w:val="00477C35"/>
    <w:rsid w:val="00480988"/>
    <w:rsid w:val="00480E05"/>
    <w:rsid w:val="00481050"/>
    <w:rsid w:val="00482BBE"/>
    <w:rsid w:val="00483A12"/>
    <w:rsid w:val="00484A77"/>
    <w:rsid w:val="004850CC"/>
    <w:rsid w:val="0048540F"/>
    <w:rsid w:val="00485970"/>
    <w:rsid w:val="00485C0D"/>
    <w:rsid w:val="00486575"/>
    <w:rsid w:val="004866D0"/>
    <w:rsid w:val="00491B8F"/>
    <w:rsid w:val="0049203B"/>
    <w:rsid w:val="00494242"/>
    <w:rsid w:val="0049443F"/>
    <w:rsid w:val="00494782"/>
    <w:rsid w:val="00494E8E"/>
    <w:rsid w:val="004955BC"/>
    <w:rsid w:val="00495B43"/>
    <w:rsid w:val="00495D63"/>
    <w:rsid w:val="0049611B"/>
    <w:rsid w:val="0049648F"/>
    <w:rsid w:val="004965CB"/>
    <w:rsid w:val="00496606"/>
    <w:rsid w:val="00496F05"/>
    <w:rsid w:val="00497370"/>
    <w:rsid w:val="004974C8"/>
    <w:rsid w:val="004A0865"/>
    <w:rsid w:val="004A0F39"/>
    <w:rsid w:val="004A251F"/>
    <w:rsid w:val="004A3BF1"/>
    <w:rsid w:val="004A3E42"/>
    <w:rsid w:val="004A4715"/>
    <w:rsid w:val="004A5046"/>
    <w:rsid w:val="004A565E"/>
    <w:rsid w:val="004A5DF3"/>
    <w:rsid w:val="004A6134"/>
    <w:rsid w:val="004A7092"/>
    <w:rsid w:val="004B0D51"/>
    <w:rsid w:val="004B1205"/>
    <w:rsid w:val="004B49E6"/>
    <w:rsid w:val="004B4D69"/>
    <w:rsid w:val="004B6E36"/>
    <w:rsid w:val="004B7B3A"/>
    <w:rsid w:val="004C0188"/>
    <w:rsid w:val="004C01A8"/>
    <w:rsid w:val="004C1840"/>
    <w:rsid w:val="004C24C9"/>
    <w:rsid w:val="004C31B6"/>
    <w:rsid w:val="004C3214"/>
    <w:rsid w:val="004C4BFB"/>
    <w:rsid w:val="004C50AF"/>
    <w:rsid w:val="004C5319"/>
    <w:rsid w:val="004C621F"/>
    <w:rsid w:val="004C7948"/>
    <w:rsid w:val="004C7BB8"/>
    <w:rsid w:val="004C7C60"/>
    <w:rsid w:val="004D0DFE"/>
    <w:rsid w:val="004D1738"/>
    <w:rsid w:val="004D1D91"/>
    <w:rsid w:val="004D22C3"/>
    <w:rsid w:val="004D6F4D"/>
    <w:rsid w:val="004D6F95"/>
    <w:rsid w:val="004D72FE"/>
    <w:rsid w:val="004D7CBA"/>
    <w:rsid w:val="004D7E91"/>
    <w:rsid w:val="004E003A"/>
    <w:rsid w:val="004E03B5"/>
    <w:rsid w:val="004E0768"/>
    <w:rsid w:val="004E1A31"/>
    <w:rsid w:val="004E2DE0"/>
    <w:rsid w:val="004E38DC"/>
    <w:rsid w:val="004E4060"/>
    <w:rsid w:val="004E409A"/>
    <w:rsid w:val="004F02E7"/>
    <w:rsid w:val="004F0FB9"/>
    <w:rsid w:val="004F2F7E"/>
    <w:rsid w:val="004F317B"/>
    <w:rsid w:val="004F32B5"/>
    <w:rsid w:val="004F407E"/>
    <w:rsid w:val="004F5479"/>
    <w:rsid w:val="004F6854"/>
    <w:rsid w:val="004F6C55"/>
    <w:rsid w:val="004F7528"/>
    <w:rsid w:val="004F7BCA"/>
    <w:rsid w:val="004F7D89"/>
    <w:rsid w:val="00501981"/>
    <w:rsid w:val="00501A85"/>
    <w:rsid w:val="00501BB3"/>
    <w:rsid w:val="0050202D"/>
    <w:rsid w:val="005021DD"/>
    <w:rsid w:val="005026CA"/>
    <w:rsid w:val="00502B72"/>
    <w:rsid w:val="00503914"/>
    <w:rsid w:val="00504BC1"/>
    <w:rsid w:val="00505134"/>
    <w:rsid w:val="00505C04"/>
    <w:rsid w:val="00507178"/>
    <w:rsid w:val="005113D5"/>
    <w:rsid w:val="00511F15"/>
    <w:rsid w:val="00512361"/>
    <w:rsid w:val="0051318C"/>
    <w:rsid w:val="005142CD"/>
    <w:rsid w:val="005143C9"/>
    <w:rsid w:val="005157A9"/>
    <w:rsid w:val="005173A7"/>
    <w:rsid w:val="005177E1"/>
    <w:rsid w:val="00520C0A"/>
    <w:rsid w:val="005218B6"/>
    <w:rsid w:val="00522589"/>
    <w:rsid w:val="00524545"/>
    <w:rsid w:val="005255BF"/>
    <w:rsid w:val="005257DE"/>
    <w:rsid w:val="00525839"/>
    <w:rsid w:val="00527200"/>
    <w:rsid w:val="00530157"/>
    <w:rsid w:val="00531B2D"/>
    <w:rsid w:val="00531C84"/>
    <w:rsid w:val="00531EBE"/>
    <w:rsid w:val="00532AEE"/>
    <w:rsid w:val="00532F8B"/>
    <w:rsid w:val="00533737"/>
    <w:rsid w:val="00535B79"/>
    <w:rsid w:val="00535BF3"/>
    <w:rsid w:val="00535D7C"/>
    <w:rsid w:val="00536579"/>
    <w:rsid w:val="005368E6"/>
    <w:rsid w:val="00536B2B"/>
    <w:rsid w:val="00536C1E"/>
    <w:rsid w:val="005413D0"/>
    <w:rsid w:val="00541B5A"/>
    <w:rsid w:val="0054343A"/>
    <w:rsid w:val="00543974"/>
    <w:rsid w:val="00543E93"/>
    <w:rsid w:val="00543EBF"/>
    <w:rsid w:val="00544ABA"/>
    <w:rsid w:val="0054593A"/>
    <w:rsid w:val="005467FB"/>
    <w:rsid w:val="00546AE9"/>
    <w:rsid w:val="00547989"/>
    <w:rsid w:val="00551320"/>
    <w:rsid w:val="005518A4"/>
    <w:rsid w:val="00552768"/>
    <w:rsid w:val="00552935"/>
    <w:rsid w:val="00553127"/>
    <w:rsid w:val="005537D5"/>
    <w:rsid w:val="00553F1E"/>
    <w:rsid w:val="00554BE7"/>
    <w:rsid w:val="0055553C"/>
    <w:rsid w:val="00556D68"/>
    <w:rsid w:val="00557173"/>
    <w:rsid w:val="005576A1"/>
    <w:rsid w:val="00557A64"/>
    <w:rsid w:val="005605C0"/>
    <w:rsid w:val="00560D23"/>
    <w:rsid w:val="005615D8"/>
    <w:rsid w:val="005626D6"/>
    <w:rsid w:val="0056322A"/>
    <w:rsid w:val="005638D4"/>
    <w:rsid w:val="005656ED"/>
    <w:rsid w:val="00566544"/>
    <w:rsid w:val="00566608"/>
    <w:rsid w:val="00566C83"/>
    <w:rsid w:val="0056749D"/>
    <w:rsid w:val="00567719"/>
    <w:rsid w:val="00567878"/>
    <w:rsid w:val="005700FE"/>
    <w:rsid w:val="00570E24"/>
    <w:rsid w:val="005716F4"/>
    <w:rsid w:val="00572760"/>
    <w:rsid w:val="005743DE"/>
    <w:rsid w:val="005744CF"/>
    <w:rsid w:val="0057470D"/>
    <w:rsid w:val="005747B7"/>
    <w:rsid w:val="00574F3F"/>
    <w:rsid w:val="0057562C"/>
    <w:rsid w:val="005759F6"/>
    <w:rsid w:val="00575E3E"/>
    <w:rsid w:val="005765F5"/>
    <w:rsid w:val="00576D6C"/>
    <w:rsid w:val="00577A2E"/>
    <w:rsid w:val="00580BCE"/>
    <w:rsid w:val="00580E48"/>
    <w:rsid w:val="00580F0A"/>
    <w:rsid w:val="00581246"/>
    <w:rsid w:val="00582C3A"/>
    <w:rsid w:val="00582E1A"/>
    <w:rsid w:val="00583147"/>
    <w:rsid w:val="00584416"/>
    <w:rsid w:val="00584B39"/>
    <w:rsid w:val="00585028"/>
    <w:rsid w:val="005854D1"/>
    <w:rsid w:val="00585F5B"/>
    <w:rsid w:val="00585FFD"/>
    <w:rsid w:val="00586048"/>
    <w:rsid w:val="0058620A"/>
    <w:rsid w:val="00586374"/>
    <w:rsid w:val="00586F38"/>
    <w:rsid w:val="00587FC0"/>
    <w:rsid w:val="005906AD"/>
    <w:rsid w:val="00590DA6"/>
    <w:rsid w:val="00591C7D"/>
    <w:rsid w:val="00592B03"/>
    <w:rsid w:val="005937C5"/>
    <w:rsid w:val="00593AB9"/>
    <w:rsid w:val="00594ABB"/>
    <w:rsid w:val="00594D1C"/>
    <w:rsid w:val="00594E36"/>
    <w:rsid w:val="00594F0A"/>
    <w:rsid w:val="0059525E"/>
    <w:rsid w:val="00595887"/>
    <w:rsid w:val="00595953"/>
    <w:rsid w:val="005961F7"/>
    <w:rsid w:val="00596B9C"/>
    <w:rsid w:val="005A054D"/>
    <w:rsid w:val="005A0A46"/>
    <w:rsid w:val="005A10B9"/>
    <w:rsid w:val="005A11C2"/>
    <w:rsid w:val="005A11EA"/>
    <w:rsid w:val="005A12E2"/>
    <w:rsid w:val="005A269F"/>
    <w:rsid w:val="005A305E"/>
    <w:rsid w:val="005A30BB"/>
    <w:rsid w:val="005A3887"/>
    <w:rsid w:val="005A4D46"/>
    <w:rsid w:val="005A670E"/>
    <w:rsid w:val="005A7532"/>
    <w:rsid w:val="005B0542"/>
    <w:rsid w:val="005B146A"/>
    <w:rsid w:val="005B1D6E"/>
    <w:rsid w:val="005B2225"/>
    <w:rsid w:val="005B2799"/>
    <w:rsid w:val="005B2B77"/>
    <w:rsid w:val="005B36B7"/>
    <w:rsid w:val="005B3D4A"/>
    <w:rsid w:val="005B4D87"/>
    <w:rsid w:val="005B61D3"/>
    <w:rsid w:val="005B7DD1"/>
    <w:rsid w:val="005C00A0"/>
    <w:rsid w:val="005C0A09"/>
    <w:rsid w:val="005C28FA"/>
    <w:rsid w:val="005C2A58"/>
    <w:rsid w:val="005C40F4"/>
    <w:rsid w:val="005C43BE"/>
    <w:rsid w:val="005C44F3"/>
    <w:rsid w:val="005C712D"/>
    <w:rsid w:val="005C7C75"/>
    <w:rsid w:val="005D0E4F"/>
    <w:rsid w:val="005D1E32"/>
    <w:rsid w:val="005D206B"/>
    <w:rsid w:val="005D22B7"/>
    <w:rsid w:val="005D2BDE"/>
    <w:rsid w:val="005D3B79"/>
    <w:rsid w:val="005D3D76"/>
    <w:rsid w:val="005D4578"/>
    <w:rsid w:val="005D4EFA"/>
    <w:rsid w:val="005D55BA"/>
    <w:rsid w:val="005D5ADB"/>
    <w:rsid w:val="005D648A"/>
    <w:rsid w:val="005D7E0D"/>
    <w:rsid w:val="005E06C6"/>
    <w:rsid w:val="005E148D"/>
    <w:rsid w:val="005E1857"/>
    <w:rsid w:val="005E1E34"/>
    <w:rsid w:val="005E234A"/>
    <w:rsid w:val="005E35CC"/>
    <w:rsid w:val="005E371E"/>
    <w:rsid w:val="005E53F9"/>
    <w:rsid w:val="005E550C"/>
    <w:rsid w:val="005E5E38"/>
    <w:rsid w:val="005E6356"/>
    <w:rsid w:val="005E6F53"/>
    <w:rsid w:val="005E775D"/>
    <w:rsid w:val="005E79ED"/>
    <w:rsid w:val="005F0A43"/>
    <w:rsid w:val="005F27BF"/>
    <w:rsid w:val="005F4171"/>
    <w:rsid w:val="005F46D6"/>
    <w:rsid w:val="005F4806"/>
    <w:rsid w:val="005F4BC7"/>
    <w:rsid w:val="005F4DD6"/>
    <w:rsid w:val="005F50D8"/>
    <w:rsid w:val="005F53A1"/>
    <w:rsid w:val="005F5F8A"/>
    <w:rsid w:val="005F6B77"/>
    <w:rsid w:val="005F7487"/>
    <w:rsid w:val="005F7AD0"/>
    <w:rsid w:val="006002C7"/>
    <w:rsid w:val="00600F95"/>
    <w:rsid w:val="00601839"/>
    <w:rsid w:val="00601D3F"/>
    <w:rsid w:val="00601E1F"/>
    <w:rsid w:val="00602759"/>
    <w:rsid w:val="0060277A"/>
    <w:rsid w:val="00602B7C"/>
    <w:rsid w:val="00602DF9"/>
    <w:rsid w:val="00603312"/>
    <w:rsid w:val="00604DC7"/>
    <w:rsid w:val="00604E47"/>
    <w:rsid w:val="00605441"/>
    <w:rsid w:val="00606970"/>
    <w:rsid w:val="00606A20"/>
    <w:rsid w:val="006072C6"/>
    <w:rsid w:val="00607A2E"/>
    <w:rsid w:val="006130F7"/>
    <w:rsid w:val="00613AF8"/>
    <w:rsid w:val="00613B87"/>
    <w:rsid w:val="00613D8E"/>
    <w:rsid w:val="00614071"/>
    <w:rsid w:val="006142E0"/>
    <w:rsid w:val="00616112"/>
    <w:rsid w:val="006205CA"/>
    <w:rsid w:val="00621F53"/>
    <w:rsid w:val="00622B37"/>
    <w:rsid w:val="00622E2A"/>
    <w:rsid w:val="00623089"/>
    <w:rsid w:val="0062308E"/>
    <w:rsid w:val="006234C4"/>
    <w:rsid w:val="006242D4"/>
    <w:rsid w:val="006244C9"/>
    <w:rsid w:val="006245D1"/>
    <w:rsid w:val="006245F6"/>
    <w:rsid w:val="0062475D"/>
    <w:rsid w:val="0062495F"/>
    <w:rsid w:val="00624B57"/>
    <w:rsid w:val="0062660B"/>
    <w:rsid w:val="00626AD1"/>
    <w:rsid w:val="006304BC"/>
    <w:rsid w:val="006306AA"/>
    <w:rsid w:val="00630B73"/>
    <w:rsid w:val="00630DCE"/>
    <w:rsid w:val="0063120A"/>
    <w:rsid w:val="0063150B"/>
    <w:rsid w:val="00631585"/>
    <w:rsid w:val="006343CA"/>
    <w:rsid w:val="00634ACF"/>
    <w:rsid w:val="00635035"/>
    <w:rsid w:val="0063580D"/>
    <w:rsid w:val="006359CD"/>
    <w:rsid w:val="00635CAE"/>
    <w:rsid w:val="00636C54"/>
    <w:rsid w:val="00637240"/>
    <w:rsid w:val="00643660"/>
    <w:rsid w:val="0064562B"/>
    <w:rsid w:val="00645984"/>
    <w:rsid w:val="00647370"/>
    <w:rsid w:val="00650139"/>
    <w:rsid w:val="00650690"/>
    <w:rsid w:val="006525AB"/>
    <w:rsid w:val="00652756"/>
    <w:rsid w:val="00652AD8"/>
    <w:rsid w:val="00652B79"/>
    <w:rsid w:val="006533C3"/>
    <w:rsid w:val="006538D6"/>
    <w:rsid w:val="00654068"/>
    <w:rsid w:val="00654B38"/>
    <w:rsid w:val="00654B83"/>
    <w:rsid w:val="00655061"/>
    <w:rsid w:val="0065510C"/>
    <w:rsid w:val="00655B63"/>
    <w:rsid w:val="00656B01"/>
    <w:rsid w:val="00656F7C"/>
    <w:rsid w:val="006571F6"/>
    <w:rsid w:val="00661008"/>
    <w:rsid w:val="00661272"/>
    <w:rsid w:val="006618CC"/>
    <w:rsid w:val="00662111"/>
    <w:rsid w:val="00662118"/>
    <w:rsid w:val="006638AD"/>
    <w:rsid w:val="00666A36"/>
    <w:rsid w:val="0066732C"/>
    <w:rsid w:val="006679F5"/>
    <w:rsid w:val="00667B77"/>
    <w:rsid w:val="00671667"/>
    <w:rsid w:val="006716DA"/>
    <w:rsid w:val="006727E6"/>
    <w:rsid w:val="006728ED"/>
    <w:rsid w:val="006732B1"/>
    <w:rsid w:val="0067446F"/>
    <w:rsid w:val="006746A4"/>
    <w:rsid w:val="00675558"/>
    <w:rsid w:val="00675611"/>
    <w:rsid w:val="00675A60"/>
    <w:rsid w:val="0067697E"/>
    <w:rsid w:val="00677443"/>
    <w:rsid w:val="0067769A"/>
    <w:rsid w:val="00680024"/>
    <w:rsid w:val="006806A3"/>
    <w:rsid w:val="006806A6"/>
    <w:rsid w:val="0068117A"/>
    <w:rsid w:val="00681211"/>
    <w:rsid w:val="00681570"/>
    <w:rsid w:val="00681B36"/>
    <w:rsid w:val="00682E14"/>
    <w:rsid w:val="00683BF4"/>
    <w:rsid w:val="0068436C"/>
    <w:rsid w:val="0068486E"/>
    <w:rsid w:val="00685422"/>
    <w:rsid w:val="0068545E"/>
    <w:rsid w:val="00685FD4"/>
    <w:rsid w:val="00686612"/>
    <w:rsid w:val="0068661E"/>
    <w:rsid w:val="00690A49"/>
    <w:rsid w:val="00690BB6"/>
    <w:rsid w:val="00691B30"/>
    <w:rsid w:val="00693E1F"/>
    <w:rsid w:val="00693ECB"/>
    <w:rsid w:val="006944D6"/>
    <w:rsid w:val="006946ED"/>
    <w:rsid w:val="00694797"/>
    <w:rsid w:val="00695887"/>
    <w:rsid w:val="00695924"/>
    <w:rsid w:val="0069748D"/>
    <w:rsid w:val="00697733"/>
    <w:rsid w:val="006A254E"/>
    <w:rsid w:val="006A2C30"/>
    <w:rsid w:val="006A301C"/>
    <w:rsid w:val="006A3E2B"/>
    <w:rsid w:val="006A6E17"/>
    <w:rsid w:val="006B09D7"/>
    <w:rsid w:val="006B0C41"/>
    <w:rsid w:val="006B11B7"/>
    <w:rsid w:val="006B120D"/>
    <w:rsid w:val="006B17E7"/>
    <w:rsid w:val="006B19E8"/>
    <w:rsid w:val="006B1A8A"/>
    <w:rsid w:val="006B1FD5"/>
    <w:rsid w:val="006B4C33"/>
    <w:rsid w:val="006B555A"/>
    <w:rsid w:val="006B600A"/>
    <w:rsid w:val="006B6635"/>
    <w:rsid w:val="006B7D22"/>
    <w:rsid w:val="006B7D2C"/>
    <w:rsid w:val="006C0336"/>
    <w:rsid w:val="006C1019"/>
    <w:rsid w:val="006C14B7"/>
    <w:rsid w:val="006C2655"/>
    <w:rsid w:val="006C2BB5"/>
    <w:rsid w:val="006C2BEE"/>
    <w:rsid w:val="006C384C"/>
    <w:rsid w:val="006C3AD8"/>
    <w:rsid w:val="006C4516"/>
    <w:rsid w:val="006C455E"/>
    <w:rsid w:val="006C5132"/>
    <w:rsid w:val="006C5958"/>
    <w:rsid w:val="006C5B4F"/>
    <w:rsid w:val="006C643C"/>
    <w:rsid w:val="006C6E3A"/>
    <w:rsid w:val="006C6FD7"/>
    <w:rsid w:val="006D00DB"/>
    <w:rsid w:val="006D0361"/>
    <w:rsid w:val="006D16B0"/>
    <w:rsid w:val="006D1A4F"/>
    <w:rsid w:val="006D1F40"/>
    <w:rsid w:val="006D2182"/>
    <w:rsid w:val="006D2444"/>
    <w:rsid w:val="006D254B"/>
    <w:rsid w:val="006D289B"/>
    <w:rsid w:val="006D3BE1"/>
    <w:rsid w:val="006D48FC"/>
    <w:rsid w:val="006D5B57"/>
    <w:rsid w:val="006D62BC"/>
    <w:rsid w:val="006D6450"/>
    <w:rsid w:val="006D6939"/>
    <w:rsid w:val="006D7091"/>
    <w:rsid w:val="006D7EB0"/>
    <w:rsid w:val="006E0138"/>
    <w:rsid w:val="006E0BB0"/>
    <w:rsid w:val="006E1167"/>
    <w:rsid w:val="006E12C3"/>
    <w:rsid w:val="006E2529"/>
    <w:rsid w:val="006E45F3"/>
    <w:rsid w:val="006E4A2F"/>
    <w:rsid w:val="006E4ED4"/>
    <w:rsid w:val="006E5E19"/>
    <w:rsid w:val="006E61C3"/>
    <w:rsid w:val="006E799D"/>
    <w:rsid w:val="006F0593"/>
    <w:rsid w:val="006F0830"/>
    <w:rsid w:val="006F1064"/>
    <w:rsid w:val="006F1EB7"/>
    <w:rsid w:val="006F4094"/>
    <w:rsid w:val="006F52E5"/>
    <w:rsid w:val="006F6066"/>
    <w:rsid w:val="006F6850"/>
    <w:rsid w:val="006F707E"/>
    <w:rsid w:val="007001DC"/>
    <w:rsid w:val="00700B85"/>
    <w:rsid w:val="0070117F"/>
    <w:rsid w:val="007025CB"/>
    <w:rsid w:val="007034AA"/>
    <w:rsid w:val="00703C9D"/>
    <w:rsid w:val="0070490C"/>
    <w:rsid w:val="00705C38"/>
    <w:rsid w:val="00706465"/>
    <w:rsid w:val="0070695A"/>
    <w:rsid w:val="0070782D"/>
    <w:rsid w:val="00710746"/>
    <w:rsid w:val="007109C2"/>
    <w:rsid w:val="00711340"/>
    <w:rsid w:val="00712C42"/>
    <w:rsid w:val="007130D0"/>
    <w:rsid w:val="00713DE4"/>
    <w:rsid w:val="00714C47"/>
    <w:rsid w:val="00716368"/>
    <w:rsid w:val="00716462"/>
    <w:rsid w:val="00717332"/>
    <w:rsid w:val="00721084"/>
    <w:rsid w:val="00721262"/>
    <w:rsid w:val="00721286"/>
    <w:rsid w:val="00721D9B"/>
    <w:rsid w:val="00721DC4"/>
    <w:rsid w:val="00722121"/>
    <w:rsid w:val="007224B9"/>
    <w:rsid w:val="00722F94"/>
    <w:rsid w:val="00723AA7"/>
    <w:rsid w:val="0072432E"/>
    <w:rsid w:val="00726036"/>
    <w:rsid w:val="00726279"/>
    <w:rsid w:val="00726A9B"/>
    <w:rsid w:val="00726BBD"/>
    <w:rsid w:val="007272DC"/>
    <w:rsid w:val="00727530"/>
    <w:rsid w:val="00731E7C"/>
    <w:rsid w:val="007329EF"/>
    <w:rsid w:val="0073327A"/>
    <w:rsid w:val="00733ADB"/>
    <w:rsid w:val="00734EBE"/>
    <w:rsid w:val="00734F11"/>
    <w:rsid w:val="00736DD8"/>
    <w:rsid w:val="0074050B"/>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7C6"/>
    <w:rsid w:val="0074704F"/>
    <w:rsid w:val="00747F40"/>
    <w:rsid w:val="00747F48"/>
    <w:rsid w:val="00747F4C"/>
    <w:rsid w:val="00750388"/>
    <w:rsid w:val="00751091"/>
    <w:rsid w:val="00751B83"/>
    <w:rsid w:val="00753513"/>
    <w:rsid w:val="00754359"/>
    <w:rsid w:val="00754411"/>
    <w:rsid w:val="00754633"/>
    <w:rsid w:val="00754BD9"/>
    <w:rsid w:val="00754E7A"/>
    <w:rsid w:val="0075540C"/>
    <w:rsid w:val="007554B8"/>
    <w:rsid w:val="00755DB1"/>
    <w:rsid w:val="007574FC"/>
    <w:rsid w:val="00760766"/>
    <w:rsid w:val="00760975"/>
    <w:rsid w:val="00761FDA"/>
    <w:rsid w:val="007621FF"/>
    <w:rsid w:val="00762C0A"/>
    <w:rsid w:val="00763111"/>
    <w:rsid w:val="007634E3"/>
    <w:rsid w:val="00764194"/>
    <w:rsid w:val="0076430D"/>
    <w:rsid w:val="00765ED3"/>
    <w:rsid w:val="0076681D"/>
    <w:rsid w:val="00766A65"/>
    <w:rsid w:val="007671F5"/>
    <w:rsid w:val="007676B8"/>
    <w:rsid w:val="00767ADD"/>
    <w:rsid w:val="007702DD"/>
    <w:rsid w:val="0077175C"/>
    <w:rsid w:val="00771870"/>
    <w:rsid w:val="00771BF9"/>
    <w:rsid w:val="00772F8A"/>
    <w:rsid w:val="007739C6"/>
    <w:rsid w:val="00774889"/>
    <w:rsid w:val="00774FF5"/>
    <w:rsid w:val="007750B3"/>
    <w:rsid w:val="00775F76"/>
    <w:rsid w:val="007768CD"/>
    <w:rsid w:val="00776AEA"/>
    <w:rsid w:val="00777BA0"/>
    <w:rsid w:val="007803BD"/>
    <w:rsid w:val="007811DC"/>
    <w:rsid w:val="00781C25"/>
    <w:rsid w:val="007820FA"/>
    <w:rsid w:val="0078285F"/>
    <w:rsid w:val="00783207"/>
    <w:rsid w:val="00783E1D"/>
    <w:rsid w:val="00783E81"/>
    <w:rsid w:val="0078483B"/>
    <w:rsid w:val="00784BC0"/>
    <w:rsid w:val="00784EED"/>
    <w:rsid w:val="00785900"/>
    <w:rsid w:val="00785C1E"/>
    <w:rsid w:val="00786958"/>
    <w:rsid w:val="00786E71"/>
    <w:rsid w:val="00790F88"/>
    <w:rsid w:val="0079162F"/>
    <w:rsid w:val="00792411"/>
    <w:rsid w:val="007927DA"/>
    <w:rsid w:val="00794924"/>
    <w:rsid w:val="00795552"/>
    <w:rsid w:val="0079599D"/>
    <w:rsid w:val="007973D4"/>
    <w:rsid w:val="007A0407"/>
    <w:rsid w:val="007A0BC2"/>
    <w:rsid w:val="007A1F44"/>
    <w:rsid w:val="007A23FF"/>
    <w:rsid w:val="007A295B"/>
    <w:rsid w:val="007A3424"/>
    <w:rsid w:val="007A35EF"/>
    <w:rsid w:val="007A3C54"/>
    <w:rsid w:val="007A43A2"/>
    <w:rsid w:val="007A4D04"/>
    <w:rsid w:val="007A5801"/>
    <w:rsid w:val="007A7A96"/>
    <w:rsid w:val="007B03AF"/>
    <w:rsid w:val="007B0477"/>
    <w:rsid w:val="007B1543"/>
    <w:rsid w:val="007B1AC0"/>
    <w:rsid w:val="007B270A"/>
    <w:rsid w:val="007B2D3B"/>
    <w:rsid w:val="007B52CD"/>
    <w:rsid w:val="007B7DC1"/>
    <w:rsid w:val="007B7EDB"/>
    <w:rsid w:val="007C19AD"/>
    <w:rsid w:val="007C3436"/>
    <w:rsid w:val="007C3598"/>
    <w:rsid w:val="007C3FA8"/>
    <w:rsid w:val="007C5106"/>
    <w:rsid w:val="007C64F7"/>
    <w:rsid w:val="007C68DA"/>
    <w:rsid w:val="007C69AA"/>
    <w:rsid w:val="007D1682"/>
    <w:rsid w:val="007D1E41"/>
    <w:rsid w:val="007D229A"/>
    <w:rsid w:val="007D22DB"/>
    <w:rsid w:val="007D2F44"/>
    <w:rsid w:val="007D2F4D"/>
    <w:rsid w:val="007D3024"/>
    <w:rsid w:val="007D4178"/>
    <w:rsid w:val="007D4D33"/>
    <w:rsid w:val="007D54D4"/>
    <w:rsid w:val="007D7175"/>
    <w:rsid w:val="007E1085"/>
    <w:rsid w:val="007E1369"/>
    <w:rsid w:val="007E1688"/>
    <w:rsid w:val="007E1A1B"/>
    <w:rsid w:val="007E1A88"/>
    <w:rsid w:val="007E2757"/>
    <w:rsid w:val="007E4C88"/>
    <w:rsid w:val="007E585E"/>
    <w:rsid w:val="007E6D09"/>
    <w:rsid w:val="007E7DDF"/>
    <w:rsid w:val="007F00E3"/>
    <w:rsid w:val="007F0CB3"/>
    <w:rsid w:val="007F11C8"/>
    <w:rsid w:val="007F18FA"/>
    <w:rsid w:val="007F1CFB"/>
    <w:rsid w:val="007F2042"/>
    <w:rsid w:val="007F220B"/>
    <w:rsid w:val="007F2580"/>
    <w:rsid w:val="007F27DD"/>
    <w:rsid w:val="007F2957"/>
    <w:rsid w:val="007F3CDD"/>
    <w:rsid w:val="007F56E1"/>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17FB3"/>
    <w:rsid w:val="00820244"/>
    <w:rsid w:val="00820F51"/>
    <w:rsid w:val="008221B3"/>
    <w:rsid w:val="0082248E"/>
    <w:rsid w:val="0082339B"/>
    <w:rsid w:val="00824FDF"/>
    <w:rsid w:val="00825125"/>
    <w:rsid w:val="008257CC"/>
    <w:rsid w:val="008274BF"/>
    <w:rsid w:val="00830DC3"/>
    <w:rsid w:val="00831555"/>
    <w:rsid w:val="00831F52"/>
    <w:rsid w:val="00832154"/>
    <w:rsid w:val="0083231E"/>
    <w:rsid w:val="0083252F"/>
    <w:rsid w:val="00832F5C"/>
    <w:rsid w:val="008359E0"/>
    <w:rsid w:val="00837213"/>
    <w:rsid w:val="008376F6"/>
    <w:rsid w:val="00837D5B"/>
    <w:rsid w:val="008403AD"/>
    <w:rsid w:val="00840607"/>
    <w:rsid w:val="008406C1"/>
    <w:rsid w:val="00841CD2"/>
    <w:rsid w:val="00842B77"/>
    <w:rsid w:val="0084309F"/>
    <w:rsid w:val="008438BE"/>
    <w:rsid w:val="00845461"/>
    <w:rsid w:val="00845C12"/>
    <w:rsid w:val="00846412"/>
    <w:rsid w:val="008469D9"/>
    <w:rsid w:val="00846DC0"/>
    <w:rsid w:val="008474A7"/>
    <w:rsid w:val="00847C84"/>
    <w:rsid w:val="008506B6"/>
    <w:rsid w:val="00850AE0"/>
    <w:rsid w:val="00851B93"/>
    <w:rsid w:val="008524D2"/>
    <w:rsid w:val="0085255E"/>
    <w:rsid w:val="00852A85"/>
    <w:rsid w:val="00852E19"/>
    <w:rsid w:val="00856833"/>
    <w:rsid w:val="00856840"/>
    <w:rsid w:val="0086087C"/>
    <w:rsid w:val="00860D8E"/>
    <w:rsid w:val="0086275E"/>
    <w:rsid w:val="00864440"/>
    <w:rsid w:val="00864D76"/>
    <w:rsid w:val="00864EED"/>
    <w:rsid w:val="008650FC"/>
    <w:rsid w:val="008653A1"/>
    <w:rsid w:val="00866EB3"/>
    <w:rsid w:val="0086701A"/>
    <w:rsid w:val="00867BD2"/>
    <w:rsid w:val="008712FD"/>
    <w:rsid w:val="008716A1"/>
    <w:rsid w:val="00872D3F"/>
    <w:rsid w:val="008733E4"/>
    <w:rsid w:val="00873F15"/>
    <w:rsid w:val="00874096"/>
    <w:rsid w:val="008756A4"/>
    <w:rsid w:val="00875F73"/>
    <w:rsid w:val="00877D14"/>
    <w:rsid w:val="00880F30"/>
    <w:rsid w:val="008833E8"/>
    <w:rsid w:val="0088709B"/>
    <w:rsid w:val="00887B48"/>
    <w:rsid w:val="00890691"/>
    <w:rsid w:val="0089176E"/>
    <w:rsid w:val="008917E0"/>
    <w:rsid w:val="00892365"/>
    <w:rsid w:val="00892BE5"/>
    <w:rsid w:val="0089387C"/>
    <w:rsid w:val="00893EF1"/>
    <w:rsid w:val="0089444E"/>
    <w:rsid w:val="008949DF"/>
    <w:rsid w:val="008951DB"/>
    <w:rsid w:val="00896C81"/>
    <w:rsid w:val="00896D83"/>
    <w:rsid w:val="008A053C"/>
    <w:rsid w:val="008A0AB2"/>
    <w:rsid w:val="008A0CFC"/>
    <w:rsid w:val="008A12FE"/>
    <w:rsid w:val="008A28B6"/>
    <w:rsid w:val="008A2BB1"/>
    <w:rsid w:val="008A3466"/>
    <w:rsid w:val="008A389F"/>
    <w:rsid w:val="008A3D02"/>
    <w:rsid w:val="008A49DE"/>
    <w:rsid w:val="008A549C"/>
    <w:rsid w:val="008A5940"/>
    <w:rsid w:val="008A5F71"/>
    <w:rsid w:val="008A73B2"/>
    <w:rsid w:val="008B043F"/>
    <w:rsid w:val="008B0808"/>
    <w:rsid w:val="008B0AEC"/>
    <w:rsid w:val="008B1E53"/>
    <w:rsid w:val="008B1E5B"/>
    <w:rsid w:val="008B2EBD"/>
    <w:rsid w:val="008B389D"/>
    <w:rsid w:val="008B3C5C"/>
    <w:rsid w:val="008B440F"/>
    <w:rsid w:val="008B46A2"/>
    <w:rsid w:val="008B4999"/>
    <w:rsid w:val="008B4C74"/>
    <w:rsid w:val="008B5299"/>
    <w:rsid w:val="008B5A5F"/>
    <w:rsid w:val="008B5AB0"/>
    <w:rsid w:val="008B6054"/>
    <w:rsid w:val="008B7B08"/>
    <w:rsid w:val="008B7BEA"/>
    <w:rsid w:val="008C13F0"/>
    <w:rsid w:val="008C1F26"/>
    <w:rsid w:val="008C2A3A"/>
    <w:rsid w:val="008C4C7E"/>
    <w:rsid w:val="008C5C46"/>
    <w:rsid w:val="008C6184"/>
    <w:rsid w:val="008C64C1"/>
    <w:rsid w:val="008C785E"/>
    <w:rsid w:val="008D0AFB"/>
    <w:rsid w:val="008D1511"/>
    <w:rsid w:val="008D32DF"/>
    <w:rsid w:val="008D35B8"/>
    <w:rsid w:val="008D35E9"/>
    <w:rsid w:val="008D3959"/>
    <w:rsid w:val="008D3966"/>
    <w:rsid w:val="008D431A"/>
    <w:rsid w:val="008D4352"/>
    <w:rsid w:val="008D45E6"/>
    <w:rsid w:val="008D5525"/>
    <w:rsid w:val="008D5C43"/>
    <w:rsid w:val="008D60BC"/>
    <w:rsid w:val="008D6D7B"/>
    <w:rsid w:val="008D7935"/>
    <w:rsid w:val="008D7EB7"/>
    <w:rsid w:val="008E06CD"/>
    <w:rsid w:val="008E0EB8"/>
    <w:rsid w:val="008E10A6"/>
    <w:rsid w:val="008E1271"/>
    <w:rsid w:val="008E2251"/>
    <w:rsid w:val="008E24B3"/>
    <w:rsid w:val="008E24CA"/>
    <w:rsid w:val="008E2F6E"/>
    <w:rsid w:val="008E38AD"/>
    <w:rsid w:val="008E3EEC"/>
    <w:rsid w:val="008E5BF2"/>
    <w:rsid w:val="008E5C81"/>
    <w:rsid w:val="008F00AB"/>
    <w:rsid w:val="008F029D"/>
    <w:rsid w:val="008F0A38"/>
    <w:rsid w:val="008F0C18"/>
    <w:rsid w:val="008F0F84"/>
    <w:rsid w:val="008F1014"/>
    <w:rsid w:val="008F11C9"/>
    <w:rsid w:val="008F23D8"/>
    <w:rsid w:val="008F25D0"/>
    <w:rsid w:val="008F2FD5"/>
    <w:rsid w:val="008F37E5"/>
    <w:rsid w:val="008F48C2"/>
    <w:rsid w:val="008F5840"/>
    <w:rsid w:val="008F5EEF"/>
    <w:rsid w:val="008F66FE"/>
    <w:rsid w:val="008F72CC"/>
    <w:rsid w:val="008F72CD"/>
    <w:rsid w:val="00900D8B"/>
    <w:rsid w:val="00901903"/>
    <w:rsid w:val="00903802"/>
    <w:rsid w:val="0090696D"/>
    <w:rsid w:val="00906CD6"/>
    <w:rsid w:val="00906E4D"/>
    <w:rsid w:val="00906F31"/>
    <w:rsid w:val="009078B3"/>
    <w:rsid w:val="00907A77"/>
    <w:rsid w:val="00907E00"/>
    <w:rsid w:val="0091088D"/>
    <w:rsid w:val="00910FC9"/>
    <w:rsid w:val="00911DAA"/>
    <w:rsid w:val="0091291A"/>
    <w:rsid w:val="00913612"/>
    <w:rsid w:val="0091366A"/>
    <w:rsid w:val="00913824"/>
    <w:rsid w:val="00915757"/>
    <w:rsid w:val="009159B3"/>
    <w:rsid w:val="00916181"/>
    <w:rsid w:val="00916C89"/>
    <w:rsid w:val="00916E48"/>
    <w:rsid w:val="009204C5"/>
    <w:rsid w:val="0092180D"/>
    <w:rsid w:val="009232C9"/>
    <w:rsid w:val="00923608"/>
    <w:rsid w:val="009238E5"/>
    <w:rsid w:val="00923F12"/>
    <w:rsid w:val="00924680"/>
    <w:rsid w:val="00924FF8"/>
    <w:rsid w:val="009254E8"/>
    <w:rsid w:val="00925BA8"/>
    <w:rsid w:val="00925D23"/>
    <w:rsid w:val="00926DA7"/>
    <w:rsid w:val="00927F8B"/>
    <w:rsid w:val="00930783"/>
    <w:rsid w:val="0093094D"/>
    <w:rsid w:val="0093212C"/>
    <w:rsid w:val="009328C7"/>
    <w:rsid w:val="009336EC"/>
    <w:rsid w:val="00933F56"/>
    <w:rsid w:val="00934C13"/>
    <w:rsid w:val="00935228"/>
    <w:rsid w:val="009355A2"/>
    <w:rsid w:val="00935F9E"/>
    <w:rsid w:val="00936815"/>
    <w:rsid w:val="00936D98"/>
    <w:rsid w:val="00937057"/>
    <w:rsid w:val="009409C0"/>
    <w:rsid w:val="00942B01"/>
    <w:rsid w:val="00942C80"/>
    <w:rsid w:val="00943197"/>
    <w:rsid w:val="009435F2"/>
    <w:rsid w:val="0094392E"/>
    <w:rsid w:val="009442E2"/>
    <w:rsid w:val="0094505E"/>
    <w:rsid w:val="00945180"/>
    <w:rsid w:val="0094590C"/>
    <w:rsid w:val="00946355"/>
    <w:rsid w:val="009468B7"/>
    <w:rsid w:val="0094724E"/>
    <w:rsid w:val="00947BE6"/>
    <w:rsid w:val="0095048D"/>
    <w:rsid w:val="00951ADB"/>
    <w:rsid w:val="0095380C"/>
    <w:rsid w:val="00953BA8"/>
    <w:rsid w:val="00954353"/>
    <w:rsid w:val="00955C0A"/>
    <w:rsid w:val="00955C4F"/>
    <w:rsid w:val="00960453"/>
    <w:rsid w:val="00964B89"/>
    <w:rsid w:val="00965604"/>
    <w:rsid w:val="009657F1"/>
    <w:rsid w:val="0096625D"/>
    <w:rsid w:val="00967319"/>
    <w:rsid w:val="00967527"/>
    <w:rsid w:val="009709F8"/>
    <w:rsid w:val="00972929"/>
    <w:rsid w:val="00972F91"/>
    <w:rsid w:val="00973827"/>
    <w:rsid w:val="0097424E"/>
    <w:rsid w:val="009742D3"/>
    <w:rsid w:val="009758C2"/>
    <w:rsid w:val="00975A30"/>
    <w:rsid w:val="00976E19"/>
    <w:rsid w:val="0097787D"/>
    <w:rsid w:val="00977BA7"/>
    <w:rsid w:val="0098194F"/>
    <w:rsid w:val="009826C8"/>
    <w:rsid w:val="00982DA1"/>
    <w:rsid w:val="009836E4"/>
    <w:rsid w:val="00983CA7"/>
    <w:rsid w:val="0098412F"/>
    <w:rsid w:val="00985F28"/>
    <w:rsid w:val="00986149"/>
    <w:rsid w:val="00986176"/>
    <w:rsid w:val="00986E7F"/>
    <w:rsid w:val="00987536"/>
    <w:rsid w:val="00990BD5"/>
    <w:rsid w:val="0099196F"/>
    <w:rsid w:val="00992B98"/>
    <w:rsid w:val="0099359F"/>
    <w:rsid w:val="00993BEE"/>
    <w:rsid w:val="00993D6C"/>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065B"/>
    <w:rsid w:val="009B1EF9"/>
    <w:rsid w:val="009B26AC"/>
    <w:rsid w:val="009B328D"/>
    <w:rsid w:val="009B37E2"/>
    <w:rsid w:val="009B4519"/>
    <w:rsid w:val="009B506B"/>
    <w:rsid w:val="009B57EF"/>
    <w:rsid w:val="009B5B85"/>
    <w:rsid w:val="009B7204"/>
    <w:rsid w:val="009C0074"/>
    <w:rsid w:val="009C0564"/>
    <w:rsid w:val="009C0598"/>
    <w:rsid w:val="009C2685"/>
    <w:rsid w:val="009C2AC0"/>
    <w:rsid w:val="009C39BC"/>
    <w:rsid w:val="009C4BC2"/>
    <w:rsid w:val="009C4D22"/>
    <w:rsid w:val="009C633E"/>
    <w:rsid w:val="009C7320"/>
    <w:rsid w:val="009C7A0C"/>
    <w:rsid w:val="009D0729"/>
    <w:rsid w:val="009D0F66"/>
    <w:rsid w:val="009D1A06"/>
    <w:rsid w:val="009D1BA4"/>
    <w:rsid w:val="009D1EC2"/>
    <w:rsid w:val="009D22E4"/>
    <w:rsid w:val="009D22F7"/>
    <w:rsid w:val="009D319C"/>
    <w:rsid w:val="009D4110"/>
    <w:rsid w:val="009D4BDC"/>
    <w:rsid w:val="009D5BAB"/>
    <w:rsid w:val="009D6A0A"/>
    <w:rsid w:val="009D7F7C"/>
    <w:rsid w:val="009E058F"/>
    <w:rsid w:val="009E0A9E"/>
    <w:rsid w:val="009E180A"/>
    <w:rsid w:val="009E19A2"/>
    <w:rsid w:val="009E2928"/>
    <w:rsid w:val="009E3AFD"/>
    <w:rsid w:val="009E3CDD"/>
    <w:rsid w:val="009E3D56"/>
    <w:rsid w:val="009E4B16"/>
    <w:rsid w:val="009E5236"/>
    <w:rsid w:val="009E5C60"/>
    <w:rsid w:val="009E64DB"/>
    <w:rsid w:val="009E6794"/>
    <w:rsid w:val="009E7189"/>
    <w:rsid w:val="009E7E46"/>
    <w:rsid w:val="009E7FC1"/>
    <w:rsid w:val="009F01E1"/>
    <w:rsid w:val="009F0B4D"/>
    <w:rsid w:val="009F0E4C"/>
    <w:rsid w:val="009F1096"/>
    <w:rsid w:val="009F150E"/>
    <w:rsid w:val="009F21B8"/>
    <w:rsid w:val="009F27AD"/>
    <w:rsid w:val="009F3260"/>
    <w:rsid w:val="009F3FB5"/>
    <w:rsid w:val="009F4BEB"/>
    <w:rsid w:val="009F521F"/>
    <w:rsid w:val="009F553C"/>
    <w:rsid w:val="009F59F8"/>
    <w:rsid w:val="009F6907"/>
    <w:rsid w:val="009F6AB1"/>
    <w:rsid w:val="00A00020"/>
    <w:rsid w:val="00A00418"/>
    <w:rsid w:val="00A005B0"/>
    <w:rsid w:val="00A01F17"/>
    <w:rsid w:val="00A022A5"/>
    <w:rsid w:val="00A0277D"/>
    <w:rsid w:val="00A03A22"/>
    <w:rsid w:val="00A04634"/>
    <w:rsid w:val="00A06119"/>
    <w:rsid w:val="00A07A48"/>
    <w:rsid w:val="00A104DF"/>
    <w:rsid w:val="00A108EE"/>
    <w:rsid w:val="00A10BB8"/>
    <w:rsid w:val="00A11B81"/>
    <w:rsid w:val="00A12C76"/>
    <w:rsid w:val="00A137E4"/>
    <w:rsid w:val="00A14813"/>
    <w:rsid w:val="00A1566A"/>
    <w:rsid w:val="00A165BF"/>
    <w:rsid w:val="00A16762"/>
    <w:rsid w:val="00A172E8"/>
    <w:rsid w:val="00A179FF"/>
    <w:rsid w:val="00A21A36"/>
    <w:rsid w:val="00A231F7"/>
    <w:rsid w:val="00A25294"/>
    <w:rsid w:val="00A254EE"/>
    <w:rsid w:val="00A2578D"/>
    <w:rsid w:val="00A25BE7"/>
    <w:rsid w:val="00A27008"/>
    <w:rsid w:val="00A27CDF"/>
    <w:rsid w:val="00A309C6"/>
    <w:rsid w:val="00A30D13"/>
    <w:rsid w:val="00A31353"/>
    <w:rsid w:val="00A319D0"/>
    <w:rsid w:val="00A32316"/>
    <w:rsid w:val="00A33127"/>
    <w:rsid w:val="00A33172"/>
    <w:rsid w:val="00A3432B"/>
    <w:rsid w:val="00A346BA"/>
    <w:rsid w:val="00A34C67"/>
    <w:rsid w:val="00A34D62"/>
    <w:rsid w:val="00A35803"/>
    <w:rsid w:val="00A3611D"/>
    <w:rsid w:val="00A36339"/>
    <w:rsid w:val="00A366E4"/>
    <w:rsid w:val="00A42842"/>
    <w:rsid w:val="00A4301D"/>
    <w:rsid w:val="00A4376F"/>
    <w:rsid w:val="00A4516C"/>
    <w:rsid w:val="00A4549F"/>
    <w:rsid w:val="00A45B9B"/>
    <w:rsid w:val="00A462FE"/>
    <w:rsid w:val="00A46A60"/>
    <w:rsid w:val="00A501C9"/>
    <w:rsid w:val="00A50506"/>
    <w:rsid w:val="00A51423"/>
    <w:rsid w:val="00A53F55"/>
    <w:rsid w:val="00A5417B"/>
    <w:rsid w:val="00A54599"/>
    <w:rsid w:val="00A54B82"/>
    <w:rsid w:val="00A5667C"/>
    <w:rsid w:val="00A569D4"/>
    <w:rsid w:val="00A57F1A"/>
    <w:rsid w:val="00A60163"/>
    <w:rsid w:val="00A6038D"/>
    <w:rsid w:val="00A60CF0"/>
    <w:rsid w:val="00A61429"/>
    <w:rsid w:val="00A61514"/>
    <w:rsid w:val="00A61645"/>
    <w:rsid w:val="00A62080"/>
    <w:rsid w:val="00A630A2"/>
    <w:rsid w:val="00A632B8"/>
    <w:rsid w:val="00A63BF3"/>
    <w:rsid w:val="00A64942"/>
    <w:rsid w:val="00A64E03"/>
    <w:rsid w:val="00A65254"/>
    <w:rsid w:val="00A65911"/>
    <w:rsid w:val="00A6643C"/>
    <w:rsid w:val="00A666C7"/>
    <w:rsid w:val="00A66B6F"/>
    <w:rsid w:val="00A67544"/>
    <w:rsid w:val="00A678FE"/>
    <w:rsid w:val="00A703E1"/>
    <w:rsid w:val="00A7075B"/>
    <w:rsid w:val="00A71436"/>
    <w:rsid w:val="00A71CE6"/>
    <w:rsid w:val="00A71D23"/>
    <w:rsid w:val="00A7333A"/>
    <w:rsid w:val="00A73D0D"/>
    <w:rsid w:val="00A74A92"/>
    <w:rsid w:val="00A75CC1"/>
    <w:rsid w:val="00A75E88"/>
    <w:rsid w:val="00A8056E"/>
    <w:rsid w:val="00A82D58"/>
    <w:rsid w:val="00A8399D"/>
    <w:rsid w:val="00A83E3D"/>
    <w:rsid w:val="00A8443A"/>
    <w:rsid w:val="00A8479C"/>
    <w:rsid w:val="00A84C72"/>
    <w:rsid w:val="00A851DF"/>
    <w:rsid w:val="00A8557B"/>
    <w:rsid w:val="00A85A05"/>
    <w:rsid w:val="00A86D63"/>
    <w:rsid w:val="00A86F37"/>
    <w:rsid w:val="00A87797"/>
    <w:rsid w:val="00A87E20"/>
    <w:rsid w:val="00A90E72"/>
    <w:rsid w:val="00A922A2"/>
    <w:rsid w:val="00A9327B"/>
    <w:rsid w:val="00A935A1"/>
    <w:rsid w:val="00A93B69"/>
    <w:rsid w:val="00A963C7"/>
    <w:rsid w:val="00A969C9"/>
    <w:rsid w:val="00A96BD6"/>
    <w:rsid w:val="00A96E3E"/>
    <w:rsid w:val="00A9719B"/>
    <w:rsid w:val="00A97247"/>
    <w:rsid w:val="00AA1626"/>
    <w:rsid w:val="00AA1C25"/>
    <w:rsid w:val="00AA3DB7"/>
    <w:rsid w:val="00AA44A9"/>
    <w:rsid w:val="00AA51F5"/>
    <w:rsid w:val="00AA5B96"/>
    <w:rsid w:val="00AA5E3B"/>
    <w:rsid w:val="00AA68B4"/>
    <w:rsid w:val="00AA7925"/>
    <w:rsid w:val="00AB0543"/>
    <w:rsid w:val="00AB0AC9"/>
    <w:rsid w:val="00AB0BE6"/>
    <w:rsid w:val="00AB185A"/>
    <w:rsid w:val="00AB1BA7"/>
    <w:rsid w:val="00AB1E04"/>
    <w:rsid w:val="00AB3113"/>
    <w:rsid w:val="00AB348A"/>
    <w:rsid w:val="00AB3E84"/>
    <w:rsid w:val="00AB3F38"/>
    <w:rsid w:val="00AB43EC"/>
    <w:rsid w:val="00AB4BF4"/>
    <w:rsid w:val="00AB50E4"/>
    <w:rsid w:val="00AB5ADF"/>
    <w:rsid w:val="00AB5E57"/>
    <w:rsid w:val="00AB725F"/>
    <w:rsid w:val="00AB7635"/>
    <w:rsid w:val="00AC0705"/>
    <w:rsid w:val="00AC0B26"/>
    <w:rsid w:val="00AC109B"/>
    <w:rsid w:val="00AC2DE6"/>
    <w:rsid w:val="00AC5248"/>
    <w:rsid w:val="00AC5CF6"/>
    <w:rsid w:val="00AC6760"/>
    <w:rsid w:val="00AC6E30"/>
    <w:rsid w:val="00AC74DA"/>
    <w:rsid w:val="00AC7A2B"/>
    <w:rsid w:val="00AC7C25"/>
    <w:rsid w:val="00AD0A51"/>
    <w:rsid w:val="00AD0B37"/>
    <w:rsid w:val="00AD11F7"/>
    <w:rsid w:val="00AD1DB7"/>
    <w:rsid w:val="00AD2852"/>
    <w:rsid w:val="00AD3976"/>
    <w:rsid w:val="00AD4D2A"/>
    <w:rsid w:val="00AD526F"/>
    <w:rsid w:val="00AD542F"/>
    <w:rsid w:val="00AD543A"/>
    <w:rsid w:val="00AD7305"/>
    <w:rsid w:val="00AD747E"/>
    <w:rsid w:val="00AD7548"/>
    <w:rsid w:val="00AD76C8"/>
    <w:rsid w:val="00AD7E64"/>
    <w:rsid w:val="00AE0C56"/>
    <w:rsid w:val="00AE149E"/>
    <w:rsid w:val="00AE22F2"/>
    <w:rsid w:val="00AE29FC"/>
    <w:rsid w:val="00AE2F3F"/>
    <w:rsid w:val="00AE3B4E"/>
    <w:rsid w:val="00AE59EC"/>
    <w:rsid w:val="00AE63CC"/>
    <w:rsid w:val="00AE67B3"/>
    <w:rsid w:val="00AE7864"/>
    <w:rsid w:val="00AE7949"/>
    <w:rsid w:val="00AF0D68"/>
    <w:rsid w:val="00AF1BAD"/>
    <w:rsid w:val="00AF25D5"/>
    <w:rsid w:val="00AF3DBB"/>
    <w:rsid w:val="00AF45A3"/>
    <w:rsid w:val="00AF5194"/>
    <w:rsid w:val="00AF53EF"/>
    <w:rsid w:val="00AF73C3"/>
    <w:rsid w:val="00AF795C"/>
    <w:rsid w:val="00B00752"/>
    <w:rsid w:val="00B00816"/>
    <w:rsid w:val="00B026C1"/>
    <w:rsid w:val="00B027D7"/>
    <w:rsid w:val="00B02B9C"/>
    <w:rsid w:val="00B0353B"/>
    <w:rsid w:val="00B03E06"/>
    <w:rsid w:val="00B03E2A"/>
    <w:rsid w:val="00B040B2"/>
    <w:rsid w:val="00B069A3"/>
    <w:rsid w:val="00B10558"/>
    <w:rsid w:val="00B14990"/>
    <w:rsid w:val="00B14E5E"/>
    <w:rsid w:val="00B156A9"/>
    <w:rsid w:val="00B15F83"/>
    <w:rsid w:val="00B160FF"/>
    <w:rsid w:val="00B16322"/>
    <w:rsid w:val="00B1662E"/>
    <w:rsid w:val="00B166E7"/>
    <w:rsid w:val="00B2062A"/>
    <w:rsid w:val="00B2116F"/>
    <w:rsid w:val="00B22C0D"/>
    <w:rsid w:val="00B23AF4"/>
    <w:rsid w:val="00B23C15"/>
    <w:rsid w:val="00B25762"/>
    <w:rsid w:val="00B257DA"/>
    <w:rsid w:val="00B25B40"/>
    <w:rsid w:val="00B25FDE"/>
    <w:rsid w:val="00B26AB0"/>
    <w:rsid w:val="00B26AD2"/>
    <w:rsid w:val="00B26CA2"/>
    <w:rsid w:val="00B30B4E"/>
    <w:rsid w:val="00B31246"/>
    <w:rsid w:val="00B326FF"/>
    <w:rsid w:val="00B330A5"/>
    <w:rsid w:val="00B340AA"/>
    <w:rsid w:val="00B34A9F"/>
    <w:rsid w:val="00B34B80"/>
    <w:rsid w:val="00B35CDA"/>
    <w:rsid w:val="00B35E08"/>
    <w:rsid w:val="00B36EF3"/>
    <w:rsid w:val="00B37D97"/>
    <w:rsid w:val="00B37EE4"/>
    <w:rsid w:val="00B40D2B"/>
    <w:rsid w:val="00B411BD"/>
    <w:rsid w:val="00B41559"/>
    <w:rsid w:val="00B418E8"/>
    <w:rsid w:val="00B42285"/>
    <w:rsid w:val="00B425BF"/>
    <w:rsid w:val="00B42629"/>
    <w:rsid w:val="00B4274B"/>
    <w:rsid w:val="00B435B1"/>
    <w:rsid w:val="00B4367F"/>
    <w:rsid w:val="00B438BA"/>
    <w:rsid w:val="00B43BFD"/>
    <w:rsid w:val="00B44F99"/>
    <w:rsid w:val="00B4517A"/>
    <w:rsid w:val="00B45876"/>
    <w:rsid w:val="00B51542"/>
    <w:rsid w:val="00B51D1D"/>
    <w:rsid w:val="00B5310E"/>
    <w:rsid w:val="00B54ACC"/>
    <w:rsid w:val="00B54DCB"/>
    <w:rsid w:val="00B55AC2"/>
    <w:rsid w:val="00B55EC5"/>
    <w:rsid w:val="00B560C9"/>
    <w:rsid w:val="00B56533"/>
    <w:rsid w:val="00B56CFC"/>
    <w:rsid w:val="00B57777"/>
    <w:rsid w:val="00B57A17"/>
    <w:rsid w:val="00B60D82"/>
    <w:rsid w:val="00B614FE"/>
    <w:rsid w:val="00B61BE2"/>
    <w:rsid w:val="00B6266F"/>
    <w:rsid w:val="00B62E0B"/>
    <w:rsid w:val="00B63C32"/>
    <w:rsid w:val="00B63E4C"/>
    <w:rsid w:val="00B64434"/>
    <w:rsid w:val="00B644C5"/>
    <w:rsid w:val="00B67FFC"/>
    <w:rsid w:val="00B70EB6"/>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53E5"/>
    <w:rsid w:val="00B86476"/>
    <w:rsid w:val="00B86A3D"/>
    <w:rsid w:val="00B875C7"/>
    <w:rsid w:val="00B909A2"/>
    <w:rsid w:val="00B90A10"/>
    <w:rsid w:val="00B90D10"/>
    <w:rsid w:val="00B90FE5"/>
    <w:rsid w:val="00B919AD"/>
    <w:rsid w:val="00B91A2B"/>
    <w:rsid w:val="00B920F3"/>
    <w:rsid w:val="00B93204"/>
    <w:rsid w:val="00B94E17"/>
    <w:rsid w:val="00B957FE"/>
    <w:rsid w:val="00B95F02"/>
    <w:rsid w:val="00B965EE"/>
    <w:rsid w:val="00B96862"/>
    <w:rsid w:val="00B96A8A"/>
    <w:rsid w:val="00B96BEF"/>
    <w:rsid w:val="00B96FC0"/>
    <w:rsid w:val="00B97260"/>
    <w:rsid w:val="00B97A69"/>
    <w:rsid w:val="00BA0632"/>
    <w:rsid w:val="00BA0AAA"/>
    <w:rsid w:val="00BA0DFB"/>
    <w:rsid w:val="00BA2FEF"/>
    <w:rsid w:val="00BA5734"/>
    <w:rsid w:val="00BA7BA7"/>
    <w:rsid w:val="00BB05B4"/>
    <w:rsid w:val="00BB1548"/>
    <w:rsid w:val="00BB1948"/>
    <w:rsid w:val="00BB1CE7"/>
    <w:rsid w:val="00BB1D5A"/>
    <w:rsid w:val="00BB2FD3"/>
    <w:rsid w:val="00BB2FDF"/>
    <w:rsid w:val="00BB2FFF"/>
    <w:rsid w:val="00BB5FCB"/>
    <w:rsid w:val="00BB604B"/>
    <w:rsid w:val="00BB6D5B"/>
    <w:rsid w:val="00BB7049"/>
    <w:rsid w:val="00BB7230"/>
    <w:rsid w:val="00BB743C"/>
    <w:rsid w:val="00BB7B1F"/>
    <w:rsid w:val="00BB7F6A"/>
    <w:rsid w:val="00BC00EC"/>
    <w:rsid w:val="00BC08C5"/>
    <w:rsid w:val="00BC12FB"/>
    <w:rsid w:val="00BC1C3C"/>
    <w:rsid w:val="00BC2096"/>
    <w:rsid w:val="00BC307F"/>
    <w:rsid w:val="00BC3159"/>
    <w:rsid w:val="00BC3257"/>
    <w:rsid w:val="00BC39DB"/>
    <w:rsid w:val="00BC3A32"/>
    <w:rsid w:val="00BC46EF"/>
    <w:rsid w:val="00BC4C67"/>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3E8"/>
    <w:rsid w:val="00BE3914"/>
    <w:rsid w:val="00BE3CF1"/>
    <w:rsid w:val="00BE4B20"/>
    <w:rsid w:val="00BE55A2"/>
    <w:rsid w:val="00BE5FC4"/>
    <w:rsid w:val="00BE7C4D"/>
    <w:rsid w:val="00BE7F6A"/>
    <w:rsid w:val="00BF0274"/>
    <w:rsid w:val="00BF08C4"/>
    <w:rsid w:val="00BF0BAF"/>
    <w:rsid w:val="00BF19CE"/>
    <w:rsid w:val="00BF21BE"/>
    <w:rsid w:val="00BF2B6F"/>
    <w:rsid w:val="00BF351A"/>
    <w:rsid w:val="00BF3914"/>
    <w:rsid w:val="00BF491E"/>
    <w:rsid w:val="00BF49B1"/>
    <w:rsid w:val="00BF4ACA"/>
    <w:rsid w:val="00BF5552"/>
    <w:rsid w:val="00BF7014"/>
    <w:rsid w:val="00BF73F2"/>
    <w:rsid w:val="00C01671"/>
    <w:rsid w:val="00C02419"/>
    <w:rsid w:val="00C02766"/>
    <w:rsid w:val="00C03EE8"/>
    <w:rsid w:val="00C05BEC"/>
    <w:rsid w:val="00C06E7D"/>
    <w:rsid w:val="00C06ED1"/>
    <w:rsid w:val="00C07A5F"/>
    <w:rsid w:val="00C10510"/>
    <w:rsid w:val="00C105C0"/>
    <w:rsid w:val="00C1112B"/>
    <w:rsid w:val="00C119C6"/>
    <w:rsid w:val="00C11A88"/>
    <w:rsid w:val="00C12012"/>
    <w:rsid w:val="00C12874"/>
    <w:rsid w:val="00C12BC1"/>
    <w:rsid w:val="00C13BDA"/>
    <w:rsid w:val="00C13FFD"/>
    <w:rsid w:val="00C14632"/>
    <w:rsid w:val="00C14D9E"/>
    <w:rsid w:val="00C153CE"/>
    <w:rsid w:val="00C16035"/>
    <w:rsid w:val="00C167A6"/>
    <w:rsid w:val="00C16C30"/>
    <w:rsid w:val="00C20307"/>
    <w:rsid w:val="00C20A00"/>
    <w:rsid w:val="00C21673"/>
    <w:rsid w:val="00C21C7A"/>
    <w:rsid w:val="00C23130"/>
    <w:rsid w:val="00C23E55"/>
    <w:rsid w:val="00C248FC"/>
    <w:rsid w:val="00C255A5"/>
    <w:rsid w:val="00C2584B"/>
    <w:rsid w:val="00C25942"/>
    <w:rsid w:val="00C25DD9"/>
    <w:rsid w:val="00C2663F"/>
    <w:rsid w:val="00C26DB8"/>
    <w:rsid w:val="00C2702E"/>
    <w:rsid w:val="00C31D9F"/>
    <w:rsid w:val="00C3400F"/>
    <w:rsid w:val="00C34B64"/>
    <w:rsid w:val="00C34C36"/>
    <w:rsid w:val="00C352B3"/>
    <w:rsid w:val="00C3654C"/>
    <w:rsid w:val="00C36B76"/>
    <w:rsid w:val="00C36BF5"/>
    <w:rsid w:val="00C36DBC"/>
    <w:rsid w:val="00C376BA"/>
    <w:rsid w:val="00C40373"/>
    <w:rsid w:val="00C4082D"/>
    <w:rsid w:val="00C40AE6"/>
    <w:rsid w:val="00C411AF"/>
    <w:rsid w:val="00C4138D"/>
    <w:rsid w:val="00C41D40"/>
    <w:rsid w:val="00C41E3A"/>
    <w:rsid w:val="00C4304C"/>
    <w:rsid w:val="00C43315"/>
    <w:rsid w:val="00C448B2"/>
    <w:rsid w:val="00C452F5"/>
    <w:rsid w:val="00C459EB"/>
    <w:rsid w:val="00C45C1D"/>
    <w:rsid w:val="00C46454"/>
    <w:rsid w:val="00C46555"/>
    <w:rsid w:val="00C46B15"/>
    <w:rsid w:val="00C46F7D"/>
    <w:rsid w:val="00C46FCD"/>
    <w:rsid w:val="00C479B5"/>
    <w:rsid w:val="00C5017C"/>
    <w:rsid w:val="00C50242"/>
    <w:rsid w:val="00C5034D"/>
    <w:rsid w:val="00C5050E"/>
    <w:rsid w:val="00C50E99"/>
    <w:rsid w:val="00C52744"/>
    <w:rsid w:val="00C52EE7"/>
    <w:rsid w:val="00C53EB3"/>
    <w:rsid w:val="00C542D4"/>
    <w:rsid w:val="00C54D71"/>
    <w:rsid w:val="00C563F5"/>
    <w:rsid w:val="00C570F7"/>
    <w:rsid w:val="00C608F7"/>
    <w:rsid w:val="00C61568"/>
    <w:rsid w:val="00C61850"/>
    <w:rsid w:val="00C61879"/>
    <w:rsid w:val="00C62CD5"/>
    <w:rsid w:val="00C636E6"/>
    <w:rsid w:val="00C639D6"/>
    <w:rsid w:val="00C63F8E"/>
    <w:rsid w:val="00C647FB"/>
    <w:rsid w:val="00C654E0"/>
    <w:rsid w:val="00C67EAB"/>
    <w:rsid w:val="00C70DFF"/>
    <w:rsid w:val="00C70F62"/>
    <w:rsid w:val="00C71646"/>
    <w:rsid w:val="00C71EBA"/>
    <w:rsid w:val="00C72F0B"/>
    <w:rsid w:val="00C73E0C"/>
    <w:rsid w:val="00C75A6B"/>
    <w:rsid w:val="00C763B6"/>
    <w:rsid w:val="00C7644F"/>
    <w:rsid w:val="00C768F6"/>
    <w:rsid w:val="00C80073"/>
    <w:rsid w:val="00C80DEA"/>
    <w:rsid w:val="00C8166B"/>
    <w:rsid w:val="00C8170B"/>
    <w:rsid w:val="00C81862"/>
    <w:rsid w:val="00C82D46"/>
    <w:rsid w:val="00C832DC"/>
    <w:rsid w:val="00C8377F"/>
    <w:rsid w:val="00C8646D"/>
    <w:rsid w:val="00C91DE3"/>
    <w:rsid w:val="00C92C7F"/>
    <w:rsid w:val="00C9369D"/>
    <w:rsid w:val="00C939CC"/>
    <w:rsid w:val="00C944FA"/>
    <w:rsid w:val="00C95854"/>
    <w:rsid w:val="00C95EFF"/>
    <w:rsid w:val="00C96E6F"/>
    <w:rsid w:val="00C97056"/>
    <w:rsid w:val="00C97872"/>
    <w:rsid w:val="00C97C68"/>
    <w:rsid w:val="00CA0532"/>
    <w:rsid w:val="00CA2188"/>
    <w:rsid w:val="00CA2241"/>
    <w:rsid w:val="00CA28AC"/>
    <w:rsid w:val="00CA2A12"/>
    <w:rsid w:val="00CA38DB"/>
    <w:rsid w:val="00CA3CDD"/>
    <w:rsid w:val="00CA3D79"/>
    <w:rsid w:val="00CA403B"/>
    <w:rsid w:val="00CA43CC"/>
    <w:rsid w:val="00CA505A"/>
    <w:rsid w:val="00CA5357"/>
    <w:rsid w:val="00CA5519"/>
    <w:rsid w:val="00CA59DD"/>
    <w:rsid w:val="00CA7BC0"/>
    <w:rsid w:val="00CB008E"/>
    <w:rsid w:val="00CB01FA"/>
    <w:rsid w:val="00CB0737"/>
    <w:rsid w:val="00CB097A"/>
    <w:rsid w:val="00CB0ECB"/>
    <w:rsid w:val="00CB26EC"/>
    <w:rsid w:val="00CB29EA"/>
    <w:rsid w:val="00CB2D2A"/>
    <w:rsid w:val="00CB3FA0"/>
    <w:rsid w:val="00CB5B1E"/>
    <w:rsid w:val="00CB787A"/>
    <w:rsid w:val="00CC0A05"/>
    <w:rsid w:val="00CC0C4A"/>
    <w:rsid w:val="00CC158F"/>
    <w:rsid w:val="00CC17F0"/>
    <w:rsid w:val="00CC1853"/>
    <w:rsid w:val="00CC1FAE"/>
    <w:rsid w:val="00CC21C7"/>
    <w:rsid w:val="00CC3045"/>
    <w:rsid w:val="00CC3231"/>
    <w:rsid w:val="00CC3A23"/>
    <w:rsid w:val="00CC5661"/>
    <w:rsid w:val="00CC5A04"/>
    <w:rsid w:val="00CC737C"/>
    <w:rsid w:val="00CD087D"/>
    <w:rsid w:val="00CD0F5D"/>
    <w:rsid w:val="00CD1C0B"/>
    <w:rsid w:val="00CD239A"/>
    <w:rsid w:val="00CD26CD"/>
    <w:rsid w:val="00CD3CF7"/>
    <w:rsid w:val="00CD5512"/>
    <w:rsid w:val="00CD55E3"/>
    <w:rsid w:val="00CD57A5"/>
    <w:rsid w:val="00CD6E3D"/>
    <w:rsid w:val="00CD71AB"/>
    <w:rsid w:val="00CD731C"/>
    <w:rsid w:val="00CE0109"/>
    <w:rsid w:val="00CE1FC5"/>
    <w:rsid w:val="00CE26FE"/>
    <w:rsid w:val="00CE297E"/>
    <w:rsid w:val="00CE46E5"/>
    <w:rsid w:val="00CE485A"/>
    <w:rsid w:val="00CE5279"/>
    <w:rsid w:val="00CE5A78"/>
    <w:rsid w:val="00CE78AE"/>
    <w:rsid w:val="00CE7E62"/>
    <w:rsid w:val="00CF175D"/>
    <w:rsid w:val="00CF19DA"/>
    <w:rsid w:val="00CF1C7F"/>
    <w:rsid w:val="00CF1CC0"/>
    <w:rsid w:val="00CF24F8"/>
    <w:rsid w:val="00CF2653"/>
    <w:rsid w:val="00CF4247"/>
    <w:rsid w:val="00CF5263"/>
    <w:rsid w:val="00CF56E9"/>
    <w:rsid w:val="00CF60B5"/>
    <w:rsid w:val="00CF769D"/>
    <w:rsid w:val="00D004FA"/>
    <w:rsid w:val="00D01B21"/>
    <w:rsid w:val="00D01E2F"/>
    <w:rsid w:val="00D03102"/>
    <w:rsid w:val="00D03727"/>
    <w:rsid w:val="00D0378A"/>
    <w:rsid w:val="00D04F49"/>
    <w:rsid w:val="00D05132"/>
    <w:rsid w:val="00D05E05"/>
    <w:rsid w:val="00D05EA9"/>
    <w:rsid w:val="00D06DCD"/>
    <w:rsid w:val="00D070DC"/>
    <w:rsid w:val="00D071F8"/>
    <w:rsid w:val="00D07252"/>
    <w:rsid w:val="00D074F4"/>
    <w:rsid w:val="00D07CE1"/>
    <w:rsid w:val="00D07F37"/>
    <w:rsid w:val="00D1026A"/>
    <w:rsid w:val="00D107CF"/>
    <w:rsid w:val="00D109D1"/>
    <w:rsid w:val="00D111C8"/>
    <w:rsid w:val="00D11B0B"/>
    <w:rsid w:val="00D12293"/>
    <w:rsid w:val="00D14236"/>
    <w:rsid w:val="00D14553"/>
    <w:rsid w:val="00D14DB1"/>
    <w:rsid w:val="00D15F43"/>
    <w:rsid w:val="00D16E87"/>
    <w:rsid w:val="00D20052"/>
    <w:rsid w:val="00D20B8B"/>
    <w:rsid w:val="00D2162C"/>
    <w:rsid w:val="00D21A3C"/>
    <w:rsid w:val="00D220B3"/>
    <w:rsid w:val="00D22647"/>
    <w:rsid w:val="00D233F1"/>
    <w:rsid w:val="00D23DF6"/>
    <w:rsid w:val="00D256F8"/>
    <w:rsid w:val="00D2685C"/>
    <w:rsid w:val="00D26A3B"/>
    <w:rsid w:val="00D27509"/>
    <w:rsid w:val="00D302FD"/>
    <w:rsid w:val="00D3038A"/>
    <w:rsid w:val="00D3098D"/>
    <w:rsid w:val="00D31A02"/>
    <w:rsid w:val="00D3323C"/>
    <w:rsid w:val="00D33456"/>
    <w:rsid w:val="00D3396F"/>
    <w:rsid w:val="00D33D4D"/>
    <w:rsid w:val="00D3450F"/>
    <w:rsid w:val="00D34A0B"/>
    <w:rsid w:val="00D36234"/>
    <w:rsid w:val="00D36371"/>
    <w:rsid w:val="00D437D8"/>
    <w:rsid w:val="00D43F7F"/>
    <w:rsid w:val="00D44994"/>
    <w:rsid w:val="00D44F30"/>
    <w:rsid w:val="00D45DF3"/>
    <w:rsid w:val="00D46174"/>
    <w:rsid w:val="00D47DD0"/>
    <w:rsid w:val="00D50183"/>
    <w:rsid w:val="00D50DA0"/>
    <w:rsid w:val="00D51C04"/>
    <w:rsid w:val="00D51D12"/>
    <w:rsid w:val="00D5362B"/>
    <w:rsid w:val="00D54D9C"/>
    <w:rsid w:val="00D55072"/>
    <w:rsid w:val="00D551B5"/>
    <w:rsid w:val="00D55928"/>
    <w:rsid w:val="00D56AE8"/>
    <w:rsid w:val="00D56DB2"/>
    <w:rsid w:val="00D5747F"/>
    <w:rsid w:val="00D57495"/>
    <w:rsid w:val="00D574FA"/>
    <w:rsid w:val="00D60C8D"/>
    <w:rsid w:val="00D61374"/>
    <w:rsid w:val="00D6168A"/>
    <w:rsid w:val="00D616A5"/>
    <w:rsid w:val="00D61FF0"/>
    <w:rsid w:val="00D6205E"/>
    <w:rsid w:val="00D6211D"/>
    <w:rsid w:val="00D6251D"/>
    <w:rsid w:val="00D62C97"/>
    <w:rsid w:val="00D63517"/>
    <w:rsid w:val="00D63B75"/>
    <w:rsid w:val="00D643CF"/>
    <w:rsid w:val="00D65679"/>
    <w:rsid w:val="00D659B1"/>
    <w:rsid w:val="00D66E18"/>
    <w:rsid w:val="00D6734D"/>
    <w:rsid w:val="00D679CF"/>
    <w:rsid w:val="00D679D3"/>
    <w:rsid w:val="00D7356F"/>
    <w:rsid w:val="00D73587"/>
    <w:rsid w:val="00D73B38"/>
    <w:rsid w:val="00D73EBB"/>
    <w:rsid w:val="00D751FB"/>
    <w:rsid w:val="00D754D6"/>
    <w:rsid w:val="00D761AA"/>
    <w:rsid w:val="00D76737"/>
    <w:rsid w:val="00D76FAE"/>
    <w:rsid w:val="00D777D7"/>
    <w:rsid w:val="00D77C8A"/>
    <w:rsid w:val="00D80AB8"/>
    <w:rsid w:val="00D80CAE"/>
    <w:rsid w:val="00D813FB"/>
    <w:rsid w:val="00D81792"/>
    <w:rsid w:val="00D819B1"/>
    <w:rsid w:val="00D820E6"/>
    <w:rsid w:val="00D82494"/>
    <w:rsid w:val="00D82B19"/>
    <w:rsid w:val="00D83AE9"/>
    <w:rsid w:val="00D857B8"/>
    <w:rsid w:val="00D8604E"/>
    <w:rsid w:val="00D87175"/>
    <w:rsid w:val="00D87ABF"/>
    <w:rsid w:val="00D90CD3"/>
    <w:rsid w:val="00D919E6"/>
    <w:rsid w:val="00D91BE1"/>
    <w:rsid w:val="00D92C29"/>
    <w:rsid w:val="00D92C64"/>
    <w:rsid w:val="00D936E2"/>
    <w:rsid w:val="00D942BC"/>
    <w:rsid w:val="00D95104"/>
    <w:rsid w:val="00D95600"/>
    <w:rsid w:val="00D9683C"/>
    <w:rsid w:val="00D97884"/>
    <w:rsid w:val="00D97992"/>
    <w:rsid w:val="00DA0A7F"/>
    <w:rsid w:val="00DA1A84"/>
    <w:rsid w:val="00DA1C31"/>
    <w:rsid w:val="00DA20BC"/>
    <w:rsid w:val="00DA2ED7"/>
    <w:rsid w:val="00DA3710"/>
    <w:rsid w:val="00DA3E7A"/>
    <w:rsid w:val="00DA430C"/>
    <w:rsid w:val="00DA615D"/>
    <w:rsid w:val="00DA6598"/>
    <w:rsid w:val="00DA6C0F"/>
    <w:rsid w:val="00DA702F"/>
    <w:rsid w:val="00DA7F8A"/>
    <w:rsid w:val="00DB0176"/>
    <w:rsid w:val="00DB0404"/>
    <w:rsid w:val="00DB11F8"/>
    <w:rsid w:val="00DB18F8"/>
    <w:rsid w:val="00DB1AEB"/>
    <w:rsid w:val="00DB1F2A"/>
    <w:rsid w:val="00DB297F"/>
    <w:rsid w:val="00DB30BC"/>
    <w:rsid w:val="00DB3153"/>
    <w:rsid w:val="00DB317A"/>
    <w:rsid w:val="00DB3A50"/>
    <w:rsid w:val="00DB3B82"/>
    <w:rsid w:val="00DB485D"/>
    <w:rsid w:val="00DB58A4"/>
    <w:rsid w:val="00DB7394"/>
    <w:rsid w:val="00DB7447"/>
    <w:rsid w:val="00DC09D2"/>
    <w:rsid w:val="00DC1327"/>
    <w:rsid w:val="00DC1350"/>
    <w:rsid w:val="00DC3237"/>
    <w:rsid w:val="00DC41A4"/>
    <w:rsid w:val="00DC5672"/>
    <w:rsid w:val="00DC60A2"/>
    <w:rsid w:val="00DC616D"/>
    <w:rsid w:val="00DC6600"/>
    <w:rsid w:val="00DC67BD"/>
    <w:rsid w:val="00DC6924"/>
    <w:rsid w:val="00DC71F2"/>
    <w:rsid w:val="00DD2025"/>
    <w:rsid w:val="00DD22EA"/>
    <w:rsid w:val="00DD23A0"/>
    <w:rsid w:val="00DD3EF5"/>
    <w:rsid w:val="00DD44D2"/>
    <w:rsid w:val="00DD53FA"/>
    <w:rsid w:val="00DD5C2E"/>
    <w:rsid w:val="00DD5F42"/>
    <w:rsid w:val="00DD617B"/>
    <w:rsid w:val="00DD61C2"/>
    <w:rsid w:val="00DE06F1"/>
    <w:rsid w:val="00DE0E59"/>
    <w:rsid w:val="00DE0F6C"/>
    <w:rsid w:val="00DE10E9"/>
    <w:rsid w:val="00DE219B"/>
    <w:rsid w:val="00DE400A"/>
    <w:rsid w:val="00DE482B"/>
    <w:rsid w:val="00DE52E3"/>
    <w:rsid w:val="00DE586B"/>
    <w:rsid w:val="00DE6276"/>
    <w:rsid w:val="00DE7C00"/>
    <w:rsid w:val="00DF03E9"/>
    <w:rsid w:val="00DF03ED"/>
    <w:rsid w:val="00DF04EE"/>
    <w:rsid w:val="00DF0BF4"/>
    <w:rsid w:val="00DF0E29"/>
    <w:rsid w:val="00DF179D"/>
    <w:rsid w:val="00DF1E9C"/>
    <w:rsid w:val="00DF4572"/>
    <w:rsid w:val="00DF4658"/>
    <w:rsid w:val="00DF6C8B"/>
    <w:rsid w:val="00DF6F17"/>
    <w:rsid w:val="00DF74E6"/>
    <w:rsid w:val="00DF7772"/>
    <w:rsid w:val="00DF78FA"/>
    <w:rsid w:val="00E002F1"/>
    <w:rsid w:val="00E0082C"/>
    <w:rsid w:val="00E01DAA"/>
    <w:rsid w:val="00E023E5"/>
    <w:rsid w:val="00E02432"/>
    <w:rsid w:val="00E029E6"/>
    <w:rsid w:val="00E02A00"/>
    <w:rsid w:val="00E03064"/>
    <w:rsid w:val="00E04022"/>
    <w:rsid w:val="00E0728F"/>
    <w:rsid w:val="00E0755C"/>
    <w:rsid w:val="00E0771A"/>
    <w:rsid w:val="00E10146"/>
    <w:rsid w:val="00E12234"/>
    <w:rsid w:val="00E1259D"/>
    <w:rsid w:val="00E12D20"/>
    <w:rsid w:val="00E14A7E"/>
    <w:rsid w:val="00E151E1"/>
    <w:rsid w:val="00E154F0"/>
    <w:rsid w:val="00E15EB7"/>
    <w:rsid w:val="00E17619"/>
    <w:rsid w:val="00E17805"/>
    <w:rsid w:val="00E20F79"/>
    <w:rsid w:val="00E20FF4"/>
    <w:rsid w:val="00E21278"/>
    <w:rsid w:val="00E22CCD"/>
    <w:rsid w:val="00E23A11"/>
    <w:rsid w:val="00E23FB7"/>
    <w:rsid w:val="00E242B2"/>
    <w:rsid w:val="00E24A27"/>
    <w:rsid w:val="00E25F89"/>
    <w:rsid w:val="00E27A8B"/>
    <w:rsid w:val="00E27F8B"/>
    <w:rsid w:val="00E303D9"/>
    <w:rsid w:val="00E32D62"/>
    <w:rsid w:val="00E339DC"/>
    <w:rsid w:val="00E33E15"/>
    <w:rsid w:val="00E361B8"/>
    <w:rsid w:val="00E36A1B"/>
    <w:rsid w:val="00E36B4E"/>
    <w:rsid w:val="00E4068D"/>
    <w:rsid w:val="00E429ED"/>
    <w:rsid w:val="00E43F37"/>
    <w:rsid w:val="00E450ED"/>
    <w:rsid w:val="00E46E77"/>
    <w:rsid w:val="00E47544"/>
    <w:rsid w:val="00E4791B"/>
    <w:rsid w:val="00E47E31"/>
    <w:rsid w:val="00E50561"/>
    <w:rsid w:val="00E50AC6"/>
    <w:rsid w:val="00E51DDD"/>
    <w:rsid w:val="00E51FDD"/>
    <w:rsid w:val="00E52435"/>
    <w:rsid w:val="00E53122"/>
    <w:rsid w:val="00E533EE"/>
    <w:rsid w:val="00E5351B"/>
    <w:rsid w:val="00E53FA9"/>
    <w:rsid w:val="00E5414C"/>
    <w:rsid w:val="00E547B3"/>
    <w:rsid w:val="00E5514D"/>
    <w:rsid w:val="00E5695C"/>
    <w:rsid w:val="00E57137"/>
    <w:rsid w:val="00E5733D"/>
    <w:rsid w:val="00E57784"/>
    <w:rsid w:val="00E60BBC"/>
    <w:rsid w:val="00E61505"/>
    <w:rsid w:val="00E61CC0"/>
    <w:rsid w:val="00E623EE"/>
    <w:rsid w:val="00E6277B"/>
    <w:rsid w:val="00E64309"/>
    <w:rsid w:val="00E64424"/>
    <w:rsid w:val="00E64B13"/>
    <w:rsid w:val="00E64C99"/>
    <w:rsid w:val="00E64CD3"/>
    <w:rsid w:val="00E64FB9"/>
    <w:rsid w:val="00E64FEF"/>
    <w:rsid w:val="00E65AEF"/>
    <w:rsid w:val="00E671C9"/>
    <w:rsid w:val="00E6743F"/>
    <w:rsid w:val="00E6758E"/>
    <w:rsid w:val="00E67E23"/>
    <w:rsid w:val="00E70016"/>
    <w:rsid w:val="00E70BC7"/>
    <w:rsid w:val="00E70FBC"/>
    <w:rsid w:val="00E713C4"/>
    <w:rsid w:val="00E72C01"/>
    <w:rsid w:val="00E72E33"/>
    <w:rsid w:val="00E741AC"/>
    <w:rsid w:val="00E75174"/>
    <w:rsid w:val="00E755E4"/>
    <w:rsid w:val="00E75EBA"/>
    <w:rsid w:val="00E763B4"/>
    <w:rsid w:val="00E77848"/>
    <w:rsid w:val="00E80514"/>
    <w:rsid w:val="00E80E5B"/>
    <w:rsid w:val="00E816C5"/>
    <w:rsid w:val="00E81CE0"/>
    <w:rsid w:val="00E81E7C"/>
    <w:rsid w:val="00E8224D"/>
    <w:rsid w:val="00E8494F"/>
    <w:rsid w:val="00E8519F"/>
    <w:rsid w:val="00E85CC3"/>
    <w:rsid w:val="00E8644A"/>
    <w:rsid w:val="00E87B19"/>
    <w:rsid w:val="00E90279"/>
    <w:rsid w:val="00E90635"/>
    <w:rsid w:val="00E909A1"/>
    <w:rsid w:val="00E90BFF"/>
    <w:rsid w:val="00E90DBF"/>
    <w:rsid w:val="00E919E5"/>
    <w:rsid w:val="00E91F04"/>
    <w:rsid w:val="00E91F35"/>
    <w:rsid w:val="00E95BA6"/>
    <w:rsid w:val="00E97648"/>
    <w:rsid w:val="00E97CD7"/>
    <w:rsid w:val="00EA062B"/>
    <w:rsid w:val="00EA0E4A"/>
    <w:rsid w:val="00EA1A54"/>
    <w:rsid w:val="00EA2226"/>
    <w:rsid w:val="00EA26FC"/>
    <w:rsid w:val="00EA2B09"/>
    <w:rsid w:val="00EA35BB"/>
    <w:rsid w:val="00EA3B5A"/>
    <w:rsid w:val="00EA410E"/>
    <w:rsid w:val="00EA418A"/>
    <w:rsid w:val="00EA4FD1"/>
    <w:rsid w:val="00EA53C2"/>
    <w:rsid w:val="00EA5695"/>
    <w:rsid w:val="00EA5843"/>
    <w:rsid w:val="00EA5B0A"/>
    <w:rsid w:val="00EA65AD"/>
    <w:rsid w:val="00EA7FCF"/>
    <w:rsid w:val="00EB0CA3"/>
    <w:rsid w:val="00EB104F"/>
    <w:rsid w:val="00EB1B27"/>
    <w:rsid w:val="00EB1DA8"/>
    <w:rsid w:val="00EB2C8B"/>
    <w:rsid w:val="00EB43A3"/>
    <w:rsid w:val="00EB4415"/>
    <w:rsid w:val="00EB4CFF"/>
    <w:rsid w:val="00EB5476"/>
    <w:rsid w:val="00EB70B0"/>
    <w:rsid w:val="00EB7633"/>
    <w:rsid w:val="00EB7736"/>
    <w:rsid w:val="00EC061C"/>
    <w:rsid w:val="00EC0ECD"/>
    <w:rsid w:val="00EC2992"/>
    <w:rsid w:val="00EC2E2D"/>
    <w:rsid w:val="00EC462B"/>
    <w:rsid w:val="00EC4723"/>
    <w:rsid w:val="00EC56E0"/>
    <w:rsid w:val="00EC5E91"/>
    <w:rsid w:val="00EC6052"/>
    <w:rsid w:val="00EC6057"/>
    <w:rsid w:val="00EC6847"/>
    <w:rsid w:val="00EC7DB6"/>
    <w:rsid w:val="00ED162F"/>
    <w:rsid w:val="00ED2E52"/>
    <w:rsid w:val="00ED3024"/>
    <w:rsid w:val="00ED3196"/>
    <w:rsid w:val="00ED3C70"/>
    <w:rsid w:val="00ED3EAB"/>
    <w:rsid w:val="00ED5FE4"/>
    <w:rsid w:val="00ED6455"/>
    <w:rsid w:val="00ED71C5"/>
    <w:rsid w:val="00EE12A0"/>
    <w:rsid w:val="00EE16FA"/>
    <w:rsid w:val="00EE2351"/>
    <w:rsid w:val="00EE38BB"/>
    <w:rsid w:val="00EE3C42"/>
    <w:rsid w:val="00EE3D4F"/>
    <w:rsid w:val="00EE476C"/>
    <w:rsid w:val="00EE534D"/>
    <w:rsid w:val="00EE5560"/>
    <w:rsid w:val="00EE6F1E"/>
    <w:rsid w:val="00EF0348"/>
    <w:rsid w:val="00EF03C9"/>
    <w:rsid w:val="00EF1113"/>
    <w:rsid w:val="00EF1D07"/>
    <w:rsid w:val="00EF1F9C"/>
    <w:rsid w:val="00EF233C"/>
    <w:rsid w:val="00EF2CF6"/>
    <w:rsid w:val="00EF4366"/>
    <w:rsid w:val="00EF4CD6"/>
    <w:rsid w:val="00EF55A0"/>
    <w:rsid w:val="00EF63D1"/>
    <w:rsid w:val="00EF6513"/>
    <w:rsid w:val="00EF6683"/>
    <w:rsid w:val="00EF7002"/>
    <w:rsid w:val="00EF769B"/>
    <w:rsid w:val="00EF7F7C"/>
    <w:rsid w:val="00F024C6"/>
    <w:rsid w:val="00F027BA"/>
    <w:rsid w:val="00F03012"/>
    <w:rsid w:val="00F03E79"/>
    <w:rsid w:val="00F04399"/>
    <w:rsid w:val="00F054DB"/>
    <w:rsid w:val="00F0628D"/>
    <w:rsid w:val="00F06651"/>
    <w:rsid w:val="00F07DE6"/>
    <w:rsid w:val="00F1056C"/>
    <w:rsid w:val="00F107F1"/>
    <w:rsid w:val="00F10D97"/>
    <w:rsid w:val="00F10FC1"/>
    <w:rsid w:val="00F1106C"/>
    <w:rsid w:val="00F112FD"/>
    <w:rsid w:val="00F11BF8"/>
    <w:rsid w:val="00F1301B"/>
    <w:rsid w:val="00F133A1"/>
    <w:rsid w:val="00F13ECD"/>
    <w:rsid w:val="00F155CE"/>
    <w:rsid w:val="00F17EAE"/>
    <w:rsid w:val="00F218CA"/>
    <w:rsid w:val="00F218D4"/>
    <w:rsid w:val="00F2250A"/>
    <w:rsid w:val="00F23D74"/>
    <w:rsid w:val="00F24788"/>
    <w:rsid w:val="00F24FAA"/>
    <w:rsid w:val="00F26344"/>
    <w:rsid w:val="00F2640F"/>
    <w:rsid w:val="00F27C34"/>
    <w:rsid w:val="00F27E46"/>
    <w:rsid w:val="00F301C2"/>
    <w:rsid w:val="00F302E1"/>
    <w:rsid w:val="00F30572"/>
    <w:rsid w:val="00F31B22"/>
    <w:rsid w:val="00F31B49"/>
    <w:rsid w:val="00F32001"/>
    <w:rsid w:val="00F32A33"/>
    <w:rsid w:val="00F32F56"/>
    <w:rsid w:val="00F33D4F"/>
    <w:rsid w:val="00F34CD6"/>
    <w:rsid w:val="00F35873"/>
    <w:rsid w:val="00F35920"/>
    <w:rsid w:val="00F366A5"/>
    <w:rsid w:val="00F36C5F"/>
    <w:rsid w:val="00F37259"/>
    <w:rsid w:val="00F37DA9"/>
    <w:rsid w:val="00F405A4"/>
    <w:rsid w:val="00F41F05"/>
    <w:rsid w:val="00F433BD"/>
    <w:rsid w:val="00F44EC5"/>
    <w:rsid w:val="00F47498"/>
    <w:rsid w:val="00F478C9"/>
    <w:rsid w:val="00F512B2"/>
    <w:rsid w:val="00F51CB9"/>
    <w:rsid w:val="00F5283D"/>
    <w:rsid w:val="00F52ABA"/>
    <w:rsid w:val="00F52BC7"/>
    <w:rsid w:val="00F53BF4"/>
    <w:rsid w:val="00F54266"/>
    <w:rsid w:val="00F55043"/>
    <w:rsid w:val="00F565AB"/>
    <w:rsid w:val="00F567D0"/>
    <w:rsid w:val="00F56DCF"/>
    <w:rsid w:val="00F57034"/>
    <w:rsid w:val="00F60BE9"/>
    <w:rsid w:val="00F61FD8"/>
    <w:rsid w:val="00F62DBF"/>
    <w:rsid w:val="00F63048"/>
    <w:rsid w:val="00F63BAA"/>
    <w:rsid w:val="00F641FC"/>
    <w:rsid w:val="00F647F7"/>
    <w:rsid w:val="00F6583C"/>
    <w:rsid w:val="00F6589A"/>
    <w:rsid w:val="00F676B0"/>
    <w:rsid w:val="00F6783E"/>
    <w:rsid w:val="00F70DBE"/>
    <w:rsid w:val="00F71124"/>
    <w:rsid w:val="00F71888"/>
    <w:rsid w:val="00F719CD"/>
    <w:rsid w:val="00F71BB8"/>
    <w:rsid w:val="00F72584"/>
    <w:rsid w:val="00F7290D"/>
    <w:rsid w:val="00F72BD0"/>
    <w:rsid w:val="00F7302F"/>
    <w:rsid w:val="00F732EC"/>
    <w:rsid w:val="00F73D08"/>
    <w:rsid w:val="00F7586B"/>
    <w:rsid w:val="00F75F2F"/>
    <w:rsid w:val="00F76445"/>
    <w:rsid w:val="00F76ECC"/>
    <w:rsid w:val="00F80399"/>
    <w:rsid w:val="00F806B2"/>
    <w:rsid w:val="00F8080F"/>
    <w:rsid w:val="00F812C8"/>
    <w:rsid w:val="00F8132D"/>
    <w:rsid w:val="00F818AE"/>
    <w:rsid w:val="00F81B40"/>
    <w:rsid w:val="00F8208C"/>
    <w:rsid w:val="00F820C4"/>
    <w:rsid w:val="00F824B9"/>
    <w:rsid w:val="00F83829"/>
    <w:rsid w:val="00F84069"/>
    <w:rsid w:val="00F843D7"/>
    <w:rsid w:val="00F84F36"/>
    <w:rsid w:val="00F850CA"/>
    <w:rsid w:val="00F85536"/>
    <w:rsid w:val="00F8657A"/>
    <w:rsid w:val="00F8679A"/>
    <w:rsid w:val="00F87117"/>
    <w:rsid w:val="00F8736C"/>
    <w:rsid w:val="00F9030E"/>
    <w:rsid w:val="00F90ADB"/>
    <w:rsid w:val="00F90E78"/>
    <w:rsid w:val="00F91209"/>
    <w:rsid w:val="00F9221F"/>
    <w:rsid w:val="00F9294B"/>
    <w:rsid w:val="00F931C7"/>
    <w:rsid w:val="00F93559"/>
    <w:rsid w:val="00F93AAA"/>
    <w:rsid w:val="00F93D72"/>
    <w:rsid w:val="00F93E65"/>
    <w:rsid w:val="00F94070"/>
    <w:rsid w:val="00F94AA2"/>
    <w:rsid w:val="00F950B5"/>
    <w:rsid w:val="00F9513F"/>
    <w:rsid w:val="00F96C57"/>
    <w:rsid w:val="00F97908"/>
    <w:rsid w:val="00F979EB"/>
    <w:rsid w:val="00F97B43"/>
    <w:rsid w:val="00FA07A5"/>
    <w:rsid w:val="00FA07C9"/>
    <w:rsid w:val="00FA07F8"/>
    <w:rsid w:val="00FA105C"/>
    <w:rsid w:val="00FA1475"/>
    <w:rsid w:val="00FA148A"/>
    <w:rsid w:val="00FA18C7"/>
    <w:rsid w:val="00FA20B2"/>
    <w:rsid w:val="00FA27C8"/>
    <w:rsid w:val="00FA3B76"/>
    <w:rsid w:val="00FA4D66"/>
    <w:rsid w:val="00FA5A4E"/>
    <w:rsid w:val="00FA6ECD"/>
    <w:rsid w:val="00FA7BCF"/>
    <w:rsid w:val="00FB0082"/>
    <w:rsid w:val="00FB0243"/>
    <w:rsid w:val="00FB1527"/>
    <w:rsid w:val="00FB2537"/>
    <w:rsid w:val="00FB33DC"/>
    <w:rsid w:val="00FB3680"/>
    <w:rsid w:val="00FB4338"/>
    <w:rsid w:val="00FB477E"/>
    <w:rsid w:val="00FB4C9C"/>
    <w:rsid w:val="00FB6165"/>
    <w:rsid w:val="00FB7F5E"/>
    <w:rsid w:val="00FC0150"/>
    <w:rsid w:val="00FC03AB"/>
    <w:rsid w:val="00FC1182"/>
    <w:rsid w:val="00FC4729"/>
    <w:rsid w:val="00FC4A8C"/>
    <w:rsid w:val="00FC4D04"/>
    <w:rsid w:val="00FC53DB"/>
    <w:rsid w:val="00FC5FC2"/>
    <w:rsid w:val="00FC6177"/>
    <w:rsid w:val="00FC63D1"/>
    <w:rsid w:val="00FC7528"/>
    <w:rsid w:val="00FD0572"/>
    <w:rsid w:val="00FD1A97"/>
    <w:rsid w:val="00FD2D7B"/>
    <w:rsid w:val="00FD37F6"/>
    <w:rsid w:val="00FD4589"/>
    <w:rsid w:val="00FD473E"/>
    <w:rsid w:val="00FD5D62"/>
    <w:rsid w:val="00FD6E91"/>
    <w:rsid w:val="00FD7DF9"/>
    <w:rsid w:val="00FE0B51"/>
    <w:rsid w:val="00FE0B78"/>
    <w:rsid w:val="00FE0ED4"/>
    <w:rsid w:val="00FE1EAB"/>
    <w:rsid w:val="00FE3465"/>
    <w:rsid w:val="00FE4034"/>
    <w:rsid w:val="00FE4362"/>
    <w:rsid w:val="00FE6626"/>
    <w:rsid w:val="00FE67CF"/>
    <w:rsid w:val="00FE6D20"/>
    <w:rsid w:val="00FE6FB9"/>
    <w:rsid w:val="00FE7549"/>
    <w:rsid w:val="00FE7AD8"/>
    <w:rsid w:val="00FE7BCC"/>
    <w:rsid w:val="00FF0D0C"/>
    <w:rsid w:val="00FF126D"/>
    <w:rsid w:val="00FF2310"/>
    <w:rsid w:val="00FF2E73"/>
    <w:rsid w:val="00FF3535"/>
    <w:rsid w:val="00FF4AE2"/>
    <w:rsid w:val="00FF50A8"/>
    <w:rsid w:val="00FF571E"/>
    <w:rsid w:val="00FF66D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3A0"/>
    <w:pPr>
      <w:autoSpaceDE w:val="0"/>
      <w:autoSpaceDN w:val="0"/>
      <w:adjustRightInd w:val="0"/>
      <w:snapToGrid w:val="0"/>
      <w:spacing w:after="120"/>
      <w:jc w:val="both"/>
    </w:pPr>
    <w:rPr>
      <w:sz w:val="22"/>
      <w:szCs w:val="22"/>
      <w:lang w:eastAsia="en-US"/>
    </w:rPr>
  </w:style>
  <w:style w:type="paragraph" w:styleId="Heading1">
    <w:name w:val="heading 1"/>
    <w:aliases w:val="编号,h1,h11,h12,h13,h14,h15,h16,h17,h111,h121,h131,h141,h151,h161,h18,h112,h122,h132,h142,h152,h162,h19,h113,h123,h133,h143,h153,h163,H1,app heading 1,l1,Memo Heading 1,Heading 1_a"/>
    <w:basedOn w:val="Normal"/>
    <w:next w:val="Normal"/>
    <w:link w:val="Heading1Char"/>
    <w:qFormat/>
    <w:rsid w:val="002603A0"/>
    <w:pPr>
      <w:keepNext/>
      <w:numPr>
        <w:numId w:val="5"/>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autoRedefine/>
    <w:qFormat/>
    <w:rsid w:val="00094A37"/>
    <w:pPr>
      <w:keepNext/>
      <w:numPr>
        <w:ilvl w:val="1"/>
        <w:numId w:val="5"/>
      </w:numPr>
      <w:spacing w:before="120"/>
      <w:ind w:left="578" w:hanging="578"/>
      <w:outlineLvl w:val="1"/>
    </w:pPr>
    <w:rPr>
      <w:b/>
      <w:bCs/>
      <w:lang w:eastAsia="zh-CN"/>
    </w:rPr>
  </w:style>
  <w:style w:type="paragraph" w:styleId="Heading3">
    <w:name w:val="heading 3"/>
    <w:aliases w:val="h3"/>
    <w:basedOn w:val="Normal"/>
    <w:next w:val="Normal"/>
    <w:link w:val="Heading3Char"/>
    <w:qFormat/>
    <w:rsid w:val="002603A0"/>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603A0"/>
    <w:pPr>
      <w:keepNext/>
      <w:numPr>
        <w:ilvl w:val="3"/>
        <w:numId w:val="5"/>
      </w:numPr>
      <w:spacing w:before="240" w:after="60"/>
      <w:outlineLvl w:val="3"/>
    </w:pPr>
    <w:rPr>
      <w:b/>
      <w:bCs/>
      <w:sz w:val="28"/>
      <w:szCs w:val="28"/>
    </w:rPr>
  </w:style>
  <w:style w:type="paragraph" w:styleId="Heading5">
    <w:name w:val="heading 5"/>
    <w:aliases w:val="h5,Heading5"/>
    <w:basedOn w:val="Normal"/>
    <w:next w:val="Normal"/>
    <w:link w:val="Heading5Char"/>
    <w:qFormat/>
    <w:rsid w:val="002603A0"/>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2603A0"/>
    <w:pPr>
      <w:numPr>
        <w:ilvl w:val="5"/>
        <w:numId w:val="5"/>
      </w:numPr>
      <w:spacing w:before="240" w:after="60"/>
      <w:outlineLvl w:val="5"/>
    </w:pPr>
    <w:rPr>
      <w:b/>
      <w:bCs/>
    </w:rPr>
  </w:style>
  <w:style w:type="paragraph" w:styleId="Heading7">
    <w:name w:val="heading 7"/>
    <w:basedOn w:val="Normal"/>
    <w:next w:val="Normal"/>
    <w:link w:val="Heading7Char"/>
    <w:qFormat/>
    <w:rsid w:val="002603A0"/>
    <w:pPr>
      <w:numPr>
        <w:ilvl w:val="6"/>
        <w:numId w:val="5"/>
      </w:numPr>
      <w:spacing w:before="240" w:after="60"/>
      <w:outlineLvl w:val="6"/>
    </w:pPr>
    <w:rPr>
      <w:sz w:val="24"/>
      <w:szCs w:val="24"/>
    </w:rPr>
  </w:style>
  <w:style w:type="paragraph" w:styleId="Heading8">
    <w:name w:val="heading 8"/>
    <w:basedOn w:val="Normal"/>
    <w:next w:val="Normal"/>
    <w:link w:val="Heading8Char"/>
    <w:qFormat/>
    <w:rsid w:val="002603A0"/>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2603A0"/>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E6626"/>
    <w:rPr>
      <w:sz w:val="20"/>
      <w:szCs w:val="20"/>
    </w:rPr>
  </w:style>
  <w:style w:type="character" w:styleId="Hyperlink">
    <w:name w:val="Hyperlink"/>
    <w:basedOn w:val="DefaultParagraphFont"/>
    <w:uiPriority w:val="99"/>
    <w:rsid w:val="00FE6626"/>
    <w:rPr>
      <w:color w:val="0000FF"/>
      <w:u w:val="single"/>
    </w:rPr>
  </w:style>
  <w:style w:type="paragraph" w:styleId="Caption">
    <w:name w:val="caption"/>
    <w:aliases w:val="cap"/>
    <w:basedOn w:val="Normal"/>
    <w:next w:val="Normal"/>
    <w:link w:val="CaptionChar"/>
    <w:qFormat/>
    <w:rsid w:val="002603A0"/>
    <w:pPr>
      <w:jc w:val="center"/>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autoSpaceDE/>
      <w:autoSpaceDN/>
      <w:adjustRightInd/>
      <w:spacing w:after="180"/>
      <w:ind w:left="1702" w:hanging="1418"/>
      <w:jc w:val="left"/>
    </w:pPr>
    <w:rPr>
      <w:sz w:val="20"/>
      <w:szCs w:val="20"/>
    </w:rPr>
  </w:style>
  <w:style w:type="paragraph" w:styleId="ListBullet">
    <w:name w:val="List Bullet"/>
    <w:basedOn w:val="List"/>
    <w:rsid w:val="00FE6626"/>
    <w:pPr>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2603A0"/>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link w:val="ListParagraphChar"/>
    <w:uiPriority w:val="34"/>
    <w:qFormat/>
    <w:rsid w:val="002603A0"/>
    <w:pPr>
      <w:autoSpaceDE/>
      <w:autoSpaceDN/>
      <w:adjustRightInd/>
      <w:spacing w:after="0"/>
      <w:ind w:left="720"/>
      <w:jc w:val="left"/>
    </w:pPr>
    <w:rPr>
      <w:rFonts w:cs="Calibri"/>
      <w:lang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2F0AD9"/>
    <w:rPr>
      <w:sz w:val="16"/>
      <w:szCs w:val="16"/>
    </w:rPr>
  </w:style>
  <w:style w:type="paragraph" w:styleId="CommentText">
    <w:name w:val="annotation text"/>
    <w:basedOn w:val="Normal"/>
    <w:link w:val="CommentTextChar"/>
    <w:rsid w:val="002F0AD9"/>
    <w:rPr>
      <w:sz w:val="20"/>
      <w:szCs w:val="20"/>
    </w:rPr>
  </w:style>
  <w:style w:type="character" w:customStyle="1" w:styleId="CommentTextChar">
    <w:name w:val="Comment Text Char"/>
    <w:basedOn w:val="DefaultParagraphFont"/>
    <w:link w:val="CommentText"/>
    <w:rsid w:val="002F0AD9"/>
    <w:rPr>
      <w:lang w:val="en-GB" w:eastAsia="en-US"/>
    </w:rPr>
  </w:style>
  <w:style w:type="paragraph" w:styleId="CommentSubject">
    <w:name w:val="annotation subject"/>
    <w:basedOn w:val="CommentText"/>
    <w:next w:val="CommentText"/>
    <w:link w:val="CommentSubjectChar"/>
    <w:rsid w:val="002F0AD9"/>
    <w:rPr>
      <w:b/>
      <w:bCs/>
    </w:rPr>
  </w:style>
  <w:style w:type="character" w:customStyle="1" w:styleId="CommentSubjectChar">
    <w:name w:val="Comment Subject Char"/>
    <w:basedOn w:val="CommentTextChar"/>
    <w:link w:val="CommentSubject"/>
    <w:rsid w:val="002F0AD9"/>
    <w:rPr>
      <w:b/>
      <w:bCs/>
      <w:lang w:val="en-GB" w:eastAsia="en-US"/>
    </w:rPr>
  </w:style>
  <w:style w:type="character" w:styleId="PlaceholderText">
    <w:name w:val="Placeholder Text"/>
    <w:basedOn w:val="DefaultParagraphFont"/>
    <w:uiPriority w:val="99"/>
    <w:semiHidden/>
    <w:rsid w:val="002A4CDD"/>
    <w:rPr>
      <w:color w:val="808080"/>
    </w:rPr>
  </w:style>
  <w:style w:type="paragraph" w:customStyle="1" w:styleId="TAH">
    <w:name w:val="TAH"/>
    <w:basedOn w:val="TAC"/>
    <w:rsid w:val="007E1688"/>
    <w:rPr>
      <w:b/>
    </w:rPr>
  </w:style>
  <w:style w:type="paragraph" w:customStyle="1" w:styleId="TAC">
    <w:name w:val="TAC"/>
    <w:basedOn w:val="Normal"/>
    <w:rsid w:val="007E1688"/>
    <w:pPr>
      <w:keepNext/>
      <w:keepLines/>
      <w:autoSpaceDE/>
      <w:autoSpaceDN/>
      <w:adjustRightInd/>
      <w:spacing w:after="0"/>
      <w:jc w:val="center"/>
    </w:pPr>
    <w:rPr>
      <w:rFonts w:ascii="Arial" w:hAnsi="Arial"/>
      <w:sz w:val="18"/>
      <w:szCs w:val="20"/>
    </w:rPr>
  </w:style>
  <w:style w:type="paragraph" w:customStyle="1" w:styleId="B1">
    <w:name w:val="B1"/>
    <w:basedOn w:val="List"/>
    <w:link w:val="B1Char"/>
    <w:rsid w:val="00BB1D5A"/>
    <w:pPr>
      <w:autoSpaceDE/>
      <w:autoSpaceDN/>
      <w:adjustRightInd/>
      <w:spacing w:after="180"/>
      <w:ind w:left="568" w:hanging="284"/>
      <w:jc w:val="left"/>
    </w:pPr>
    <w:rPr>
      <w:sz w:val="20"/>
      <w:szCs w:val="20"/>
    </w:rPr>
  </w:style>
  <w:style w:type="character" w:customStyle="1" w:styleId="B1Char">
    <w:name w:val="B1 Char"/>
    <w:link w:val="B1"/>
    <w:rsid w:val="00BB1D5A"/>
    <w:rPr>
      <w:lang w:val="en-GB"/>
    </w:rPr>
  </w:style>
  <w:style w:type="character" w:customStyle="1" w:styleId="Heading1Char">
    <w:name w:val="Heading 1 Char"/>
    <w:aliases w:val="编号 Char,h1 Char,h11 Char,h12 Char,h13 Char,h14 Char,h15 Char,h16 Char,h17 Char,h111 Char,h121 Char,h131 Char,h141 Char,h151 Char,h161 Char,h18 Char,h112 Char,h122 Char,h132 Char,h142 Char,h152 Char,h162 Char,h19 Char,h113 Char,h123 Char"/>
    <w:basedOn w:val="DefaultParagraphFont"/>
    <w:link w:val="Heading1"/>
    <w:rsid w:val="002603A0"/>
    <w:rPr>
      <w:b/>
      <w:bCs/>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094A37"/>
    <w:rPr>
      <w:b/>
      <w:bCs/>
      <w:sz w:val="22"/>
      <w:szCs w:val="22"/>
    </w:rPr>
  </w:style>
  <w:style w:type="character" w:customStyle="1" w:styleId="Heading3Char">
    <w:name w:val="Heading 3 Char"/>
    <w:aliases w:val="h3 Char"/>
    <w:basedOn w:val="DefaultParagraphFont"/>
    <w:link w:val="Heading3"/>
    <w:rsid w:val="002603A0"/>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03A0"/>
    <w:rPr>
      <w:b/>
      <w:bCs/>
      <w:sz w:val="28"/>
      <w:szCs w:val="28"/>
      <w:lang w:eastAsia="en-US"/>
    </w:rPr>
  </w:style>
  <w:style w:type="character" w:customStyle="1" w:styleId="Heading5Char">
    <w:name w:val="Heading 5 Char"/>
    <w:aliases w:val="h5 Char,Heading5 Char"/>
    <w:basedOn w:val="DefaultParagraphFont"/>
    <w:link w:val="Heading5"/>
    <w:rsid w:val="002603A0"/>
    <w:rPr>
      <w:b/>
      <w:bCs/>
      <w:i/>
      <w:iCs/>
      <w:sz w:val="26"/>
      <w:szCs w:val="26"/>
      <w:lang w:eastAsia="en-US"/>
    </w:rPr>
  </w:style>
  <w:style w:type="character" w:customStyle="1" w:styleId="Heading6Char">
    <w:name w:val="Heading 6 Char"/>
    <w:basedOn w:val="DefaultParagraphFont"/>
    <w:link w:val="Heading6"/>
    <w:rsid w:val="002603A0"/>
    <w:rPr>
      <w:b/>
      <w:bCs/>
      <w:sz w:val="22"/>
      <w:szCs w:val="22"/>
      <w:lang w:eastAsia="en-US"/>
    </w:rPr>
  </w:style>
  <w:style w:type="character" w:customStyle="1" w:styleId="Heading7Char">
    <w:name w:val="Heading 7 Char"/>
    <w:basedOn w:val="DefaultParagraphFont"/>
    <w:link w:val="Heading7"/>
    <w:rsid w:val="002603A0"/>
    <w:rPr>
      <w:sz w:val="24"/>
      <w:szCs w:val="24"/>
      <w:lang w:eastAsia="en-US"/>
    </w:rPr>
  </w:style>
  <w:style w:type="character" w:customStyle="1" w:styleId="Heading8Char">
    <w:name w:val="Heading 8 Char"/>
    <w:basedOn w:val="DefaultParagraphFont"/>
    <w:link w:val="Heading8"/>
    <w:rsid w:val="002603A0"/>
    <w:rPr>
      <w:i/>
      <w:iCs/>
      <w:sz w:val="24"/>
      <w:szCs w:val="24"/>
      <w:lang w:eastAsia="en-US"/>
    </w:rPr>
  </w:style>
  <w:style w:type="character" w:customStyle="1" w:styleId="Heading9Char">
    <w:name w:val="Heading 9 Char"/>
    <w:aliases w:val="Figure Heading Char,FH Char"/>
    <w:basedOn w:val="DefaultParagraphFont"/>
    <w:link w:val="Heading9"/>
    <w:rsid w:val="002603A0"/>
    <w:rPr>
      <w:rFonts w:ascii="Arial" w:hAnsi="Arial" w:cs="Arial"/>
      <w:sz w:val="22"/>
      <w:szCs w:val="22"/>
      <w:lang w:eastAsia="en-US"/>
    </w:rPr>
  </w:style>
  <w:style w:type="paragraph" w:styleId="Title">
    <w:name w:val="Title"/>
    <w:basedOn w:val="Normal"/>
    <w:next w:val="Normal"/>
    <w:link w:val="TitleChar"/>
    <w:qFormat/>
    <w:rsid w:val="002603A0"/>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2603A0"/>
    <w:rPr>
      <w:rFonts w:ascii="Cambria" w:hAnsi="Cambria" w:cs="Times New Roman"/>
      <w:b/>
      <w:bCs/>
      <w:sz w:val="32"/>
      <w:szCs w:val="32"/>
      <w:lang w:eastAsia="en-US"/>
    </w:rPr>
  </w:style>
  <w:style w:type="character" w:styleId="Strong">
    <w:name w:val="Strong"/>
    <w:basedOn w:val="DefaultParagraphFont"/>
    <w:qFormat/>
    <w:rsid w:val="002603A0"/>
    <w:rPr>
      <w:b/>
      <w:bCs/>
    </w:rPr>
  </w:style>
  <w:style w:type="paragraph" w:customStyle="1" w:styleId="figure">
    <w:name w:val="figure"/>
    <w:basedOn w:val="Normal"/>
    <w:qFormat/>
    <w:rsid w:val="002603A0"/>
    <w:pPr>
      <w:keepNext/>
      <w:jc w:val="center"/>
    </w:pPr>
  </w:style>
  <w:style w:type="paragraph" w:customStyle="1" w:styleId="Tablecell">
    <w:name w:val="Tablecell"/>
    <w:basedOn w:val="Normal"/>
    <w:qFormat/>
    <w:rsid w:val="002603A0"/>
    <w:pPr>
      <w:widowControl w:val="0"/>
      <w:spacing w:before="40" w:after="40"/>
      <w:jc w:val="left"/>
    </w:pPr>
    <w:rPr>
      <w:sz w:val="20"/>
    </w:rPr>
  </w:style>
  <w:style w:type="paragraph" w:customStyle="1" w:styleId="tablecell0">
    <w:name w:val="tablecell"/>
    <w:basedOn w:val="Normal"/>
    <w:qFormat/>
    <w:rsid w:val="002603A0"/>
    <w:pPr>
      <w:widowControl w:val="0"/>
      <w:spacing w:before="20" w:after="20"/>
      <w:jc w:val="center"/>
    </w:pPr>
    <w:rPr>
      <w:kern w:val="2"/>
      <w:lang w:eastAsia="zh-CN"/>
    </w:rPr>
  </w:style>
  <w:style w:type="character" w:customStyle="1" w:styleId="B1Zchn">
    <w:name w:val="B1 Zchn"/>
    <w:basedOn w:val="DefaultParagraphFont"/>
    <w:rsid w:val="00033512"/>
    <w:rPr>
      <w:rFonts w:eastAsia="MS Mincho"/>
      <w:lang w:val="en-GB" w:eastAsia="en-US"/>
    </w:rPr>
  </w:style>
  <w:style w:type="character" w:customStyle="1" w:styleId="ListParagraphChar">
    <w:name w:val="List Paragraph Char"/>
    <w:link w:val="ListParagraph"/>
    <w:uiPriority w:val="34"/>
    <w:locked/>
    <w:rsid w:val="00C70F62"/>
    <w:rPr>
      <w:rFonts w:cs="Calibri"/>
      <w:sz w:val="22"/>
      <w:szCs w:val="22"/>
    </w:rPr>
  </w:style>
  <w:style w:type="paragraph" w:styleId="Revision">
    <w:name w:val="Revision"/>
    <w:hidden/>
    <w:uiPriority w:val="99"/>
    <w:semiHidden/>
    <w:rsid w:val="00AB7635"/>
    <w:rPr>
      <w:sz w:val="22"/>
      <w:szCs w:val="22"/>
      <w:lang w:eastAsia="en-US"/>
    </w:rPr>
  </w:style>
  <w:style w:type="paragraph" w:styleId="TOC6">
    <w:name w:val="toc 6"/>
    <w:basedOn w:val="TOC5"/>
    <w:next w:val="Normal"/>
    <w:rsid w:val="0035593E"/>
    <w:pPr>
      <w:keepLines/>
      <w:widowControl w:val="0"/>
      <w:tabs>
        <w:tab w:val="right" w:leader="dot" w:pos="9639"/>
      </w:tabs>
      <w:overflowPunct w:val="0"/>
      <w:snapToGrid/>
      <w:spacing w:after="0"/>
      <w:ind w:leftChars="0" w:left="1985" w:right="425" w:hanging="1985"/>
      <w:jc w:val="left"/>
      <w:textAlignment w:val="baseline"/>
    </w:pPr>
    <w:rPr>
      <w:rFonts w:eastAsia="Times New Roman"/>
      <w:noProof/>
      <w:sz w:val="20"/>
      <w:szCs w:val="20"/>
      <w:lang w:val="en-GB"/>
    </w:rPr>
  </w:style>
  <w:style w:type="paragraph" w:styleId="TOC5">
    <w:name w:val="toc 5"/>
    <w:basedOn w:val="Normal"/>
    <w:next w:val="Normal"/>
    <w:autoRedefine/>
    <w:rsid w:val="0035593E"/>
    <w:pPr>
      <w:ind w:leftChars="800" w:left="1680"/>
    </w:pPr>
  </w:style>
</w:styles>
</file>

<file path=word/webSettings.xml><?xml version="1.0" encoding="utf-8"?>
<w:webSettings xmlns:r="http://schemas.openxmlformats.org/officeDocument/2006/relationships" xmlns:w="http://schemas.openxmlformats.org/wordprocessingml/2006/main">
  <w:divs>
    <w:div w:id="6580755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718175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1535708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58886382">
      <w:bodyDiv w:val="1"/>
      <w:marLeft w:val="0"/>
      <w:marRight w:val="0"/>
      <w:marTop w:val="0"/>
      <w:marBottom w:val="0"/>
      <w:divBdr>
        <w:top w:val="none" w:sz="0" w:space="0" w:color="auto"/>
        <w:left w:val="none" w:sz="0" w:space="0" w:color="auto"/>
        <w:bottom w:val="none" w:sz="0" w:space="0" w:color="auto"/>
        <w:right w:val="none" w:sz="0" w:space="0" w:color="auto"/>
      </w:divBdr>
    </w:div>
    <w:div w:id="1402017703">
      <w:bodyDiv w:val="1"/>
      <w:marLeft w:val="0"/>
      <w:marRight w:val="0"/>
      <w:marTop w:val="0"/>
      <w:marBottom w:val="0"/>
      <w:divBdr>
        <w:top w:val="none" w:sz="0" w:space="0" w:color="auto"/>
        <w:left w:val="none" w:sz="0" w:space="0" w:color="auto"/>
        <w:bottom w:val="none" w:sz="0" w:space="0" w:color="auto"/>
        <w:right w:val="none" w:sz="0" w:space="0" w:color="auto"/>
      </w:divBdr>
    </w:div>
    <w:div w:id="16293617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0C8E89-321E-45C0-8C4F-44986534D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2199</Words>
  <Characters>12540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14710</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Huawei3</cp:lastModifiedBy>
  <cp:revision>4</cp:revision>
  <cp:lastPrinted>2015-07-15T14:38:00Z</cp:lastPrinted>
  <dcterms:created xsi:type="dcterms:W3CDTF">2016-04-01T19:42:00Z</dcterms:created>
  <dcterms:modified xsi:type="dcterms:W3CDTF">2016-04-02T01:10:00Z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(4)bcZzn98qHRWhSjFU+uSR9fcHcktwi3k+UoSyhNjwQqDvADryg1Eh/VxNblJR+2K1QbjyKY1F_x000d_
4DPd4OuxDO7Ix1yr5nboIFSzszOA630yDoQY5jBt5lqR76g6AAzMfRAktlwuyCY0gwT2u3iv_x000d_
uBIQDWD4idE8+gj+7kCI7726YuPTS2ytqn80cjCQkoWXZ0F2rCC2zu8IGXG5ARCDpxS4GCvH_x000d_
/Dservdz8Kt/cbABgU</vt:lpwstr>
  </property>
  <property fmtid="{D5CDD505-2E9C-101B-9397-08002B2CF9AE}" pid="7" name="_new_ms_pID_72543_00">
    <vt:lpwstr>_new_ms_pID_72543</vt:lpwstr>
  </property>
  <property fmtid="{D5CDD505-2E9C-101B-9397-08002B2CF9AE}" pid="8" name="_new_ms_pID_725431">
    <vt:lpwstr>7fmnUzMqogPnXyjiB7543UYIGU2oBflOhx8YMWpUryMaaghjVq5LTi_x000d_
o/BO5wRaXXP9oQkdUjtqjmX++PtEet1yTpcEq7B5hpxm2h+PbFI8TeKRZpO2uIpq0WI7msqS_x000d_
b3sfzdce1UnOggUsD6Gy0eYMLGIYTIiPleGP/HWtUlJ3gOl/DRh4cWhs4DUYthoSAz95wX0p_x000d_
q+uclqkoPyVqNXNeCiiKZDKNehTYG5UK034q</vt:lpwstr>
  </property>
  <property fmtid="{D5CDD505-2E9C-101B-9397-08002B2CF9AE}" pid="9" name="_new_ms_pID_725431_00">
    <vt:lpwstr>_new_ms_pID_725431</vt:lpwstr>
  </property>
  <property fmtid="{D5CDD505-2E9C-101B-9397-08002B2CF9AE}" pid="10" name="_new_ms_pID_725432">
    <vt:lpwstr>TURSZgAZ2nMf9UyLdXfEHDaE4Q42QS/pH8gb_x000d_
uK3NyFiOs5n4it+sxUBCTKoqLbJpkZpPxGwIUK3dXVUrEqZDCfVtn3SCWofhHAXhDH0NSrbB_x000d_
Sa+gNVa/GwlhMmlPpO7EUmgYHwxGQXQvlyRyxFFZRuxbLTMX9G6PGtaWMtBsVJpPXeRKZHwJ_x000d_
U3AGPyMA2eIcowgBy72Nncy/bmrmAHzhtV0Vx/l2f8hqmsPxyzYFN9</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1459559379</vt:lpwstr>
  </property>
</Properties>
</file>