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w:t>
      </w:r>
      <w:r w:rsidR="003704BD">
        <w:rPr>
          <w:rFonts w:ascii="Arial" w:eastAsia="MS Mincho" w:hAnsi="Arial"/>
          <w:b/>
          <w:bCs/>
        </w:rPr>
        <w:t>7</w:t>
      </w:r>
      <w:r w:rsidR="006E3BD6">
        <w:rPr>
          <w:rFonts w:ascii="Arial" w:eastAsia="MS Mincho" w:hAnsi="Arial"/>
          <w:b/>
          <w:bCs/>
        </w:rPr>
        <w:t>8</w:t>
      </w:r>
      <w:r w:rsidR="0090367C">
        <w:rPr>
          <w:rFonts w:ascii="Arial" w:eastAsia="MS Mincho" w:hAnsi="Arial"/>
          <w:b/>
          <w:bCs/>
        </w:rPr>
        <w:t>,</w:t>
      </w:r>
      <w:r w:rsidR="0090367C">
        <w:rPr>
          <w:rFonts w:ascii="Arial" w:eastAsia="MS Mincho" w:hAnsi="Arial"/>
          <w:b/>
          <w:bCs/>
        </w:rPr>
        <w:tab/>
        <w:t>R1-</w:t>
      </w:r>
      <w:r w:rsidR="00D86DAE">
        <w:rPr>
          <w:rFonts w:ascii="Arial" w:eastAsia="MS Mincho" w:hAnsi="Arial"/>
          <w:b/>
          <w:bCs/>
        </w:rPr>
        <w:t>14</w:t>
      </w:r>
      <w:r w:rsidR="00BA3031">
        <w:rPr>
          <w:rFonts w:ascii="Arial" w:eastAsia="MS Mincho" w:hAnsi="Arial"/>
          <w:b/>
          <w:bCs/>
        </w:rPr>
        <w:t>3312</w:t>
      </w:r>
    </w:p>
    <w:p w:rsidR="003F68FD" w:rsidRPr="003F68FD" w:rsidRDefault="003F68FD" w:rsidP="003F68FD">
      <w:pPr>
        <w:pStyle w:val="Header"/>
        <w:tabs>
          <w:tab w:val="clear" w:pos="4536"/>
          <w:tab w:val="left" w:pos="1800"/>
        </w:tabs>
        <w:ind w:left="1800" w:hanging="1800"/>
        <w:jc w:val="both"/>
        <w:rPr>
          <w:bCs/>
        </w:rPr>
      </w:pPr>
      <w:r w:rsidRPr="003F68FD">
        <w:rPr>
          <w:rFonts w:hint="eastAsia"/>
          <w:bCs/>
        </w:rPr>
        <w:t>Dresden</w:t>
      </w:r>
      <w:r w:rsidRPr="003F68FD">
        <w:rPr>
          <w:bCs/>
        </w:rPr>
        <w:t xml:space="preserve">, </w:t>
      </w:r>
      <w:r w:rsidRPr="003F68FD">
        <w:rPr>
          <w:rFonts w:hint="eastAsia"/>
          <w:bCs/>
        </w:rPr>
        <w:t>Germany</w:t>
      </w:r>
      <w:r w:rsidRPr="003F68FD">
        <w:rPr>
          <w:bCs/>
        </w:rPr>
        <w:t xml:space="preserve">, </w:t>
      </w:r>
      <w:r w:rsidRPr="003F68FD">
        <w:rPr>
          <w:rFonts w:hint="eastAsia"/>
          <w:bCs/>
        </w:rPr>
        <w:t>18</w:t>
      </w:r>
      <w:r w:rsidRPr="003F68FD">
        <w:rPr>
          <w:rFonts w:hint="eastAsia"/>
          <w:bCs/>
          <w:vertAlign w:val="superscript"/>
        </w:rPr>
        <w:t>th</w:t>
      </w:r>
      <w:r w:rsidRPr="003F68FD">
        <w:rPr>
          <w:bCs/>
        </w:rPr>
        <w:t xml:space="preserve"> – </w:t>
      </w:r>
      <w:r w:rsidRPr="003F68FD">
        <w:rPr>
          <w:rFonts w:hint="eastAsia"/>
          <w:bCs/>
        </w:rPr>
        <w:t>22</w:t>
      </w:r>
      <w:r w:rsidRPr="003F68FD">
        <w:rPr>
          <w:rFonts w:hint="eastAsia"/>
          <w:bCs/>
          <w:vertAlign w:val="superscript"/>
        </w:rPr>
        <w:t>th</w:t>
      </w:r>
      <w:r w:rsidRPr="003F68FD">
        <w:rPr>
          <w:bCs/>
        </w:rPr>
        <w:t xml:space="preserve"> </w:t>
      </w:r>
      <w:r w:rsidRPr="003F68FD">
        <w:rPr>
          <w:rFonts w:hint="eastAsia"/>
          <w:bCs/>
        </w:rPr>
        <w:t>August</w:t>
      </w:r>
      <w:r w:rsidRPr="003F68FD">
        <w:rPr>
          <w:bCs/>
        </w:rPr>
        <w:t xml:space="preserve"> 2014</w:t>
      </w:r>
    </w:p>
    <w:p w:rsidR="00891F6D" w:rsidRDefault="00891F6D"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rsidR="00327F01">
        <w:t>Remaining issues on 256QAM</w:t>
      </w:r>
      <w:r>
        <w:t xml:space="preserve"> table design</w:t>
      </w:r>
    </w:p>
    <w:p w:rsidR="002A56A0" w:rsidRPr="00E70914" w:rsidRDefault="002A56A0" w:rsidP="002A56A0">
      <w:pPr>
        <w:pStyle w:val="Header"/>
        <w:tabs>
          <w:tab w:val="left" w:pos="1800"/>
        </w:tabs>
        <w:jc w:val="both"/>
      </w:pPr>
      <w:r w:rsidRPr="00E70914">
        <w:t>Agenda Item:</w:t>
      </w:r>
      <w:r w:rsidRPr="00E70914">
        <w:tab/>
      </w:r>
      <w:r w:rsidR="006E3BD6">
        <w:t>7.2.1.1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CD3FD9" w:rsidRPr="002C698F" w:rsidRDefault="002A56A0" w:rsidP="004801DE">
      <w:pPr>
        <w:pStyle w:val="Heading1"/>
        <w:jc w:val="both"/>
      </w:pPr>
      <w:bookmarkStart w:id="1" w:name="_Ref301342314"/>
      <w:r w:rsidRPr="00E70914">
        <w:t>Introduction</w:t>
      </w:r>
      <w:bookmarkEnd w:id="1"/>
    </w:p>
    <w:p w:rsidR="002A56A0" w:rsidRPr="00E70914" w:rsidRDefault="002A56A0" w:rsidP="002A56A0">
      <w:pPr>
        <w:pStyle w:val="BodyText"/>
        <w:jc w:val="both"/>
      </w:pPr>
      <w:r w:rsidRPr="00E70914">
        <w:t>In this contribution, we</w:t>
      </w:r>
      <w:r w:rsidR="002C698F">
        <w:t xml:space="preserve"> discuss the remaining issues on 256QAM table design</w:t>
      </w:r>
      <w:r w:rsidR="00C445AA">
        <w:t>.</w:t>
      </w:r>
    </w:p>
    <w:p w:rsidR="002A56A0" w:rsidRDefault="002A56A0" w:rsidP="002A56A0">
      <w:pPr>
        <w:pStyle w:val="Heading1"/>
        <w:jc w:val="both"/>
      </w:pPr>
      <w:bookmarkStart w:id="2" w:name="_Ref346118000"/>
      <w:r w:rsidRPr="00E70914">
        <w:t>Discussion</w:t>
      </w:r>
      <w:bookmarkStart w:id="3" w:name="_GoBack"/>
      <w:bookmarkEnd w:id="2"/>
      <w:bookmarkEnd w:id="3"/>
    </w:p>
    <w:p w:rsidR="00AA34BC" w:rsidRDefault="00AA34BC" w:rsidP="002C698F">
      <w:pPr>
        <w:pStyle w:val="Heading2"/>
      </w:pPr>
      <w:r>
        <w:t>CQI and MCS table</w:t>
      </w:r>
    </w:p>
    <w:p w:rsidR="00AA34BC" w:rsidRDefault="0036787F" w:rsidP="00AA34BC">
      <w:pPr>
        <w:pStyle w:val="BodyText"/>
      </w:pPr>
      <w:r>
        <w:t>The</w:t>
      </w:r>
      <w:r w:rsidR="00AA34BC">
        <w:t xml:space="preserve"> CQI table and MCS table with 256QAM support are concluded to be the working assumption given in </w:t>
      </w:r>
      <w:r w:rsidR="00AA34BC">
        <w:fldChar w:fldCharType="begin"/>
      </w:r>
      <w:r w:rsidR="00AA34BC">
        <w:instrText xml:space="preserve"> REF _Ref394506093 \r \h </w:instrText>
      </w:r>
      <w:r w:rsidR="00AA34BC">
        <w:fldChar w:fldCharType="separate"/>
      </w:r>
      <w:r w:rsidR="00AA34BC">
        <w:t>[1]</w:t>
      </w:r>
      <w:r w:rsidR="00AA34BC">
        <w:fldChar w:fldCharType="end"/>
      </w:r>
      <w:r w:rsidR="00AA34BC">
        <w:t>. As both the CQI table and MCS table design ha</w:t>
      </w:r>
      <w:r w:rsidR="00AE4E21">
        <w:t>s</w:t>
      </w:r>
      <w:r w:rsidR="00AA34BC">
        <w:t xml:space="preserve"> been intensively/thoroughly discussed at previous </w:t>
      </w:r>
      <w:r w:rsidR="00AE4E21">
        <w:t xml:space="preserve">RAN1 </w:t>
      </w:r>
      <w:r w:rsidR="00AA34BC">
        <w:t>meetings</w:t>
      </w:r>
      <w:r w:rsidR="00CC57AA">
        <w:t xml:space="preserve"> and there </w:t>
      </w:r>
      <w:r w:rsidR="00AE4E21">
        <w:t>are no contradictory issues</w:t>
      </w:r>
      <w:r w:rsidR="00AA34BC">
        <w:t>, we propose to</w:t>
      </w:r>
      <w:r w:rsidR="00AE4E21">
        <w:t xml:space="preserve"> confirm the working assumption on the CQI and MCS table for 256QAM.</w:t>
      </w:r>
    </w:p>
    <w:p w:rsidR="00AA34BC" w:rsidRPr="00492133" w:rsidRDefault="00AA34BC" w:rsidP="00AA34BC">
      <w:pPr>
        <w:pStyle w:val="StatementHeading"/>
        <w:spacing w:before="0" w:beforeAutospacing="0" w:after="120"/>
        <w:jc w:val="both"/>
      </w:pPr>
      <w:r>
        <w:t xml:space="preserve"> Proposal</w:t>
      </w:r>
      <w:r w:rsidRPr="00492133">
        <w:t>:</w:t>
      </w:r>
    </w:p>
    <w:p w:rsidR="00AA34BC" w:rsidRPr="00AA34BC" w:rsidRDefault="00AA34BC" w:rsidP="00AA34BC">
      <w:pPr>
        <w:pStyle w:val="BodyText"/>
        <w:numPr>
          <w:ilvl w:val="0"/>
          <w:numId w:val="30"/>
        </w:numPr>
      </w:pPr>
      <w:r>
        <w:rPr>
          <w:i/>
        </w:rPr>
        <w:t>Confirm the working assump</w:t>
      </w:r>
      <w:r w:rsidR="00CC57AA">
        <w:rPr>
          <w:i/>
        </w:rPr>
        <w:t>tion of CQI table and MCS table for 256QAM.</w:t>
      </w:r>
    </w:p>
    <w:p w:rsidR="002C698F" w:rsidRPr="002C698F" w:rsidRDefault="002C698F" w:rsidP="002C698F">
      <w:pPr>
        <w:pStyle w:val="Heading2"/>
      </w:pPr>
      <w:r>
        <w:t>TBS table</w:t>
      </w:r>
    </w:p>
    <w:p w:rsidR="00F31035" w:rsidRDefault="00F31035" w:rsidP="00F31035">
      <w:pPr>
        <w:pStyle w:val="BodyText"/>
        <w:jc w:val="both"/>
      </w:pPr>
      <w:r>
        <w:t>At last meeting, RAN1 has made below agreement on TBS table design:</w:t>
      </w:r>
    </w:p>
    <w:p w:rsidR="00F31035" w:rsidRPr="00F31035" w:rsidRDefault="00F31035" w:rsidP="00F31035">
      <w:pPr>
        <w:autoSpaceDE w:val="0"/>
        <w:autoSpaceDN w:val="0"/>
        <w:adjustRightInd w:val="0"/>
        <w:snapToGrid w:val="0"/>
        <w:spacing w:after="120"/>
        <w:ind w:firstLine="720"/>
        <w:jc w:val="both"/>
        <w:rPr>
          <w:rFonts w:eastAsia="MS Mincho"/>
          <w:i/>
          <w:lang w:eastAsia="ja-JP"/>
        </w:rPr>
      </w:pPr>
      <w:r>
        <w:rPr>
          <w:rFonts w:eastAsia="MS Mincho"/>
          <w:i/>
          <w:lang w:eastAsia="ja-JP"/>
        </w:rPr>
        <w:t>“</w:t>
      </w:r>
      <w:r w:rsidRPr="0038270F">
        <w:rPr>
          <w:rFonts w:eastAsia="MS Mincho" w:hint="eastAsia"/>
          <w:i/>
          <w:lang w:eastAsia="ja-JP"/>
        </w:rPr>
        <w:t xml:space="preserve">Same design </w:t>
      </w:r>
      <w:r w:rsidRPr="0038270F">
        <w:rPr>
          <w:rFonts w:eastAsia="MS Mincho"/>
          <w:i/>
          <w:lang w:eastAsia="ja-JP"/>
        </w:rPr>
        <w:t>principle</w:t>
      </w:r>
      <w:r w:rsidRPr="0038270F">
        <w:rPr>
          <w:rFonts w:eastAsia="MS Mincho" w:hint="eastAsia"/>
          <w:i/>
          <w:lang w:eastAsia="ja-JP"/>
        </w:rPr>
        <w:t xml:space="preserve"> is applied for TBS table used up to Rel-10</w:t>
      </w:r>
      <w:r w:rsidRPr="0038270F">
        <w:rPr>
          <w:rFonts w:eastAsia="MS Mincho"/>
          <w:i/>
          <w:lang w:eastAsia="ja-JP"/>
        </w:rPr>
        <w:t>.</w:t>
      </w:r>
      <w:r>
        <w:rPr>
          <w:rFonts w:eastAsia="MS Mincho"/>
          <w:i/>
          <w:lang w:eastAsia="ja-JP"/>
        </w:rPr>
        <w:t>”</w:t>
      </w:r>
    </w:p>
    <w:p w:rsidR="002C698F" w:rsidRDefault="00F31035" w:rsidP="002D4C4D">
      <w:pPr>
        <w:pStyle w:val="BodyText"/>
        <w:jc w:val="both"/>
      </w:pPr>
      <w:r>
        <w:t>A</w:t>
      </w:r>
      <w:r w:rsidR="007A79C4">
        <w:t xml:space="preserve"> </w:t>
      </w:r>
      <w:r w:rsidR="00EC1526">
        <w:t xml:space="preserve">TBS table </w:t>
      </w:r>
      <w:r>
        <w:t xml:space="preserve">is concluded as working assumption for 256QAM given </w:t>
      </w:r>
      <w:r w:rsidR="007A79C4">
        <w:t xml:space="preserve">in </w:t>
      </w:r>
      <w:r w:rsidR="007A79C4">
        <w:fldChar w:fldCharType="begin"/>
      </w:r>
      <w:r w:rsidR="007A79C4">
        <w:instrText xml:space="preserve"> REF _Ref394586263 \r \h </w:instrText>
      </w:r>
      <w:r w:rsidR="007A79C4">
        <w:fldChar w:fldCharType="separate"/>
      </w:r>
      <w:r w:rsidR="007A79C4">
        <w:t>[2]</w:t>
      </w:r>
      <w:r w:rsidR="007A79C4">
        <w:fldChar w:fldCharType="end"/>
      </w:r>
      <w:r w:rsidR="007A79C4">
        <w:t xml:space="preserve">. </w:t>
      </w:r>
      <w:r>
        <w:t>However, t</w:t>
      </w:r>
      <w:r w:rsidR="002C698F">
        <w:t xml:space="preserve">here </w:t>
      </w:r>
      <w:r w:rsidR="00EC1526">
        <w:t>are</w:t>
      </w:r>
      <w:r w:rsidR="002C698F">
        <w:t xml:space="preserve"> different views on the TBS corresponding to highest spectral efficiency for 2/3/4 layers, i.e., TBS_L2_max, TBS_L3_max and TBS_L4_max. </w:t>
      </w:r>
      <w:r w:rsidR="00B15F44">
        <w:t xml:space="preserve">And it is FFS to </w:t>
      </w:r>
      <w:r w:rsidR="00A219D6">
        <w:t>select</w:t>
      </w:r>
      <w:r w:rsidR="00B15F44">
        <w:t xml:space="preserve"> between </w:t>
      </w:r>
      <w:r w:rsidR="00A219D6">
        <w:t xml:space="preserve">the </w:t>
      </w:r>
      <w:r w:rsidR="00B15F44">
        <w:t>two options:</w:t>
      </w:r>
    </w:p>
    <w:p w:rsidR="00C537D5" w:rsidRPr="0038270F" w:rsidRDefault="00C537D5" w:rsidP="00C537D5">
      <w:pPr>
        <w:pStyle w:val="ListParagraph"/>
        <w:numPr>
          <w:ilvl w:val="0"/>
          <w:numId w:val="29"/>
        </w:numPr>
        <w:rPr>
          <w:i/>
          <w:lang w:eastAsia="zh-CN"/>
        </w:rPr>
      </w:pPr>
      <w:r w:rsidRPr="0038270F">
        <w:rPr>
          <w:i/>
          <w:lang w:eastAsia="zh-CN"/>
        </w:rPr>
        <w:t>O</w:t>
      </w:r>
      <w:r w:rsidRPr="0038270F">
        <w:rPr>
          <w:rFonts w:hint="eastAsia"/>
          <w:i/>
          <w:lang w:eastAsia="zh-CN"/>
        </w:rPr>
        <w:t>ption</w:t>
      </w:r>
      <w:r w:rsidRPr="0038270F">
        <w:rPr>
          <w:i/>
          <w:lang w:eastAsia="zh-CN"/>
        </w:rPr>
        <w:t xml:space="preserve"> 1</w:t>
      </w:r>
    </w:p>
    <w:tbl>
      <w:tblPr>
        <w:tblW w:w="44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C537D5" w:rsidRPr="0038270F" w:rsidTr="00475509">
        <w:trPr>
          <w:trHeight w:val="270"/>
          <w:jc w:val="center"/>
        </w:trPr>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b/>
                <w:bCs/>
                <w:i/>
                <w:color w:val="000000"/>
                <w:lang w:eastAsia="zh-CN"/>
              </w:rPr>
              <w:t>TBS_L2</w:t>
            </w:r>
          </w:p>
        </w:tc>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b/>
                <w:bCs/>
                <w:i/>
                <w:color w:val="000000"/>
                <w:lang w:eastAsia="zh-CN"/>
              </w:rPr>
              <w:t>TBS_L3</w:t>
            </w:r>
          </w:p>
        </w:tc>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b/>
                <w:bCs/>
                <w:i/>
                <w:color w:val="000000"/>
                <w:lang w:eastAsia="zh-CN"/>
              </w:rPr>
              <w:t>TBS_L4</w:t>
            </w:r>
          </w:p>
        </w:tc>
      </w:tr>
      <w:tr w:rsidR="00C537D5" w:rsidRPr="0038270F" w:rsidTr="00475509">
        <w:trPr>
          <w:trHeight w:val="270"/>
          <w:jc w:val="center"/>
        </w:trPr>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i/>
                <w:color w:val="000000"/>
                <w:lang w:eastAsia="zh-CN"/>
              </w:rPr>
              <w:t>193768</w:t>
            </w:r>
          </w:p>
        </w:tc>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i/>
                <w:color w:val="000000"/>
                <w:lang w:eastAsia="zh-CN"/>
              </w:rPr>
              <w:t>290664</w:t>
            </w:r>
          </w:p>
        </w:tc>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i/>
                <w:color w:val="000000"/>
                <w:lang w:eastAsia="zh-CN"/>
              </w:rPr>
              <w:t>387560</w:t>
            </w:r>
          </w:p>
        </w:tc>
      </w:tr>
    </w:tbl>
    <w:p w:rsidR="00C537D5" w:rsidRPr="0038270F" w:rsidRDefault="00C537D5" w:rsidP="00C537D5">
      <w:pPr>
        <w:rPr>
          <w:rFonts w:eastAsia="MS Mincho"/>
          <w:i/>
          <w:lang w:eastAsia="ja-JP"/>
        </w:rPr>
      </w:pPr>
    </w:p>
    <w:p w:rsidR="00C537D5" w:rsidRPr="0038270F" w:rsidRDefault="00C537D5" w:rsidP="00C537D5">
      <w:pPr>
        <w:pStyle w:val="ListParagraph"/>
        <w:numPr>
          <w:ilvl w:val="0"/>
          <w:numId w:val="29"/>
        </w:numPr>
        <w:rPr>
          <w:i/>
          <w:lang w:eastAsia="zh-CN"/>
        </w:rPr>
      </w:pPr>
      <w:r w:rsidRPr="0038270F">
        <w:rPr>
          <w:i/>
          <w:lang w:eastAsia="zh-CN"/>
        </w:rPr>
        <w:t>O</w:t>
      </w:r>
      <w:r w:rsidRPr="0038270F">
        <w:rPr>
          <w:rFonts w:hint="eastAsia"/>
          <w:i/>
          <w:lang w:eastAsia="zh-CN"/>
        </w:rPr>
        <w:t>ption</w:t>
      </w:r>
      <w:r w:rsidRPr="0038270F">
        <w:rPr>
          <w:i/>
          <w:lang w:eastAsia="zh-CN"/>
        </w:rPr>
        <w:t xml:space="preserve"> </w:t>
      </w:r>
      <w:r w:rsidRPr="0038270F">
        <w:rPr>
          <w:rFonts w:hint="eastAsia"/>
          <w:i/>
          <w:lang w:eastAsia="zh-CN"/>
        </w:rPr>
        <w:t>2</w:t>
      </w:r>
    </w:p>
    <w:tbl>
      <w:tblPr>
        <w:tblW w:w="44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C537D5" w:rsidRPr="0038270F" w:rsidTr="00475509">
        <w:trPr>
          <w:trHeight w:val="270"/>
          <w:jc w:val="center"/>
        </w:trPr>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b/>
                <w:bCs/>
                <w:i/>
                <w:color w:val="000000"/>
                <w:lang w:eastAsia="zh-CN"/>
              </w:rPr>
              <w:t>TBS_L2</w:t>
            </w:r>
          </w:p>
        </w:tc>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b/>
                <w:bCs/>
                <w:i/>
                <w:color w:val="000000"/>
                <w:lang w:eastAsia="zh-CN"/>
              </w:rPr>
              <w:t>TBS_L3</w:t>
            </w:r>
          </w:p>
        </w:tc>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b/>
                <w:bCs/>
                <w:i/>
                <w:color w:val="000000"/>
                <w:lang w:eastAsia="zh-CN"/>
              </w:rPr>
              <w:t>TBS_L4</w:t>
            </w:r>
          </w:p>
        </w:tc>
      </w:tr>
      <w:tr w:rsidR="00C537D5" w:rsidRPr="0038270F" w:rsidTr="00475509">
        <w:trPr>
          <w:trHeight w:val="270"/>
          <w:jc w:val="center"/>
        </w:trPr>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i/>
                <w:color w:val="000000"/>
                <w:lang w:eastAsia="zh-CN"/>
              </w:rPr>
              <w:t>195816</w:t>
            </w:r>
          </w:p>
        </w:tc>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i/>
                <w:color w:val="000000"/>
                <w:lang w:eastAsia="zh-CN"/>
              </w:rPr>
              <w:t>293736</w:t>
            </w:r>
          </w:p>
        </w:tc>
        <w:tc>
          <w:tcPr>
            <w:tcW w:w="1100" w:type="dxa"/>
            <w:shd w:val="clear" w:color="auto" w:fill="auto"/>
            <w:noWrap/>
            <w:vAlign w:val="center"/>
            <w:hideMark/>
          </w:tcPr>
          <w:p w:rsidR="00C537D5" w:rsidRPr="0038270F" w:rsidRDefault="00C537D5" w:rsidP="00475509">
            <w:pPr>
              <w:rPr>
                <w:rFonts w:ascii="SimSun" w:hAnsi="SimSun" w:cs="SimSun"/>
                <w:b/>
                <w:bCs/>
                <w:i/>
                <w:color w:val="000000"/>
                <w:lang w:eastAsia="zh-CN"/>
              </w:rPr>
            </w:pPr>
            <w:r w:rsidRPr="0038270F">
              <w:rPr>
                <w:rFonts w:ascii="SimSun" w:hAnsi="SimSun" w:cs="SimSun" w:hint="eastAsia"/>
                <w:i/>
                <w:color w:val="000000"/>
                <w:lang w:eastAsia="zh-CN"/>
              </w:rPr>
              <w:t>391656</w:t>
            </w:r>
          </w:p>
        </w:tc>
      </w:tr>
    </w:tbl>
    <w:p w:rsidR="0038270F" w:rsidRDefault="0038270F" w:rsidP="00C537D5">
      <w:pPr>
        <w:pStyle w:val="BodyText"/>
        <w:jc w:val="both"/>
      </w:pPr>
    </w:p>
    <w:p w:rsidR="00C537D5" w:rsidRDefault="00F31035" w:rsidP="00C537D5">
      <w:pPr>
        <w:pStyle w:val="BodyText"/>
        <w:jc w:val="both"/>
      </w:pPr>
      <w:r>
        <w:t>It should be noted that t</w:t>
      </w:r>
      <w:r w:rsidR="00A219D6">
        <w:t>he agreement in RAN1 is that same design principle</w:t>
      </w:r>
      <w:r>
        <w:t xml:space="preserve"> as before should be</w:t>
      </w:r>
      <w:r w:rsidR="00A219D6">
        <w:t xml:space="preserve"> applied for </w:t>
      </w:r>
      <w:r>
        <w:t xml:space="preserve">256QAM </w:t>
      </w:r>
      <w:r w:rsidR="00A219D6">
        <w:t>TBS table</w:t>
      </w:r>
      <w:r>
        <w:t xml:space="preserve"> design</w:t>
      </w:r>
      <w:r w:rsidR="00A219D6">
        <w:t xml:space="preserve">. For option 2, </w:t>
      </w:r>
      <w:r w:rsidR="00C537D5">
        <w:t>the TBS for 2/</w:t>
      </w:r>
      <w:r w:rsidR="001954DB">
        <w:t>3/4 layers are selected from the nearest values to 2/3/4 times of TBS_L1_max (97896) meanwhil</w:t>
      </w:r>
      <w:r w:rsidR="00A219D6">
        <w:t>e satisfying QPP size alignment</w:t>
      </w:r>
      <w:r w:rsidR="0036787F">
        <w:t>,</w:t>
      </w:r>
      <w:r w:rsidR="00A219D6">
        <w:t xml:space="preserve"> which i</w:t>
      </w:r>
      <w:r w:rsidR="001740AD">
        <w:t xml:space="preserve">s aligned with Rel-8 principle. However, option 1 </w:t>
      </w:r>
      <w:r w:rsidR="004C124D">
        <w:t xml:space="preserve">selects the nearest TBS value </w:t>
      </w:r>
      <w:r w:rsidR="0036787F">
        <w:t>that</w:t>
      </w:r>
      <w:r w:rsidR="004C124D">
        <w:t xml:space="preserve"> is not larger than 2/3/4 times of TBS_L1_m</w:t>
      </w:r>
      <w:r w:rsidR="0036787F">
        <w:t xml:space="preserve">ax (97896), which </w:t>
      </w:r>
      <w:proofErr w:type="gramStart"/>
      <w:r w:rsidR="004C124D">
        <w:t>is</w:t>
      </w:r>
      <w:proofErr w:type="gramEnd"/>
      <w:r w:rsidR="004C124D">
        <w:t xml:space="preserve"> not aligned with RAN1 agreement</w:t>
      </w:r>
      <w:r w:rsidR="008E5AEB">
        <w:t xml:space="preserve"> to follow previous design principle</w:t>
      </w:r>
      <w:r w:rsidR="004C124D">
        <w:t xml:space="preserve">. </w:t>
      </w:r>
      <w:r w:rsidR="00A219D6">
        <w:t>Therefore, option 2 should be adopted.</w:t>
      </w:r>
    </w:p>
    <w:p w:rsidR="00901C4D" w:rsidRDefault="001740AD" w:rsidP="00C537D5">
      <w:pPr>
        <w:pStyle w:val="BodyText"/>
        <w:jc w:val="both"/>
      </w:pPr>
      <w:r>
        <w:t xml:space="preserve">The argument for option 1 is that the </w:t>
      </w:r>
      <w:r w:rsidR="004C124D">
        <w:t>code</w:t>
      </w:r>
      <w:r>
        <w:t xml:space="preserve"> rate is slightly lower </w:t>
      </w:r>
      <w:r w:rsidR="004C124D">
        <w:t>than option 2 which makes it slightly more feasible in practice</w:t>
      </w:r>
      <w:r>
        <w:t xml:space="preserve">. However, </w:t>
      </w:r>
      <w:r w:rsidR="00077B44">
        <w:t xml:space="preserve">the specs does not prohibit implementation from decoding such transport block sizes and several vendors had confirmed such transport block sizes can be decoded in their </w:t>
      </w:r>
      <w:r w:rsidR="00077B44">
        <w:lastRenderedPageBreak/>
        <w:t xml:space="preserve">implementations. Furthermore, </w:t>
      </w:r>
      <w:r>
        <w:t>t</w:t>
      </w:r>
      <w:r w:rsidR="00B31134">
        <w:t xml:space="preserve">he </w:t>
      </w:r>
      <w:r w:rsidR="002F00C3">
        <w:t xml:space="preserve">effective </w:t>
      </w:r>
      <w:r w:rsidR="00B31134">
        <w:t>code rate i</w:t>
      </w:r>
      <w:r>
        <w:t>s dependent on the overhead</w:t>
      </w:r>
      <w:r w:rsidR="00B31134">
        <w:t xml:space="preserve">. </w:t>
      </w:r>
      <w:r>
        <w:t xml:space="preserve">Looking forward, it can be expected that </w:t>
      </w:r>
      <w:r w:rsidR="00901C4D">
        <w:t xml:space="preserve">the </w:t>
      </w:r>
      <w:r w:rsidR="004C124D">
        <w:t xml:space="preserve">LTE </w:t>
      </w:r>
      <w:r w:rsidR="00901C4D">
        <w:t xml:space="preserve">overhead </w:t>
      </w:r>
      <w:r>
        <w:t>will be</w:t>
      </w:r>
      <w:r w:rsidR="004C124D">
        <w:t xml:space="preserve"> further</w:t>
      </w:r>
      <w:r>
        <w:t xml:space="preserve"> decreased. In addition, </w:t>
      </w:r>
      <w:r w:rsidR="00901C4D">
        <w:t xml:space="preserve">UE’s decoding capability will be </w:t>
      </w:r>
      <w:r>
        <w:t>continuously</w:t>
      </w:r>
      <w:r w:rsidR="00901C4D">
        <w:t xml:space="preserve"> developed. Hence, the TBS in </w:t>
      </w:r>
      <w:r w:rsidR="004C124D">
        <w:t>o</w:t>
      </w:r>
      <w:r w:rsidR="00901C4D">
        <w:t xml:space="preserve">ption 2 is </w:t>
      </w:r>
      <w:r w:rsidR="004C124D">
        <w:t xml:space="preserve">also </w:t>
      </w:r>
      <w:r w:rsidR="00901C4D">
        <w:t>expected to be</w:t>
      </w:r>
      <w:r>
        <w:t xml:space="preserve"> </w:t>
      </w:r>
      <w:r w:rsidR="004C124D">
        <w:t>feasible and useful in practice</w:t>
      </w:r>
      <w:r w:rsidR="00901C4D">
        <w:t>.</w:t>
      </w:r>
    </w:p>
    <w:p w:rsidR="002F00C3" w:rsidRPr="00492133" w:rsidRDefault="002F00C3" w:rsidP="002F00C3">
      <w:pPr>
        <w:pStyle w:val="StatementHeading"/>
        <w:spacing w:before="0" w:beforeAutospacing="0" w:after="120"/>
        <w:jc w:val="both"/>
      </w:pPr>
      <w:r>
        <w:t>Proposal</w:t>
      </w:r>
      <w:r w:rsidRPr="00492133">
        <w:t>:</w:t>
      </w:r>
    </w:p>
    <w:p w:rsidR="00475509" w:rsidRPr="00475509" w:rsidRDefault="002F00C3" w:rsidP="00475509">
      <w:pPr>
        <w:pStyle w:val="BodyText"/>
        <w:numPr>
          <w:ilvl w:val="0"/>
          <w:numId w:val="4"/>
        </w:numPr>
        <w:jc w:val="both"/>
        <w:rPr>
          <w:i/>
        </w:rPr>
      </w:pPr>
      <w:r>
        <w:rPr>
          <w:i/>
        </w:rPr>
        <w:t>Adopt option 2 for TBS corresponding to highest spectral efficiency for 2/3/4 layers</w:t>
      </w:r>
    </w:p>
    <w:p w:rsidR="002D4C4D" w:rsidRPr="00E70914" w:rsidRDefault="002D4C4D" w:rsidP="002D4C4D">
      <w:pPr>
        <w:pStyle w:val="Heading1"/>
        <w:jc w:val="both"/>
      </w:pPr>
      <w:r w:rsidRPr="00E70914">
        <w:t>Conclusions</w:t>
      </w:r>
    </w:p>
    <w:p w:rsidR="002D4C4D" w:rsidRPr="00E70914" w:rsidRDefault="002D4C4D" w:rsidP="002D4C4D">
      <w:pPr>
        <w:pStyle w:val="BodyText"/>
        <w:jc w:val="both"/>
      </w:pPr>
      <w:r w:rsidRPr="00E70914">
        <w:t xml:space="preserve">In this contribution, we </w:t>
      </w:r>
      <w:r w:rsidR="003F68FD">
        <w:t>discussed remaining issues on 256QAM table design and made below</w:t>
      </w:r>
      <w:r w:rsidRPr="00E70914">
        <w:t xml:space="preserve"> proposals</w:t>
      </w:r>
      <w:r>
        <w:t>:</w:t>
      </w:r>
      <w:r w:rsidRPr="00E70914">
        <w:t xml:space="preserve"> </w:t>
      </w:r>
    </w:p>
    <w:p w:rsidR="002D4C4D" w:rsidRPr="00E70914" w:rsidRDefault="00F04276" w:rsidP="002D4C4D">
      <w:pPr>
        <w:pStyle w:val="StatementHeading"/>
        <w:spacing w:before="0" w:beforeAutospacing="0" w:after="120"/>
        <w:jc w:val="both"/>
      </w:pPr>
      <w:r>
        <w:t>Proposal</w:t>
      </w:r>
      <w:r w:rsidR="002D4C4D" w:rsidRPr="00E70914">
        <w:t xml:space="preserve">: </w:t>
      </w:r>
    </w:p>
    <w:p w:rsidR="003F68FD" w:rsidRPr="003F68FD" w:rsidRDefault="003F68FD" w:rsidP="003F68FD">
      <w:pPr>
        <w:pStyle w:val="BodyText"/>
        <w:numPr>
          <w:ilvl w:val="0"/>
          <w:numId w:val="30"/>
        </w:numPr>
      </w:pPr>
      <w:r>
        <w:rPr>
          <w:i/>
        </w:rPr>
        <w:t>Confirm the working assumption of CQI table and MCS table for 256QAM.</w:t>
      </w:r>
    </w:p>
    <w:p w:rsidR="003F68FD" w:rsidRPr="003F68FD" w:rsidRDefault="003F68FD" w:rsidP="003F68FD">
      <w:pPr>
        <w:pStyle w:val="BodyText"/>
        <w:numPr>
          <w:ilvl w:val="0"/>
          <w:numId w:val="30"/>
        </w:numPr>
        <w:jc w:val="both"/>
        <w:rPr>
          <w:i/>
        </w:rPr>
      </w:pPr>
      <w:r>
        <w:rPr>
          <w:i/>
        </w:rPr>
        <w:t>Adopt option 2 for TBS corresponding to highest spectral efficiency for 2/3/4 layers</w:t>
      </w:r>
    </w:p>
    <w:p w:rsidR="002A56A0" w:rsidRPr="00E70914" w:rsidRDefault="002A56A0" w:rsidP="002A56A0">
      <w:pPr>
        <w:pStyle w:val="Heading1"/>
        <w:jc w:val="both"/>
      </w:pPr>
      <w:r w:rsidRPr="00E70914">
        <w:t>References</w:t>
      </w:r>
    </w:p>
    <w:p w:rsidR="00AA34BC" w:rsidRDefault="00AA34BC" w:rsidP="002A56A0">
      <w:pPr>
        <w:pStyle w:val="Reference"/>
      </w:pPr>
      <w:bookmarkStart w:id="4" w:name="_Ref394506093"/>
      <w:bookmarkStart w:id="5" w:name="_Ref377392850"/>
      <w:bookmarkStart w:id="6" w:name="_Ref381794187"/>
      <w:bookmarkStart w:id="7" w:name="_Ref382574181"/>
      <w:r>
        <w:t>R1-142767, “LS on 256QAM”, Huawei</w:t>
      </w:r>
      <w:bookmarkEnd w:id="4"/>
      <w:r w:rsidR="00EC1526">
        <w:t xml:space="preserve">, </w:t>
      </w:r>
      <w:proofErr w:type="spellStart"/>
      <w:r w:rsidR="00EC1526">
        <w:t>HiSilicon</w:t>
      </w:r>
      <w:proofErr w:type="spellEnd"/>
    </w:p>
    <w:p w:rsidR="00CF5E33" w:rsidRDefault="002A56A0" w:rsidP="003F68FD">
      <w:pPr>
        <w:pStyle w:val="Reference"/>
      </w:pPr>
      <w:bookmarkStart w:id="8" w:name="_Ref394586263"/>
      <w:r w:rsidRPr="00953FE9">
        <w:t>R</w:t>
      </w:r>
      <w:r w:rsidR="00CD3FD9" w:rsidRPr="00953FE9">
        <w:t>1</w:t>
      </w:r>
      <w:r w:rsidRPr="00953FE9">
        <w:t>-</w:t>
      </w:r>
      <w:r w:rsidR="00D86DAE" w:rsidRPr="00953FE9">
        <w:t>1</w:t>
      </w:r>
      <w:r w:rsidR="00953FE9" w:rsidRPr="00953FE9">
        <w:t>4</w:t>
      </w:r>
      <w:bookmarkEnd w:id="5"/>
      <w:bookmarkEnd w:id="6"/>
      <w:bookmarkEnd w:id="7"/>
      <w:r w:rsidR="00EC1526">
        <w:t xml:space="preserve">2735, “256QAM table design”, Huawei, </w:t>
      </w:r>
      <w:proofErr w:type="spellStart"/>
      <w:r w:rsidR="00EC1526">
        <w:t>HiSilicon</w:t>
      </w:r>
      <w:bookmarkEnd w:id="8"/>
      <w:proofErr w:type="spellEnd"/>
    </w:p>
    <w:sectPr w:rsidR="00CF5E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22">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7"/>
  </w:num>
  <w:num w:numId="2">
    <w:abstractNumId w:val="5"/>
  </w:num>
  <w:num w:numId="3">
    <w:abstractNumId w:val="11"/>
  </w:num>
  <w:num w:numId="4">
    <w:abstractNumId w:val="12"/>
  </w:num>
  <w:num w:numId="5">
    <w:abstractNumId w:val="21"/>
  </w:num>
  <w:num w:numId="6">
    <w:abstractNumId w:val="4"/>
  </w:num>
  <w:num w:numId="7">
    <w:abstractNumId w:val="27"/>
  </w:num>
  <w:num w:numId="8">
    <w:abstractNumId w:val="9"/>
  </w:num>
  <w:num w:numId="9">
    <w:abstractNumId w:val="28"/>
  </w:num>
  <w:num w:numId="10">
    <w:abstractNumId w:val="24"/>
  </w:num>
  <w:num w:numId="11">
    <w:abstractNumId w:val="23"/>
  </w:num>
  <w:num w:numId="12">
    <w:abstractNumId w:val="0"/>
  </w:num>
  <w:num w:numId="13">
    <w:abstractNumId w:val="22"/>
  </w:num>
  <w:num w:numId="14">
    <w:abstractNumId w:val="15"/>
  </w:num>
  <w:num w:numId="15">
    <w:abstractNumId w:val="10"/>
  </w:num>
  <w:num w:numId="16">
    <w:abstractNumId w:val="1"/>
  </w:num>
  <w:num w:numId="17">
    <w:abstractNumId w:val="2"/>
  </w:num>
  <w:num w:numId="18">
    <w:abstractNumId w:val="19"/>
  </w:num>
  <w:num w:numId="19">
    <w:abstractNumId w:val="6"/>
  </w:num>
  <w:num w:numId="20">
    <w:abstractNumId w:val="13"/>
  </w:num>
  <w:num w:numId="21">
    <w:abstractNumId w:val="8"/>
  </w:num>
  <w:num w:numId="22">
    <w:abstractNumId w:val="20"/>
  </w:num>
  <w:num w:numId="23">
    <w:abstractNumId w:val="17"/>
  </w:num>
  <w:num w:numId="24">
    <w:abstractNumId w:val="18"/>
  </w:num>
  <w:num w:numId="25">
    <w:abstractNumId w:val="16"/>
  </w:num>
  <w:num w:numId="26">
    <w:abstractNumId w:val="3"/>
  </w:num>
  <w:num w:numId="27">
    <w:abstractNumId w:val="26"/>
  </w:num>
  <w:num w:numId="28">
    <w:abstractNumId w:val="14"/>
  </w:num>
  <w:num w:numId="29">
    <w:abstractNumId w:val="25"/>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4460C"/>
    <w:rsid w:val="0005697D"/>
    <w:rsid w:val="00077B44"/>
    <w:rsid w:val="000927A8"/>
    <w:rsid w:val="000A77CD"/>
    <w:rsid w:val="000C1F51"/>
    <w:rsid w:val="000C4D7C"/>
    <w:rsid w:val="000D3FEB"/>
    <w:rsid w:val="000E557E"/>
    <w:rsid w:val="00102F2C"/>
    <w:rsid w:val="001740AD"/>
    <w:rsid w:val="001954DB"/>
    <w:rsid w:val="001B2088"/>
    <w:rsid w:val="00247958"/>
    <w:rsid w:val="002A1099"/>
    <w:rsid w:val="002A56A0"/>
    <w:rsid w:val="002C698F"/>
    <w:rsid w:val="002C7A9D"/>
    <w:rsid w:val="002D01D1"/>
    <w:rsid w:val="002D4C4D"/>
    <w:rsid w:val="002F00C3"/>
    <w:rsid w:val="003079D7"/>
    <w:rsid w:val="0032289E"/>
    <w:rsid w:val="00324A7A"/>
    <w:rsid w:val="00327F01"/>
    <w:rsid w:val="00350BC7"/>
    <w:rsid w:val="00364695"/>
    <w:rsid w:val="0036787F"/>
    <w:rsid w:val="003704BD"/>
    <w:rsid w:val="0037092D"/>
    <w:rsid w:val="0038270F"/>
    <w:rsid w:val="003F68FD"/>
    <w:rsid w:val="00415CF8"/>
    <w:rsid w:val="0047238A"/>
    <w:rsid w:val="00475509"/>
    <w:rsid w:val="004801DE"/>
    <w:rsid w:val="004B422F"/>
    <w:rsid w:val="004C124D"/>
    <w:rsid w:val="0054454E"/>
    <w:rsid w:val="005E028A"/>
    <w:rsid w:val="00661A34"/>
    <w:rsid w:val="006A7F8B"/>
    <w:rsid w:val="006E3BD6"/>
    <w:rsid w:val="00753F9D"/>
    <w:rsid w:val="00776314"/>
    <w:rsid w:val="00787096"/>
    <w:rsid w:val="00787F69"/>
    <w:rsid w:val="00794B91"/>
    <w:rsid w:val="007A79C4"/>
    <w:rsid w:val="0082451F"/>
    <w:rsid w:val="00833C1F"/>
    <w:rsid w:val="00891F6D"/>
    <w:rsid w:val="00892C2C"/>
    <w:rsid w:val="008A28AE"/>
    <w:rsid w:val="008B706E"/>
    <w:rsid w:val="008C254D"/>
    <w:rsid w:val="008E5AEB"/>
    <w:rsid w:val="008F7C1B"/>
    <w:rsid w:val="00901C4D"/>
    <w:rsid w:val="0090367C"/>
    <w:rsid w:val="00914B51"/>
    <w:rsid w:val="00946488"/>
    <w:rsid w:val="00953FE9"/>
    <w:rsid w:val="009552EB"/>
    <w:rsid w:val="00985DE5"/>
    <w:rsid w:val="0098645D"/>
    <w:rsid w:val="0099160B"/>
    <w:rsid w:val="009A48F3"/>
    <w:rsid w:val="009B6F16"/>
    <w:rsid w:val="009D5BFE"/>
    <w:rsid w:val="00A219D6"/>
    <w:rsid w:val="00A37D68"/>
    <w:rsid w:val="00A543CD"/>
    <w:rsid w:val="00A7069E"/>
    <w:rsid w:val="00A858B4"/>
    <w:rsid w:val="00AA34BC"/>
    <w:rsid w:val="00AB6FC7"/>
    <w:rsid w:val="00AE4E21"/>
    <w:rsid w:val="00AF708E"/>
    <w:rsid w:val="00B15F44"/>
    <w:rsid w:val="00B30865"/>
    <w:rsid w:val="00B31072"/>
    <w:rsid w:val="00B31134"/>
    <w:rsid w:val="00B83C26"/>
    <w:rsid w:val="00B87B6D"/>
    <w:rsid w:val="00BA3031"/>
    <w:rsid w:val="00BA7A6C"/>
    <w:rsid w:val="00BB18D0"/>
    <w:rsid w:val="00BC3F4F"/>
    <w:rsid w:val="00BC4672"/>
    <w:rsid w:val="00C445AA"/>
    <w:rsid w:val="00C5320B"/>
    <w:rsid w:val="00C537D5"/>
    <w:rsid w:val="00CC57AA"/>
    <w:rsid w:val="00CD3FD9"/>
    <w:rsid w:val="00CF5E33"/>
    <w:rsid w:val="00D30265"/>
    <w:rsid w:val="00D82688"/>
    <w:rsid w:val="00D86DAE"/>
    <w:rsid w:val="00D95DDD"/>
    <w:rsid w:val="00DA0BAF"/>
    <w:rsid w:val="00DD761F"/>
    <w:rsid w:val="00DE74DB"/>
    <w:rsid w:val="00E23C85"/>
    <w:rsid w:val="00E27C9F"/>
    <w:rsid w:val="00E636B0"/>
    <w:rsid w:val="00E74CA5"/>
    <w:rsid w:val="00E813AB"/>
    <w:rsid w:val="00EC1526"/>
    <w:rsid w:val="00EC61DA"/>
    <w:rsid w:val="00EC7B0D"/>
    <w:rsid w:val="00F04276"/>
    <w:rsid w:val="00F255C2"/>
    <w:rsid w:val="00F31035"/>
    <w:rsid w:val="00F337C4"/>
    <w:rsid w:val="00F3567F"/>
    <w:rsid w:val="00FA5206"/>
    <w:rsid w:val="00FB165A"/>
    <w:rsid w:val="00FE6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0A40-66FD-4103-9448-B22D0950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6</cp:revision>
  <dcterms:created xsi:type="dcterms:W3CDTF">2014-08-04T12:03:00Z</dcterms:created>
  <dcterms:modified xsi:type="dcterms:W3CDTF">2014-08-08T13:57:00Z</dcterms:modified>
</cp:coreProperties>
</file>