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2A" w:rsidRDefault="00FA5E08" w:rsidP="003A5B78">
      <w:pPr>
        <w:widowControl w:val="0"/>
        <w:tabs>
          <w:tab w:val="right" w:pos="8640"/>
        </w:tabs>
        <w:rPr>
          <w:rFonts w:cs="Arial"/>
          <w:b/>
          <w:bCs/>
        </w:rPr>
      </w:pPr>
      <w:r>
        <w:rPr>
          <w:rFonts w:cs="Arial"/>
          <w:b/>
          <w:bCs/>
        </w:rPr>
        <w:t>3GPP TSG-RAN WG1 Meeting #</w:t>
      </w:r>
      <w:r w:rsidR="000179F6">
        <w:rPr>
          <w:rFonts w:cs="Arial"/>
          <w:b/>
          <w:bCs/>
        </w:rPr>
        <w:t>58</w:t>
      </w:r>
      <w:r w:rsidR="00852E2A">
        <w:rPr>
          <w:rFonts w:cs="Arial"/>
          <w:b/>
          <w:bCs/>
        </w:rPr>
        <w:tab/>
      </w:r>
      <w:r w:rsidR="000179F6">
        <w:rPr>
          <w:rFonts w:cs="Arial"/>
          <w:b/>
          <w:bCs/>
        </w:rPr>
        <w:t>R1-</w:t>
      </w:r>
      <w:r w:rsidR="004E36E3">
        <w:rPr>
          <w:rFonts w:cs="Arial"/>
          <w:b/>
          <w:bCs/>
        </w:rPr>
        <w:t>093072</w:t>
      </w:r>
    </w:p>
    <w:p w:rsidR="00852E2A" w:rsidRDefault="000179F6" w:rsidP="00852E2A">
      <w:pPr>
        <w:widowControl w:val="0"/>
        <w:rPr>
          <w:rFonts w:cs="Arial"/>
          <w:b/>
          <w:bCs/>
        </w:rPr>
      </w:pPr>
      <w:r>
        <w:rPr>
          <w:rFonts w:cs="Arial"/>
          <w:b/>
          <w:bCs/>
        </w:rPr>
        <w:t>Shenzhen</w:t>
      </w:r>
      <w:r w:rsidR="00852E2A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China</w:t>
      </w:r>
      <w:r w:rsidR="00852E2A">
        <w:rPr>
          <w:rFonts w:cs="Arial"/>
          <w:b/>
          <w:bCs/>
        </w:rPr>
        <w:t xml:space="preserve">, </w:t>
      </w:r>
      <w:r w:rsidR="00FC5A74">
        <w:rPr>
          <w:rFonts w:cs="Arial"/>
          <w:b/>
          <w:bCs/>
        </w:rPr>
        <w:t>24</w:t>
      </w:r>
      <w:r w:rsidR="00CD2301">
        <w:rPr>
          <w:rFonts w:cs="Arial"/>
          <w:b/>
          <w:bCs/>
        </w:rPr>
        <w:t>th</w:t>
      </w:r>
      <w:r w:rsidR="00FC5A74">
        <w:rPr>
          <w:rFonts w:cs="Arial"/>
          <w:b/>
          <w:bCs/>
        </w:rPr>
        <w:t>-28</w:t>
      </w:r>
      <w:r w:rsidR="00CD2301">
        <w:rPr>
          <w:rFonts w:cs="Arial"/>
          <w:b/>
          <w:bCs/>
        </w:rPr>
        <w:t>th</w:t>
      </w:r>
      <w:r w:rsidR="00FC5A74">
        <w:rPr>
          <w:rFonts w:cs="Arial"/>
          <w:b/>
          <w:bCs/>
        </w:rPr>
        <w:t xml:space="preserve"> August</w:t>
      </w:r>
      <w:r>
        <w:rPr>
          <w:rFonts w:cs="Arial"/>
          <w:b/>
          <w:bCs/>
        </w:rPr>
        <w:t>, 2009</w:t>
      </w:r>
    </w:p>
    <w:p w:rsidR="00852E2A" w:rsidRDefault="00852E2A" w:rsidP="00852E2A">
      <w:pPr>
        <w:widowControl w:val="0"/>
        <w:rPr>
          <w:rFonts w:cs="Arial"/>
          <w:b/>
          <w:bCs/>
        </w:rPr>
      </w:pPr>
    </w:p>
    <w:p w:rsidR="00852E2A" w:rsidRDefault="00852E2A" w:rsidP="00852E2A">
      <w:pPr>
        <w:widowControl w:val="0"/>
        <w:rPr>
          <w:rFonts w:cs="Arial"/>
          <w:b/>
          <w:bCs/>
        </w:rPr>
      </w:pPr>
    </w:p>
    <w:p w:rsidR="00852E2A" w:rsidRDefault="00FA5E08" w:rsidP="00852E2A">
      <w:pPr>
        <w:tabs>
          <w:tab w:val="left" w:pos="1980"/>
        </w:tabs>
        <w:spacing w:after="120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174FE">
        <w:rPr>
          <w:rFonts w:cs="Arial"/>
          <w:b/>
          <w:bCs/>
        </w:rPr>
        <w:t xml:space="preserve">6 </w:t>
      </w:r>
      <w:r w:rsidR="00852E2A">
        <w:rPr>
          <w:rFonts w:cs="Arial"/>
          <w:b/>
          <w:bCs/>
        </w:rPr>
        <w:t xml:space="preserve">- </w:t>
      </w:r>
      <w:bookmarkStart w:id="0" w:name="OLE_LINK5"/>
      <w:bookmarkStart w:id="1" w:name="OLE_LINK6"/>
      <w:r w:rsidR="00D174FE">
        <w:rPr>
          <w:rFonts w:cs="Arial"/>
          <w:b/>
          <w:bCs/>
        </w:rPr>
        <w:t>Dual Cell HSUPA</w:t>
      </w:r>
      <w:bookmarkEnd w:id="0"/>
      <w:bookmarkEnd w:id="1"/>
    </w:p>
    <w:p w:rsidR="00852E2A" w:rsidRDefault="00852E2A" w:rsidP="00852E2A">
      <w:pPr>
        <w:tabs>
          <w:tab w:val="left" w:pos="1985"/>
        </w:tabs>
        <w:spacing w:after="180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  <w:t>InterDigital</w:t>
      </w:r>
    </w:p>
    <w:p w:rsidR="00852E2A" w:rsidRDefault="00852E2A" w:rsidP="00852E2A">
      <w:pPr>
        <w:tabs>
          <w:tab w:val="left" w:pos="1980"/>
          <w:tab w:val="left" w:pos="2250"/>
        </w:tabs>
        <w:spacing w:after="18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bookmarkStart w:id="2" w:name="OLE_LINK3"/>
      <w:bookmarkStart w:id="3" w:name="OLE_LINK4"/>
      <w:r w:rsidR="003B4BF2">
        <w:rPr>
          <w:rFonts w:cs="Arial"/>
          <w:b/>
          <w:bCs/>
        </w:rPr>
        <w:t xml:space="preserve">Further considerations of power limit for </w:t>
      </w:r>
      <w:r w:rsidR="000E5AD5">
        <w:rPr>
          <w:rFonts w:cs="Arial"/>
          <w:b/>
          <w:bCs/>
        </w:rPr>
        <w:t>second</w:t>
      </w:r>
      <w:r w:rsidR="003B4BF2">
        <w:rPr>
          <w:rFonts w:cs="Arial"/>
          <w:b/>
          <w:bCs/>
        </w:rPr>
        <w:t>ary carrier</w:t>
      </w:r>
      <w:r w:rsidR="003E7E20">
        <w:rPr>
          <w:rFonts w:cs="Arial"/>
          <w:b/>
          <w:bCs/>
        </w:rPr>
        <w:t xml:space="preserve"> in DC-HSUPA</w:t>
      </w:r>
      <w:bookmarkEnd w:id="2"/>
      <w:bookmarkEnd w:id="3"/>
    </w:p>
    <w:p w:rsidR="00852E2A" w:rsidRDefault="00852E2A" w:rsidP="00852E2A">
      <w:pPr>
        <w:tabs>
          <w:tab w:val="left" w:pos="1980"/>
        </w:tabs>
        <w:spacing w:after="180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Discussion</w:t>
      </w:r>
      <w:r w:rsidR="003B4BF2">
        <w:rPr>
          <w:rFonts w:cs="Arial"/>
          <w:b/>
          <w:bCs/>
        </w:rPr>
        <w:t xml:space="preserve"> and </w:t>
      </w:r>
      <w:r w:rsidR="00793072">
        <w:rPr>
          <w:rFonts w:cs="Arial"/>
          <w:b/>
          <w:bCs/>
        </w:rPr>
        <w:t>Decision</w:t>
      </w:r>
    </w:p>
    <w:p w:rsidR="00DA008B" w:rsidRPr="00633EE7" w:rsidRDefault="00852E2A" w:rsidP="00633EE7">
      <w:pPr>
        <w:pStyle w:val="Heading1"/>
      </w:pPr>
      <w:r w:rsidRPr="00633EE7">
        <w:t>Introduction</w:t>
      </w:r>
    </w:p>
    <w:p w:rsidR="00293C5F" w:rsidRDefault="00E409F3" w:rsidP="00B006FA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the last RAN1 meeting, some concerns were raised </w:t>
      </w:r>
      <w:r w:rsidR="00330E93">
        <w:rPr>
          <w:rFonts w:ascii="Times New Roman" w:hAnsi="Times New Roman"/>
          <w:sz w:val="20"/>
          <w:szCs w:val="20"/>
        </w:rPr>
        <w:t>concerning</w:t>
      </w:r>
      <w:r>
        <w:rPr>
          <w:rFonts w:ascii="Times New Roman" w:hAnsi="Times New Roman"/>
          <w:sz w:val="20"/>
          <w:szCs w:val="20"/>
        </w:rPr>
        <w:t xml:space="preserve"> the impact of secondary UL synchronization failure on the </w:t>
      </w:r>
      <w:r w:rsidR="00E92F30">
        <w:rPr>
          <w:rFonts w:ascii="Times New Roman" w:hAnsi="Times New Roman"/>
          <w:sz w:val="20"/>
          <w:szCs w:val="20"/>
        </w:rPr>
        <w:t>primary</w:t>
      </w:r>
      <w:r>
        <w:rPr>
          <w:rFonts w:ascii="Times New Roman" w:hAnsi="Times New Roman"/>
          <w:sz w:val="20"/>
          <w:szCs w:val="20"/>
        </w:rPr>
        <w:t xml:space="preserve"> carrier</w:t>
      </w:r>
      <w:r w:rsidR="00330E93">
        <w:rPr>
          <w:rFonts w:ascii="Times New Roman" w:hAnsi="Times New Roman"/>
          <w:sz w:val="20"/>
          <w:szCs w:val="20"/>
        </w:rPr>
        <w:t>’s performance</w:t>
      </w:r>
      <w:r w:rsidR="00441E70">
        <w:rPr>
          <w:rFonts w:ascii="Times New Roman" w:hAnsi="Times New Roman"/>
          <w:sz w:val="20"/>
          <w:szCs w:val="20"/>
        </w:rPr>
        <w:t>.  It was pointed out that f</w:t>
      </w:r>
      <w:r w:rsidR="00293C5F">
        <w:rPr>
          <w:rFonts w:ascii="Times New Roman" w:hAnsi="Times New Roman"/>
          <w:sz w:val="20"/>
          <w:szCs w:val="20"/>
        </w:rPr>
        <w:t xml:space="preserve">ailure to reach UL synchronization </w:t>
      </w:r>
      <w:r w:rsidR="00441E70">
        <w:rPr>
          <w:rFonts w:ascii="Times New Roman" w:hAnsi="Times New Roman"/>
          <w:sz w:val="20"/>
          <w:szCs w:val="20"/>
        </w:rPr>
        <w:t>following the</w:t>
      </w:r>
      <w:r w:rsidR="00293C5F">
        <w:rPr>
          <w:rFonts w:ascii="Times New Roman" w:hAnsi="Times New Roman"/>
          <w:sz w:val="20"/>
          <w:szCs w:val="20"/>
        </w:rPr>
        <w:t xml:space="preserve"> activation of the secondary carrier may lead the secondary carrier to </w:t>
      </w:r>
      <w:r w:rsidR="00441E70">
        <w:rPr>
          <w:rFonts w:ascii="Times New Roman" w:hAnsi="Times New Roman"/>
          <w:sz w:val="20"/>
          <w:szCs w:val="20"/>
        </w:rPr>
        <w:t>power-</w:t>
      </w:r>
      <w:r w:rsidR="00293C5F">
        <w:rPr>
          <w:rFonts w:ascii="Times New Roman" w:hAnsi="Times New Roman"/>
          <w:sz w:val="20"/>
          <w:szCs w:val="20"/>
        </w:rPr>
        <w:t xml:space="preserve">starve </w:t>
      </w:r>
      <w:r w:rsidR="00441E70">
        <w:rPr>
          <w:rFonts w:ascii="Times New Roman" w:hAnsi="Times New Roman"/>
          <w:sz w:val="20"/>
          <w:szCs w:val="20"/>
        </w:rPr>
        <w:t xml:space="preserve">the </w:t>
      </w:r>
      <w:r w:rsidR="00E92F30">
        <w:rPr>
          <w:rFonts w:ascii="Times New Roman" w:hAnsi="Times New Roman"/>
          <w:sz w:val="20"/>
          <w:szCs w:val="20"/>
        </w:rPr>
        <w:t>primary</w:t>
      </w:r>
      <w:r w:rsidR="00441E70">
        <w:rPr>
          <w:rFonts w:ascii="Times New Roman" w:hAnsi="Times New Roman"/>
          <w:sz w:val="20"/>
          <w:szCs w:val="20"/>
        </w:rPr>
        <w:t xml:space="preserve"> carrier.  </w:t>
      </w:r>
      <w:r w:rsidR="00F017E6">
        <w:rPr>
          <w:rFonts w:ascii="Times New Roman" w:hAnsi="Times New Roman"/>
          <w:sz w:val="20"/>
          <w:szCs w:val="20"/>
        </w:rPr>
        <w:t xml:space="preserve">To avoid unlimited DPCCH power ramping </w:t>
      </w:r>
      <w:r>
        <w:rPr>
          <w:rFonts w:ascii="Times New Roman" w:hAnsi="Times New Roman"/>
          <w:sz w:val="20"/>
          <w:szCs w:val="20"/>
        </w:rPr>
        <w:t xml:space="preserve">it was proposed to </w:t>
      </w:r>
      <w:r w:rsidR="00F017E6">
        <w:rPr>
          <w:rFonts w:ascii="Times New Roman" w:hAnsi="Times New Roman"/>
          <w:sz w:val="20"/>
          <w:szCs w:val="20"/>
        </w:rPr>
        <w:t>introduc</w:t>
      </w:r>
      <w:r>
        <w:rPr>
          <w:rFonts w:ascii="Times New Roman" w:hAnsi="Times New Roman"/>
          <w:sz w:val="20"/>
          <w:szCs w:val="20"/>
        </w:rPr>
        <w:t>e</w:t>
      </w:r>
      <w:r w:rsidR="00F017E6">
        <w:rPr>
          <w:rFonts w:ascii="Times New Roman" w:hAnsi="Times New Roman"/>
          <w:sz w:val="20"/>
          <w:szCs w:val="20"/>
        </w:rPr>
        <w:t xml:space="preserve"> a </w:t>
      </w:r>
      <w:r>
        <w:rPr>
          <w:rFonts w:ascii="Times New Roman" w:hAnsi="Times New Roman"/>
          <w:sz w:val="20"/>
          <w:szCs w:val="20"/>
        </w:rPr>
        <w:t>limit</w:t>
      </w:r>
      <w:r w:rsidR="00F017E6">
        <w:rPr>
          <w:rFonts w:ascii="Times New Roman" w:hAnsi="Times New Roman"/>
          <w:sz w:val="20"/>
          <w:szCs w:val="20"/>
        </w:rPr>
        <w:t xml:space="preserve"> on the </w:t>
      </w:r>
      <w:r w:rsidR="000E5AD5">
        <w:rPr>
          <w:rFonts w:ascii="Times New Roman" w:hAnsi="Times New Roman"/>
          <w:sz w:val="20"/>
          <w:szCs w:val="20"/>
        </w:rPr>
        <w:t>secondary</w:t>
      </w:r>
      <w:r w:rsidR="00F017E6">
        <w:rPr>
          <w:rFonts w:ascii="Times New Roman" w:hAnsi="Times New Roman"/>
          <w:sz w:val="20"/>
          <w:szCs w:val="20"/>
        </w:rPr>
        <w:t xml:space="preserve"> carrier </w:t>
      </w:r>
      <w:r>
        <w:rPr>
          <w:rFonts w:ascii="Times New Roman" w:hAnsi="Times New Roman"/>
          <w:sz w:val="20"/>
          <w:szCs w:val="20"/>
        </w:rPr>
        <w:t xml:space="preserve">DPCCH </w:t>
      </w:r>
      <w:r w:rsidR="00293C5F">
        <w:rPr>
          <w:rFonts w:ascii="Times New Roman" w:hAnsi="Times New Roman"/>
          <w:sz w:val="20"/>
          <w:szCs w:val="20"/>
        </w:rPr>
        <w:t xml:space="preserve">power </w:t>
      </w:r>
      <w:r w:rsidR="00E07E6F">
        <w:rPr>
          <w:rFonts w:ascii="Times New Roman" w:hAnsi="Times New Roman"/>
          <w:sz w:val="20"/>
          <w:szCs w:val="20"/>
        </w:rPr>
        <w:fldChar w:fldCharType="begin"/>
      </w:r>
      <w:r w:rsidR="00F017E6">
        <w:rPr>
          <w:rFonts w:ascii="Times New Roman" w:hAnsi="Times New Roman"/>
          <w:sz w:val="20"/>
          <w:szCs w:val="20"/>
        </w:rPr>
        <w:instrText xml:space="preserve"> REF _Ref236458313 \n \h </w:instrText>
      </w:r>
      <w:r w:rsidR="00E07E6F">
        <w:rPr>
          <w:rFonts w:ascii="Times New Roman" w:hAnsi="Times New Roman"/>
          <w:sz w:val="20"/>
          <w:szCs w:val="20"/>
        </w:rPr>
      </w:r>
      <w:r w:rsidR="00E07E6F">
        <w:rPr>
          <w:rFonts w:ascii="Times New Roman" w:hAnsi="Times New Roman"/>
          <w:sz w:val="20"/>
          <w:szCs w:val="20"/>
        </w:rPr>
        <w:fldChar w:fldCharType="separate"/>
      </w:r>
      <w:r w:rsidR="00AA2CB6">
        <w:rPr>
          <w:rFonts w:ascii="Times New Roman" w:hAnsi="Times New Roman"/>
          <w:sz w:val="20"/>
          <w:szCs w:val="20"/>
        </w:rPr>
        <w:t>[1]</w:t>
      </w:r>
      <w:r w:rsidR="00E07E6F">
        <w:rPr>
          <w:rFonts w:ascii="Times New Roman" w:hAnsi="Times New Roman"/>
          <w:sz w:val="20"/>
          <w:szCs w:val="20"/>
        </w:rPr>
        <w:fldChar w:fldCharType="end"/>
      </w:r>
      <w:r w:rsidR="00F017E6">
        <w:rPr>
          <w:rFonts w:ascii="Times New Roman" w:hAnsi="Times New Roman"/>
          <w:sz w:val="20"/>
          <w:szCs w:val="20"/>
        </w:rPr>
        <w:t>.</w:t>
      </w:r>
    </w:p>
    <w:p w:rsidR="00293C5F" w:rsidRDefault="00293C5F" w:rsidP="00B006FA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F366E8" w:rsidRPr="00724712" w:rsidRDefault="0089262F" w:rsidP="00224CC0">
      <w:pPr>
        <w:pStyle w:val="ListParagraph"/>
        <w:ind w:left="0"/>
        <w:rPr>
          <w:rFonts w:ascii="Times New Roman" w:hAnsi="Times New Roman"/>
          <w:i/>
          <w:sz w:val="20"/>
          <w:szCs w:val="20"/>
        </w:rPr>
      </w:pPr>
      <w:r w:rsidRPr="00300F3C">
        <w:rPr>
          <w:rFonts w:ascii="Times New Roman" w:hAnsi="Times New Roman"/>
          <w:sz w:val="20"/>
          <w:szCs w:val="20"/>
        </w:rPr>
        <w:t xml:space="preserve">In this </w:t>
      </w:r>
      <w:r w:rsidR="006E1732">
        <w:rPr>
          <w:rFonts w:ascii="Times New Roman" w:hAnsi="Times New Roman"/>
          <w:sz w:val="20"/>
          <w:szCs w:val="20"/>
        </w:rPr>
        <w:t>contribution</w:t>
      </w:r>
      <w:r w:rsidRPr="00300F3C">
        <w:rPr>
          <w:rFonts w:ascii="Times New Roman" w:hAnsi="Times New Roman"/>
          <w:sz w:val="20"/>
          <w:szCs w:val="20"/>
        </w:rPr>
        <w:t xml:space="preserve">, we discuss the impact to existing procedures or working assumptions when applying a power limit on the </w:t>
      </w:r>
      <w:r>
        <w:rPr>
          <w:rFonts w:ascii="Times New Roman" w:hAnsi="Times New Roman"/>
          <w:sz w:val="20"/>
          <w:szCs w:val="20"/>
        </w:rPr>
        <w:t>secondary</w:t>
      </w:r>
      <w:r w:rsidRPr="00300F3C">
        <w:rPr>
          <w:rFonts w:ascii="Times New Roman" w:hAnsi="Times New Roman"/>
          <w:sz w:val="20"/>
          <w:szCs w:val="20"/>
        </w:rPr>
        <w:t xml:space="preserve"> UL carrier</w:t>
      </w:r>
      <w:r>
        <w:rPr>
          <w:rFonts w:ascii="Times New Roman" w:hAnsi="Times New Roman"/>
          <w:sz w:val="20"/>
          <w:szCs w:val="20"/>
        </w:rPr>
        <w:t xml:space="preserve"> in particular during normal operations</w:t>
      </w:r>
      <w:r w:rsidR="0064302B">
        <w:rPr>
          <w:rFonts w:ascii="Times New Roman" w:hAnsi="Times New Roman"/>
          <w:sz w:val="20"/>
          <w:szCs w:val="20"/>
        </w:rPr>
        <w:t xml:space="preserve">. </w:t>
      </w:r>
      <w:r w:rsidR="002D7942">
        <w:rPr>
          <w:rFonts w:ascii="Times New Roman" w:hAnsi="Times New Roman"/>
          <w:sz w:val="20"/>
          <w:szCs w:val="20"/>
        </w:rPr>
        <w:t xml:space="preserve">To mitigate these impacts, a solution is </w:t>
      </w:r>
      <w:r w:rsidR="0064302B">
        <w:rPr>
          <w:rFonts w:ascii="Times New Roman" w:hAnsi="Times New Roman"/>
          <w:sz w:val="20"/>
          <w:szCs w:val="20"/>
        </w:rPr>
        <w:t xml:space="preserve">also </w:t>
      </w:r>
      <w:r w:rsidR="002D7942">
        <w:rPr>
          <w:rFonts w:ascii="Times New Roman" w:hAnsi="Times New Roman"/>
          <w:sz w:val="20"/>
          <w:szCs w:val="20"/>
        </w:rPr>
        <w:t>proposed.</w:t>
      </w:r>
    </w:p>
    <w:p w:rsidR="00F45F06" w:rsidRDefault="00793072" w:rsidP="00F45F06">
      <w:pPr>
        <w:pStyle w:val="Heading1"/>
      </w:pPr>
      <w:r>
        <w:t>Discussion</w:t>
      </w:r>
    </w:p>
    <w:p w:rsidR="004148A3" w:rsidRPr="004148A3" w:rsidRDefault="004148A3" w:rsidP="00843640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Impact to p</w:t>
      </w:r>
      <w:r w:rsidR="00E6518A" w:rsidRPr="00E6518A">
        <w:rPr>
          <w:rFonts w:ascii="Times New Roman" w:hAnsi="Times New Roman"/>
          <w:b/>
          <w:sz w:val="20"/>
          <w:szCs w:val="20"/>
        </w:rPr>
        <w:t>ower scaling</w:t>
      </w:r>
    </w:p>
    <w:p w:rsidR="004148A3" w:rsidRDefault="003F173F" w:rsidP="00843640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 w:rsidR="004148A3">
        <w:rPr>
          <w:rFonts w:ascii="Times New Roman" w:hAnsi="Times New Roman"/>
          <w:sz w:val="20"/>
          <w:szCs w:val="20"/>
        </w:rPr>
        <w:t>f a power limit is applied</w:t>
      </w:r>
      <w:r>
        <w:rPr>
          <w:rFonts w:ascii="Times New Roman" w:hAnsi="Times New Roman"/>
          <w:sz w:val="20"/>
          <w:szCs w:val="20"/>
        </w:rPr>
        <w:t xml:space="preserve"> during normal operations</w:t>
      </w:r>
      <w:r w:rsidR="004148A3">
        <w:rPr>
          <w:rFonts w:ascii="Times New Roman" w:hAnsi="Times New Roman"/>
          <w:sz w:val="20"/>
          <w:szCs w:val="20"/>
        </w:rPr>
        <w:t xml:space="preserve">, </w:t>
      </w:r>
      <w:r w:rsidR="00814B56">
        <w:rPr>
          <w:rFonts w:ascii="Times New Roman" w:hAnsi="Times New Roman"/>
          <w:sz w:val="20"/>
          <w:szCs w:val="20"/>
        </w:rPr>
        <w:t>t</w:t>
      </w:r>
      <w:r w:rsidR="00597315" w:rsidRPr="00300F3C">
        <w:rPr>
          <w:rFonts w:ascii="Times New Roman" w:hAnsi="Times New Roman"/>
          <w:sz w:val="20"/>
          <w:szCs w:val="20"/>
        </w:rPr>
        <w:t>he</w:t>
      </w:r>
      <w:r w:rsidR="001C7EDB" w:rsidRPr="00300F3C">
        <w:rPr>
          <w:rFonts w:ascii="Times New Roman" w:hAnsi="Times New Roman"/>
          <w:sz w:val="20"/>
          <w:szCs w:val="20"/>
        </w:rPr>
        <w:t xml:space="preserve"> power on </w:t>
      </w:r>
      <w:r w:rsidR="00597315" w:rsidRPr="00300F3C">
        <w:rPr>
          <w:rFonts w:ascii="Times New Roman" w:hAnsi="Times New Roman"/>
          <w:sz w:val="20"/>
          <w:szCs w:val="20"/>
        </w:rPr>
        <w:t xml:space="preserve">the </w:t>
      </w:r>
      <w:r w:rsidR="000E5AD5">
        <w:rPr>
          <w:rFonts w:ascii="Times New Roman" w:hAnsi="Times New Roman"/>
          <w:sz w:val="20"/>
          <w:szCs w:val="20"/>
        </w:rPr>
        <w:t>secondary</w:t>
      </w:r>
      <w:r w:rsidR="00597315" w:rsidRPr="00300F3C">
        <w:rPr>
          <w:rFonts w:ascii="Times New Roman" w:hAnsi="Times New Roman"/>
          <w:sz w:val="20"/>
          <w:szCs w:val="20"/>
        </w:rPr>
        <w:t xml:space="preserve"> carrier DPCCH </w:t>
      </w:r>
      <w:r w:rsidR="004148A3">
        <w:rPr>
          <w:rFonts w:ascii="Times New Roman" w:hAnsi="Times New Roman"/>
          <w:sz w:val="20"/>
          <w:szCs w:val="20"/>
        </w:rPr>
        <w:t xml:space="preserve">would </w:t>
      </w:r>
      <w:r w:rsidR="00597315" w:rsidRPr="00300F3C">
        <w:rPr>
          <w:rFonts w:ascii="Times New Roman" w:hAnsi="Times New Roman"/>
          <w:sz w:val="20"/>
          <w:szCs w:val="20"/>
        </w:rPr>
        <w:t>no longer</w:t>
      </w:r>
      <w:r w:rsidR="001C7EDB" w:rsidRPr="00300F3C">
        <w:rPr>
          <w:rFonts w:ascii="Times New Roman" w:hAnsi="Times New Roman"/>
          <w:sz w:val="20"/>
          <w:szCs w:val="20"/>
        </w:rPr>
        <w:t xml:space="preserve"> refle</w:t>
      </w:r>
      <w:r w:rsidR="00597315" w:rsidRPr="00300F3C">
        <w:rPr>
          <w:rFonts w:ascii="Times New Roman" w:hAnsi="Times New Roman"/>
          <w:sz w:val="20"/>
          <w:szCs w:val="20"/>
        </w:rPr>
        <w:t xml:space="preserve">ct the </w:t>
      </w:r>
      <w:r w:rsidR="004148A3">
        <w:rPr>
          <w:rFonts w:ascii="Times New Roman" w:hAnsi="Times New Roman"/>
          <w:sz w:val="20"/>
          <w:szCs w:val="20"/>
        </w:rPr>
        <w:t xml:space="preserve">secondary carrier </w:t>
      </w:r>
      <w:r w:rsidR="00597315" w:rsidRPr="00300F3C">
        <w:rPr>
          <w:rFonts w:ascii="Times New Roman" w:hAnsi="Times New Roman"/>
          <w:sz w:val="20"/>
          <w:szCs w:val="20"/>
        </w:rPr>
        <w:t xml:space="preserve">channel quality </w:t>
      </w:r>
      <w:r w:rsidR="004148A3">
        <w:rPr>
          <w:rFonts w:ascii="Times New Roman" w:hAnsi="Times New Roman"/>
          <w:sz w:val="20"/>
          <w:szCs w:val="20"/>
        </w:rPr>
        <w:t>when</w:t>
      </w:r>
      <w:r w:rsidR="00597315" w:rsidRPr="00300F3C">
        <w:rPr>
          <w:rFonts w:ascii="Times New Roman" w:hAnsi="Times New Roman"/>
          <w:sz w:val="20"/>
          <w:szCs w:val="20"/>
        </w:rPr>
        <w:t xml:space="preserve"> the power limit is reached.</w:t>
      </w:r>
      <w:r w:rsidR="004148A3">
        <w:rPr>
          <w:rFonts w:ascii="Times New Roman" w:hAnsi="Times New Roman"/>
          <w:sz w:val="20"/>
          <w:szCs w:val="20"/>
        </w:rPr>
        <w:t xml:space="preserve">  According to the working assumptions on power scaling from the last RAN1 meeting (see </w:t>
      </w:r>
      <w:r w:rsidR="00E07E6F">
        <w:rPr>
          <w:rFonts w:ascii="Times New Roman" w:hAnsi="Times New Roman"/>
          <w:sz w:val="20"/>
          <w:szCs w:val="20"/>
        </w:rPr>
        <w:fldChar w:fldCharType="begin"/>
      </w:r>
      <w:r w:rsidR="004148A3">
        <w:rPr>
          <w:rFonts w:ascii="Times New Roman" w:hAnsi="Times New Roman"/>
          <w:sz w:val="20"/>
          <w:szCs w:val="20"/>
        </w:rPr>
        <w:instrText xml:space="preserve"> REF _Ref236467364 \n \h </w:instrText>
      </w:r>
      <w:r w:rsidR="00E07E6F">
        <w:rPr>
          <w:rFonts w:ascii="Times New Roman" w:hAnsi="Times New Roman"/>
          <w:sz w:val="20"/>
          <w:szCs w:val="20"/>
        </w:rPr>
      </w:r>
      <w:r w:rsidR="00E07E6F">
        <w:rPr>
          <w:rFonts w:ascii="Times New Roman" w:hAnsi="Times New Roman"/>
          <w:sz w:val="20"/>
          <w:szCs w:val="20"/>
        </w:rPr>
        <w:fldChar w:fldCharType="separate"/>
      </w:r>
      <w:r w:rsidR="004148A3">
        <w:rPr>
          <w:rFonts w:ascii="Times New Roman" w:hAnsi="Times New Roman"/>
          <w:sz w:val="20"/>
          <w:szCs w:val="20"/>
        </w:rPr>
        <w:t>[2]</w:t>
      </w:r>
      <w:r w:rsidR="00E07E6F">
        <w:rPr>
          <w:rFonts w:ascii="Times New Roman" w:hAnsi="Times New Roman"/>
          <w:sz w:val="20"/>
          <w:szCs w:val="20"/>
        </w:rPr>
        <w:fldChar w:fldCharType="end"/>
      </w:r>
      <w:r w:rsidR="004148A3">
        <w:rPr>
          <w:rFonts w:ascii="Times New Roman" w:hAnsi="Times New Roman"/>
          <w:sz w:val="20"/>
          <w:szCs w:val="20"/>
        </w:rPr>
        <w:t>), this could result in the UE scaling the power of th</w:t>
      </w:r>
      <w:r>
        <w:rPr>
          <w:rFonts w:ascii="Times New Roman" w:hAnsi="Times New Roman"/>
          <w:sz w:val="20"/>
          <w:szCs w:val="20"/>
        </w:rPr>
        <w:t xml:space="preserve">e E-DPDCH on the </w:t>
      </w:r>
      <w:r w:rsidR="00E92F30">
        <w:rPr>
          <w:rFonts w:ascii="Times New Roman" w:hAnsi="Times New Roman"/>
          <w:sz w:val="20"/>
          <w:szCs w:val="20"/>
        </w:rPr>
        <w:t>primary</w:t>
      </w:r>
      <w:r>
        <w:rPr>
          <w:rFonts w:ascii="Times New Roman" w:hAnsi="Times New Roman"/>
          <w:sz w:val="20"/>
          <w:szCs w:val="20"/>
        </w:rPr>
        <w:t xml:space="preserve"> carrier (e.g. because it would have higher DPCCH), and that </w:t>
      </w:r>
      <w:r w:rsidR="00640A06">
        <w:rPr>
          <w:rFonts w:ascii="Times New Roman" w:hAnsi="Times New Roman"/>
          <w:sz w:val="20"/>
          <w:szCs w:val="20"/>
        </w:rPr>
        <w:t xml:space="preserve">even if the </w:t>
      </w:r>
      <w:r w:rsidR="00E92F30">
        <w:rPr>
          <w:rFonts w:ascii="Times New Roman" w:hAnsi="Times New Roman"/>
          <w:sz w:val="20"/>
          <w:szCs w:val="20"/>
        </w:rPr>
        <w:t>primary</w:t>
      </w:r>
      <w:r>
        <w:rPr>
          <w:rFonts w:ascii="Times New Roman" w:hAnsi="Times New Roman"/>
          <w:sz w:val="20"/>
          <w:szCs w:val="20"/>
        </w:rPr>
        <w:t xml:space="preserve"> has better radio conditions. </w:t>
      </w:r>
    </w:p>
    <w:p w:rsidR="004148A3" w:rsidRDefault="004148A3" w:rsidP="00843640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3F173F" w:rsidRPr="003F173F" w:rsidRDefault="00E6518A" w:rsidP="00843640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  <w:r w:rsidRPr="00E6518A">
        <w:rPr>
          <w:rFonts w:ascii="Times New Roman" w:hAnsi="Times New Roman"/>
          <w:b/>
          <w:sz w:val="20"/>
          <w:szCs w:val="20"/>
        </w:rPr>
        <w:t>Impact to the power control loop</w:t>
      </w:r>
    </w:p>
    <w:p w:rsidR="001C7EDB" w:rsidRPr="000D515E" w:rsidRDefault="003F173F" w:rsidP="004A3166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set too low, a power limit applied during normal operations</w:t>
      </w:r>
      <w:r w:rsidR="001C7EDB" w:rsidRPr="000D515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would</w:t>
      </w:r>
      <w:r w:rsidR="001C7EDB" w:rsidRPr="000D515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be detrimental to the</w:t>
      </w:r>
      <w:r w:rsidR="001C7EDB" w:rsidRPr="000D515E">
        <w:rPr>
          <w:rFonts w:ascii="Times New Roman" w:hAnsi="Times New Roman"/>
          <w:sz w:val="20"/>
          <w:szCs w:val="20"/>
        </w:rPr>
        <w:t xml:space="preserve"> power control loop</w:t>
      </w:r>
      <w:r>
        <w:rPr>
          <w:rFonts w:ascii="Times New Roman" w:hAnsi="Times New Roman"/>
          <w:sz w:val="20"/>
          <w:szCs w:val="20"/>
        </w:rPr>
        <w:t xml:space="preserve">.  </w:t>
      </w:r>
      <w:r w:rsidR="00640A06">
        <w:rPr>
          <w:rFonts w:ascii="Times New Roman" w:hAnsi="Times New Roman"/>
          <w:sz w:val="20"/>
          <w:szCs w:val="20"/>
        </w:rPr>
        <w:t xml:space="preserve">This could potentially result in excessive </w:t>
      </w:r>
      <w:r w:rsidR="00431BFA">
        <w:rPr>
          <w:rFonts w:ascii="Times New Roman" w:hAnsi="Times New Roman"/>
          <w:sz w:val="20"/>
          <w:szCs w:val="20"/>
        </w:rPr>
        <w:t xml:space="preserve">HARQ failures and </w:t>
      </w:r>
      <w:r w:rsidR="001C7EDB" w:rsidRPr="000D515E">
        <w:rPr>
          <w:rFonts w:ascii="Times New Roman" w:hAnsi="Times New Roman"/>
          <w:sz w:val="20"/>
          <w:szCs w:val="20"/>
        </w:rPr>
        <w:t>uplink synchronization</w:t>
      </w:r>
      <w:r w:rsidR="00640A06">
        <w:rPr>
          <w:rFonts w:ascii="Times New Roman" w:hAnsi="Times New Roman"/>
          <w:sz w:val="20"/>
          <w:szCs w:val="20"/>
        </w:rPr>
        <w:t xml:space="preserve"> issues</w:t>
      </w:r>
      <w:r w:rsidR="009A2701" w:rsidRPr="000D515E">
        <w:rPr>
          <w:rFonts w:ascii="Times New Roman" w:hAnsi="Times New Roman"/>
          <w:sz w:val="20"/>
          <w:szCs w:val="20"/>
        </w:rPr>
        <w:t>.</w:t>
      </w:r>
    </w:p>
    <w:p w:rsidR="00FE1B17" w:rsidRDefault="00FE1B17" w:rsidP="004A3166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640A06" w:rsidRPr="00640A06" w:rsidRDefault="00E6518A" w:rsidP="004A3166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  <w:r w:rsidRPr="00E6518A">
        <w:rPr>
          <w:rFonts w:ascii="Times New Roman" w:hAnsi="Times New Roman"/>
          <w:b/>
          <w:sz w:val="20"/>
          <w:szCs w:val="20"/>
        </w:rPr>
        <w:t>Impact to E-TFC selection/restriction</w:t>
      </w:r>
    </w:p>
    <w:p w:rsidR="001C7EDB" w:rsidRDefault="0061087C" w:rsidP="004A3166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0D515E">
        <w:rPr>
          <w:rFonts w:ascii="Times New Roman" w:hAnsi="Times New Roman"/>
          <w:sz w:val="20"/>
          <w:szCs w:val="20"/>
        </w:rPr>
        <w:t>W</w:t>
      </w:r>
      <w:r w:rsidR="001C7EDB" w:rsidRPr="000D515E">
        <w:rPr>
          <w:rFonts w:ascii="Times New Roman" w:hAnsi="Times New Roman"/>
          <w:sz w:val="20"/>
          <w:szCs w:val="20"/>
        </w:rPr>
        <w:t xml:space="preserve">hen the DPCCH reaches the </w:t>
      </w:r>
      <w:r w:rsidRPr="000D515E">
        <w:rPr>
          <w:rFonts w:ascii="Times New Roman" w:hAnsi="Times New Roman"/>
          <w:sz w:val="20"/>
          <w:szCs w:val="20"/>
        </w:rPr>
        <w:t xml:space="preserve">power </w:t>
      </w:r>
      <w:r w:rsidR="00640A06">
        <w:rPr>
          <w:rFonts w:ascii="Times New Roman" w:hAnsi="Times New Roman"/>
          <w:sz w:val="20"/>
          <w:szCs w:val="20"/>
        </w:rPr>
        <w:t>limit,</w:t>
      </w:r>
      <w:r w:rsidR="001C7EDB" w:rsidRPr="000D515E">
        <w:rPr>
          <w:rFonts w:ascii="Times New Roman" w:hAnsi="Times New Roman"/>
          <w:sz w:val="20"/>
          <w:szCs w:val="20"/>
        </w:rPr>
        <w:t xml:space="preserve"> </w:t>
      </w:r>
      <w:r w:rsidR="00640A06">
        <w:rPr>
          <w:rFonts w:ascii="Times New Roman" w:hAnsi="Times New Roman"/>
          <w:sz w:val="20"/>
          <w:szCs w:val="20"/>
        </w:rPr>
        <w:t>the UE should not be allowed to transmit data over the secondary carrier as data would be sent with insufficient power.  M</w:t>
      </w:r>
      <w:r w:rsidR="001C7EDB" w:rsidRPr="000D515E">
        <w:rPr>
          <w:rFonts w:ascii="Times New Roman" w:hAnsi="Times New Roman"/>
          <w:sz w:val="20"/>
          <w:szCs w:val="20"/>
        </w:rPr>
        <w:t xml:space="preserve">echanisms </w:t>
      </w:r>
      <w:r w:rsidR="00640A06">
        <w:rPr>
          <w:rFonts w:ascii="Times New Roman" w:hAnsi="Times New Roman"/>
          <w:sz w:val="20"/>
          <w:szCs w:val="20"/>
        </w:rPr>
        <w:t>ensuring</w:t>
      </w:r>
      <w:r w:rsidR="001C7EDB" w:rsidRPr="000D515E">
        <w:rPr>
          <w:rFonts w:ascii="Times New Roman" w:hAnsi="Times New Roman"/>
          <w:sz w:val="20"/>
          <w:szCs w:val="20"/>
        </w:rPr>
        <w:t xml:space="preserve"> that the UE is not carrying out E-T</w:t>
      </w:r>
      <w:r w:rsidR="006036E9">
        <w:rPr>
          <w:rFonts w:ascii="Times New Roman" w:hAnsi="Times New Roman"/>
          <w:sz w:val="20"/>
          <w:szCs w:val="20"/>
        </w:rPr>
        <w:t>FC selection for that carrier</w:t>
      </w:r>
      <w:r w:rsidR="00640A06">
        <w:rPr>
          <w:rFonts w:ascii="Times New Roman" w:hAnsi="Times New Roman"/>
          <w:sz w:val="20"/>
          <w:szCs w:val="20"/>
        </w:rPr>
        <w:t xml:space="preserve"> should be introduced</w:t>
      </w:r>
      <w:r w:rsidR="001C7EDB" w:rsidRPr="000D515E">
        <w:rPr>
          <w:rFonts w:ascii="Times New Roman" w:hAnsi="Times New Roman"/>
          <w:sz w:val="20"/>
          <w:szCs w:val="20"/>
        </w:rPr>
        <w:t>.</w:t>
      </w:r>
    </w:p>
    <w:p w:rsidR="005A151A" w:rsidRDefault="005A151A" w:rsidP="004A3166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AE0654" w:rsidRDefault="005A151A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general, if the absolute DPCCH power limit is set to a sufficiently large value the impacts to the existing procedures would be minimized.  However a too large absolute DPCCH power limit reduces the efficiency of the scheme.</w:t>
      </w:r>
    </w:p>
    <w:p w:rsidR="00AE0654" w:rsidRDefault="00AE0654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AE4B4E" w:rsidRDefault="00AE0654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To mitigate these undesirable impacts </w:t>
      </w:r>
      <w:r w:rsidR="000D18CD">
        <w:rPr>
          <w:rFonts w:ascii="Times New Roman" w:hAnsi="Times New Roman"/>
          <w:sz w:val="20"/>
          <w:szCs w:val="20"/>
        </w:rPr>
        <w:t>to UEs in</w:t>
      </w:r>
      <w:r>
        <w:rPr>
          <w:rFonts w:ascii="Times New Roman" w:hAnsi="Times New Roman"/>
          <w:sz w:val="20"/>
          <w:szCs w:val="20"/>
        </w:rPr>
        <w:t xml:space="preserve"> normal operations</w:t>
      </w:r>
      <w:r w:rsidR="003C75A2">
        <w:rPr>
          <w:rFonts w:ascii="Times New Roman" w:hAnsi="Times New Roman"/>
          <w:sz w:val="20"/>
          <w:szCs w:val="20"/>
        </w:rPr>
        <w:t xml:space="preserve"> whil</w:t>
      </w:r>
      <w:r w:rsidR="00ED3BF6">
        <w:rPr>
          <w:rFonts w:ascii="Times New Roman" w:hAnsi="Times New Roman"/>
          <w:sz w:val="20"/>
          <w:szCs w:val="20"/>
        </w:rPr>
        <w:t xml:space="preserve">e at the same time </w:t>
      </w:r>
      <w:r w:rsidR="003C75A2">
        <w:rPr>
          <w:rFonts w:ascii="Times New Roman" w:hAnsi="Times New Roman"/>
          <w:sz w:val="20"/>
          <w:szCs w:val="20"/>
        </w:rPr>
        <w:t>avoid</w:t>
      </w:r>
      <w:r w:rsidR="00ED3BF6">
        <w:rPr>
          <w:rFonts w:ascii="Times New Roman" w:hAnsi="Times New Roman"/>
          <w:sz w:val="20"/>
          <w:szCs w:val="20"/>
        </w:rPr>
        <w:t>ing</w:t>
      </w:r>
      <w:r w:rsidR="003C75A2">
        <w:rPr>
          <w:rFonts w:ascii="Times New Roman" w:hAnsi="Times New Roman"/>
          <w:sz w:val="20"/>
          <w:szCs w:val="20"/>
        </w:rPr>
        <w:t xml:space="preserve"> unlimited power ramping on secondary DPCCH</w:t>
      </w:r>
      <w:r w:rsidR="00AE4B4E">
        <w:rPr>
          <w:rFonts w:ascii="Times New Roman" w:hAnsi="Times New Roman"/>
          <w:sz w:val="20"/>
          <w:szCs w:val="20"/>
        </w:rPr>
        <w:t>, we propose</w:t>
      </w:r>
      <w:r w:rsidR="003C75A2">
        <w:rPr>
          <w:rFonts w:ascii="Times New Roman" w:hAnsi="Times New Roman"/>
          <w:sz w:val="20"/>
          <w:szCs w:val="20"/>
        </w:rPr>
        <w:t xml:space="preserve"> </w:t>
      </w:r>
      <w:r w:rsidR="001A337B">
        <w:rPr>
          <w:rFonts w:ascii="Times New Roman" w:hAnsi="Times New Roman"/>
          <w:sz w:val="20"/>
          <w:szCs w:val="20"/>
        </w:rPr>
        <w:t xml:space="preserve">that the </w:t>
      </w:r>
      <w:r>
        <w:rPr>
          <w:rFonts w:ascii="Times New Roman" w:hAnsi="Times New Roman"/>
          <w:sz w:val="20"/>
          <w:szCs w:val="20"/>
        </w:rPr>
        <w:t>power limit should only be applied upon the activation of the secondary carrier for a pre-configured amount of time</w:t>
      </w:r>
      <w:r w:rsidR="003C75A2">
        <w:rPr>
          <w:rFonts w:ascii="Times New Roman" w:hAnsi="Times New Roman"/>
          <w:sz w:val="20"/>
          <w:szCs w:val="20"/>
        </w:rPr>
        <w:t>.</w:t>
      </w:r>
      <w:r w:rsidR="00E13F38">
        <w:rPr>
          <w:rFonts w:ascii="Times New Roman" w:hAnsi="Times New Roman"/>
          <w:sz w:val="20"/>
          <w:szCs w:val="20"/>
        </w:rPr>
        <w:t xml:space="preserve"> </w:t>
      </w:r>
      <w:r w:rsidR="00E14237">
        <w:rPr>
          <w:rFonts w:ascii="Times New Roman" w:hAnsi="Times New Roman"/>
          <w:sz w:val="20"/>
          <w:szCs w:val="20"/>
        </w:rPr>
        <w:t xml:space="preserve">For example, UE may maintain a timer for such purpose and it is triggered once the UE receives the order to activate the secondary carrier. </w:t>
      </w:r>
      <w:r w:rsidR="00E13F38">
        <w:rPr>
          <w:rFonts w:ascii="Times New Roman" w:hAnsi="Times New Roman"/>
          <w:sz w:val="20"/>
          <w:szCs w:val="20"/>
        </w:rPr>
        <w:t>Upon expiry of this time</w:t>
      </w:r>
      <w:r w:rsidR="00ED3BF6">
        <w:rPr>
          <w:rFonts w:ascii="Times New Roman" w:hAnsi="Times New Roman"/>
          <w:sz w:val="20"/>
          <w:szCs w:val="20"/>
        </w:rPr>
        <w:t>r</w:t>
      </w:r>
      <w:r w:rsidR="00E13F38">
        <w:rPr>
          <w:rFonts w:ascii="Times New Roman" w:hAnsi="Times New Roman"/>
          <w:sz w:val="20"/>
          <w:szCs w:val="20"/>
        </w:rPr>
        <w:t>, the UE should stop applying the power limit</w:t>
      </w:r>
      <w:r w:rsidR="00722B7F">
        <w:rPr>
          <w:rFonts w:ascii="Times New Roman" w:hAnsi="Times New Roman"/>
          <w:sz w:val="20"/>
          <w:szCs w:val="20"/>
        </w:rPr>
        <w:t>.  If</w:t>
      </w:r>
      <w:r w:rsidR="00E13F38">
        <w:rPr>
          <w:rFonts w:ascii="Times New Roman" w:hAnsi="Times New Roman"/>
          <w:sz w:val="20"/>
          <w:szCs w:val="20"/>
        </w:rPr>
        <w:t xml:space="preserve"> UL </w:t>
      </w:r>
      <w:r w:rsidR="00E13F38">
        <w:rPr>
          <w:rFonts w:ascii="Times New Roman" w:hAnsi="Times New Roman"/>
          <w:sz w:val="20"/>
          <w:szCs w:val="20"/>
        </w:rPr>
        <w:lastRenderedPageBreak/>
        <w:t xml:space="preserve">synchronization </w:t>
      </w:r>
      <w:r w:rsidR="00ED3BF6">
        <w:rPr>
          <w:rFonts w:ascii="Times New Roman" w:hAnsi="Times New Roman"/>
          <w:sz w:val="20"/>
          <w:szCs w:val="20"/>
        </w:rPr>
        <w:t xml:space="preserve">on the secondary carrier </w:t>
      </w:r>
      <w:r w:rsidR="00E13F38">
        <w:rPr>
          <w:rFonts w:ascii="Times New Roman" w:hAnsi="Times New Roman"/>
          <w:sz w:val="20"/>
          <w:szCs w:val="20"/>
        </w:rPr>
        <w:t>has not been achieved</w:t>
      </w:r>
      <w:r w:rsidR="00722B7F">
        <w:rPr>
          <w:rFonts w:ascii="Times New Roman" w:hAnsi="Times New Roman"/>
          <w:sz w:val="20"/>
          <w:szCs w:val="20"/>
        </w:rPr>
        <w:t xml:space="preserve"> prior to the expiry of the timer</w:t>
      </w:r>
      <w:r w:rsidR="00E13F38">
        <w:rPr>
          <w:rFonts w:ascii="Times New Roman" w:hAnsi="Times New Roman"/>
          <w:sz w:val="20"/>
          <w:szCs w:val="20"/>
        </w:rPr>
        <w:t xml:space="preserve">, the network may </w:t>
      </w:r>
      <w:r w:rsidR="001A337B">
        <w:rPr>
          <w:rFonts w:ascii="Times New Roman" w:hAnsi="Times New Roman"/>
          <w:sz w:val="20"/>
          <w:szCs w:val="20"/>
        </w:rPr>
        <w:t xml:space="preserve">choose to </w:t>
      </w:r>
      <w:r w:rsidR="00E13F38">
        <w:rPr>
          <w:rFonts w:ascii="Times New Roman" w:hAnsi="Times New Roman"/>
          <w:sz w:val="20"/>
          <w:szCs w:val="20"/>
        </w:rPr>
        <w:t>deactivate the secondary carrier</w:t>
      </w:r>
      <w:r w:rsidR="00722B7F">
        <w:rPr>
          <w:rFonts w:ascii="Times New Roman" w:hAnsi="Times New Roman"/>
          <w:sz w:val="20"/>
          <w:szCs w:val="20"/>
        </w:rPr>
        <w:t xml:space="preserve"> avoiding any </w:t>
      </w:r>
      <w:r w:rsidR="00960BD6">
        <w:rPr>
          <w:rFonts w:ascii="Times New Roman" w:hAnsi="Times New Roman"/>
          <w:sz w:val="20"/>
          <w:szCs w:val="20"/>
        </w:rPr>
        <w:t>potential undesired UE behavior</w:t>
      </w:r>
      <w:r w:rsidR="00E13F38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 </w:t>
      </w:r>
      <w:r w:rsidR="00224CC0">
        <w:rPr>
          <w:rFonts w:ascii="Times New Roman" w:hAnsi="Times New Roman"/>
          <w:sz w:val="20"/>
          <w:szCs w:val="20"/>
        </w:rPr>
        <w:t xml:space="preserve">  </w:t>
      </w:r>
    </w:p>
    <w:p w:rsidR="00FA5E08" w:rsidRPr="00633EE7" w:rsidRDefault="00FA5E08" w:rsidP="00633EE7">
      <w:pPr>
        <w:pStyle w:val="Heading1"/>
      </w:pPr>
      <w:r w:rsidRPr="00633EE7">
        <w:t>Conclusion</w:t>
      </w:r>
    </w:p>
    <w:p w:rsidR="00727230" w:rsidRDefault="00A450AE" w:rsidP="00D80F7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2A0D19">
        <w:rPr>
          <w:rFonts w:ascii="Times New Roman" w:hAnsi="Times New Roman"/>
          <w:sz w:val="20"/>
          <w:szCs w:val="20"/>
        </w:rPr>
        <w:t xml:space="preserve">we </w:t>
      </w:r>
      <w:r w:rsidR="00501A0D">
        <w:rPr>
          <w:rFonts w:ascii="Times New Roman" w:hAnsi="Times New Roman"/>
          <w:sz w:val="20"/>
          <w:szCs w:val="20"/>
        </w:rPr>
        <w:t xml:space="preserve">first </w:t>
      </w:r>
      <w:r w:rsidR="002A0D19">
        <w:rPr>
          <w:rFonts w:ascii="Times New Roman" w:hAnsi="Times New Roman"/>
          <w:sz w:val="20"/>
          <w:szCs w:val="20"/>
        </w:rPr>
        <w:t xml:space="preserve">discussed the impact of using </w:t>
      </w:r>
      <w:r w:rsidR="005A151A">
        <w:rPr>
          <w:rFonts w:ascii="Times New Roman" w:hAnsi="Times New Roman"/>
          <w:sz w:val="20"/>
          <w:szCs w:val="20"/>
        </w:rPr>
        <w:t xml:space="preserve">a DPCCH </w:t>
      </w:r>
      <w:r w:rsidR="002A0D19">
        <w:rPr>
          <w:rFonts w:ascii="Times New Roman" w:hAnsi="Times New Roman"/>
          <w:sz w:val="20"/>
          <w:szCs w:val="20"/>
        </w:rPr>
        <w:t xml:space="preserve">power </w:t>
      </w:r>
      <w:r w:rsidR="005A151A">
        <w:rPr>
          <w:rFonts w:ascii="Times New Roman" w:hAnsi="Times New Roman"/>
          <w:sz w:val="20"/>
          <w:szCs w:val="20"/>
        </w:rPr>
        <w:t>limit</w:t>
      </w:r>
      <w:r w:rsidR="002A0D19">
        <w:rPr>
          <w:rFonts w:ascii="Times New Roman" w:hAnsi="Times New Roman"/>
          <w:sz w:val="20"/>
          <w:szCs w:val="20"/>
        </w:rPr>
        <w:t xml:space="preserve"> on the </w:t>
      </w:r>
      <w:r w:rsidR="000E5AD5">
        <w:rPr>
          <w:rFonts w:ascii="Times New Roman" w:hAnsi="Times New Roman"/>
          <w:sz w:val="20"/>
          <w:szCs w:val="20"/>
        </w:rPr>
        <w:t>secondary</w:t>
      </w:r>
      <w:r w:rsidR="002A0D19">
        <w:rPr>
          <w:rFonts w:ascii="Times New Roman" w:hAnsi="Times New Roman"/>
          <w:sz w:val="20"/>
          <w:szCs w:val="20"/>
        </w:rPr>
        <w:t xml:space="preserve"> carrier to existing procedures </w:t>
      </w:r>
      <w:r w:rsidR="003B722F">
        <w:rPr>
          <w:rFonts w:ascii="Times New Roman" w:hAnsi="Times New Roman"/>
          <w:sz w:val="20"/>
          <w:szCs w:val="20"/>
        </w:rPr>
        <w:t>during</w:t>
      </w:r>
      <w:r w:rsidR="002A0D19">
        <w:rPr>
          <w:rFonts w:ascii="Times New Roman" w:hAnsi="Times New Roman"/>
          <w:sz w:val="20"/>
          <w:szCs w:val="20"/>
        </w:rPr>
        <w:t xml:space="preserve"> normal operations</w:t>
      </w:r>
      <w:r w:rsidR="00E14237">
        <w:rPr>
          <w:rFonts w:ascii="Times New Roman" w:hAnsi="Times New Roman"/>
          <w:sz w:val="20"/>
          <w:szCs w:val="20"/>
        </w:rPr>
        <w:t xml:space="preserve">, and </w:t>
      </w:r>
      <w:r w:rsidR="00501A0D">
        <w:rPr>
          <w:rFonts w:ascii="Times New Roman" w:hAnsi="Times New Roman"/>
          <w:sz w:val="20"/>
          <w:szCs w:val="20"/>
        </w:rPr>
        <w:t xml:space="preserve">then </w:t>
      </w:r>
      <w:r w:rsidR="00E14237">
        <w:rPr>
          <w:rFonts w:ascii="Times New Roman" w:hAnsi="Times New Roman"/>
          <w:sz w:val="20"/>
          <w:szCs w:val="20"/>
        </w:rPr>
        <w:t>proposed a simple solution to resolve these issues</w:t>
      </w:r>
      <w:r w:rsidR="002A0D19">
        <w:rPr>
          <w:rFonts w:ascii="Times New Roman" w:hAnsi="Times New Roman"/>
          <w:sz w:val="20"/>
          <w:szCs w:val="20"/>
        </w:rPr>
        <w:t>.</w:t>
      </w:r>
      <w:r w:rsidR="005A151A">
        <w:rPr>
          <w:rFonts w:ascii="Times New Roman" w:hAnsi="Times New Roman"/>
          <w:sz w:val="20"/>
          <w:szCs w:val="20"/>
        </w:rPr>
        <w:t xml:space="preserve">  </w:t>
      </w:r>
      <w:r w:rsidR="002A0D19">
        <w:rPr>
          <w:rFonts w:ascii="Times New Roman" w:hAnsi="Times New Roman"/>
          <w:sz w:val="20"/>
          <w:szCs w:val="20"/>
        </w:rPr>
        <w:t xml:space="preserve">Based on this discussion, the following proposal </w:t>
      </w:r>
      <w:r w:rsidR="0096225B">
        <w:rPr>
          <w:rFonts w:ascii="Times New Roman" w:hAnsi="Times New Roman"/>
          <w:sz w:val="20"/>
          <w:szCs w:val="20"/>
        </w:rPr>
        <w:t>is</w:t>
      </w:r>
      <w:r w:rsidR="002A0D19">
        <w:rPr>
          <w:rFonts w:ascii="Times New Roman" w:hAnsi="Times New Roman"/>
          <w:sz w:val="20"/>
          <w:szCs w:val="20"/>
        </w:rPr>
        <w:t xml:space="preserve"> made: </w:t>
      </w:r>
    </w:p>
    <w:p w:rsidR="00A450AE" w:rsidRDefault="00A450AE" w:rsidP="00D80F7B">
      <w:pPr>
        <w:rPr>
          <w:rFonts w:ascii="Times New Roman" w:hAnsi="Times New Roman"/>
          <w:sz w:val="20"/>
          <w:szCs w:val="20"/>
        </w:rPr>
      </w:pPr>
    </w:p>
    <w:p w:rsidR="0096225B" w:rsidRPr="0096225B" w:rsidRDefault="0096225B" w:rsidP="00D80F7B">
      <w:pPr>
        <w:rPr>
          <w:rFonts w:ascii="Times New Roman" w:hAnsi="Times New Roman"/>
          <w:b/>
          <w:sz w:val="20"/>
          <w:szCs w:val="20"/>
        </w:rPr>
      </w:pPr>
      <w:r w:rsidRPr="00D02651">
        <w:rPr>
          <w:rFonts w:ascii="Times New Roman" w:hAnsi="Times New Roman"/>
          <w:b/>
          <w:sz w:val="20"/>
          <w:szCs w:val="20"/>
        </w:rPr>
        <w:t xml:space="preserve">Proposal: </w:t>
      </w:r>
      <w:r>
        <w:rPr>
          <w:rFonts w:ascii="Times New Roman" w:hAnsi="Times New Roman"/>
          <w:b/>
          <w:sz w:val="20"/>
          <w:szCs w:val="20"/>
        </w:rPr>
        <w:t>Discuss and agree on the need to impose DPCCH power limit upon activation of the secondary carrier for a pre-configured amount of time.</w:t>
      </w:r>
    </w:p>
    <w:p w:rsidR="00FA5E08" w:rsidRPr="00633EE7" w:rsidRDefault="00FA5E08" w:rsidP="00633EE7">
      <w:pPr>
        <w:pStyle w:val="Heading1"/>
      </w:pPr>
      <w:r w:rsidRPr="00633EE7">
        <w:t>References</w:t>
      </w:r>
    </w:p>
    <w:p w:rsidR="000D515E" w:rsidRDefault="00625EFE" w:rsidP="0023485A">
      <w:pPr>
        <w:numPr>
          <w:ilvl w:val="0"/>
          <w:numId w:val="7"/>
        </w:numPr>
        <w:ind w:left="360"/>
        <w:rPr>
          <w:rFonts w:ascii="Times New Roman" w:hAnsi="Times New Roman"/>
          <w:sz w:val="20"/>
          <w:szCs w:val="20"/>
        </w:rPr>
      </w:pPr>
      <w:bookmarkStart w:id="4" w:name="_Ref236458313"/>
      <w:r w:rsidRPr="00625EFE">
        <w:rPr>
          <w:rFonts w:ascii="Times New Roman" w:hAnsi="Times New Roman"/>
          <w:sz w:val="20"/>
          <w:szCs w:val="20"/>
        </w:rPr>
        <w:t>R1-092764</w:t>
      </w:r>
      <w:r>
        <w:rPr>
          <w:rFonts w:ascii="Times New Roman" w:hAnsi="Times New Roman"/>
          <w:sz w:val="20"/>
          <w:szCs w:val="20"/>
        </w:rPr>
        <w:t>,</w:t>
      </w:r>
      <w:r w:rsidRPr="00625EF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625EFE">
        <w:rPr>
          <w:rFonts w:ascii="Times New Roman" w:hAnsi="Times New Roman"/>
          <w:sz w:val="20"/>
          <w:szCs w:val="20"/>
        </w:rPr>
        <w:t xml:space="preserve">DC-HSUPA - DPCCH power limit for </w:t>
      </w:r>
      <w:r w:rsidR="000E5AD5">
        <w:rPr>
          <w:rFonts w:ascii="Times New Roman" w:hAnsi="Times New Roman"/>
          <w:sz w:val="20"/>
          <w:szCs w:val="20"/>
        </w:rPr>
        <w:t>secondary</w:t>
      </w:r>
      <w:r w:rsidRPr="00625EFE">
        <w:rPr>
          <w:rFonts w:ascii="Times New Roman" w:hAnsi="Times New Roman"/>
          <w:sz w:val="20"/>
          <w:szCs w:val="20"/>
        </w:rPr>
        <w:t xml:space="preserve"> carrier</w:t>
      </w:r>
      <w:r w:rsidR="00031777">
        <w:rPr>
          <w:rFonts w:ascii="Times New Roman" w:hAnsi="Times New Roman"/>
          <w:sz w:val="20"/>
          <w:szCs w:val="20"/>
        </w:rPr>
        <w:t>”,</w:t>
      </w:r>
      <w:r w:rsidRPr="00625EFE">
        <w:rPr>
          <w:rFonts w:ascii="Times New Roman" w:hAnsi="Times New Roman"/>
          <w:sz w:val="20"/>
          <w:szCs w:val="20"/>
        </w:rPr>
        <w:t xml:space="preserve"> Ericsson</w:t>
      </w:r>
      <w:r w:rsidR="00031777">
        <w:rPr>
          <w:rFonts w:ascii="Times New Roman" w:hAnsi="Times New Roman"/>
          <w:sz w:val="20"/>
          <w:szCs w:val="20"/>
        </w:rPr>
        <w:t>.</w:t>
      </w:r>
      <w:bookmarkEnd w:id="4"/>
    </w:p>
    <w:p w:rsidR="003B4BF2" w:rsidRPr="002A0D19" w:rsidRDefault="008D43BD" w:rsidP="002A0D19">
      <w:pPr>
        <w:numPr>
          <w:ilvl w:val="0"/>
          <w:numId w:val="7"/>
        </w:numPr>
        <w:ind w:left="360"/>
        <w:rPr>
          <w:rFonts w:ascii="Times New Roman" w:hAnsi="Times New Roman"/>
          <w:sz w:val="20"/>
          <w:szCs w:val="20"/>
        </w:rPr>
      </w:pPr>
      <w:bookmarkStart w:id="5" w:name="_Ref236467364"/>
      <w:r w:rsidRPr="008D43BD">
        <w:rPr>
          <w:rFonts w:ascii="Times New Roman" w:hAnsi="Times New Roman"/>
          <w:sz w:val="20"/>
          <w:szCs w:val="20"/>
        </w:rPr>
        <w:t>Draft Report of 3GPP TSG RAN WG1 #57bis v0.1.0</w:t>
      </w:r>
      <w:r>
        <w:rPr>
          <w:rFonts w:ascii="Times New Roman" w:hAnsi="Times New Roman"/>
          <w:sz w:val="20"/>
          <w:szCs w:val="20"/>
        </w:rPr>
        <w:t>.</w:t>
      </w:r>
      <w:bookmarkEnd w:id="5"/>
    </w:p>
    <w:p w:rsidR="00BE6B15" w:rsidRDefault="00BE6B15"/>
    <w:sectPr w:rsidR="00BE6B15" w:rsidSect="00852E2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B7F" w:rsidRDefault="00722B7F">
      <w:r>
        <w:separator/>
      </w:r>
    </w:p>
  </w:endnote>
  <w:endnote w:type="continuationSeparator" w:id="1">
    <w:p w:rsidR="00722B7F" w:rsidRDefault="00722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B7F" w:rsidRDefault="00722B7F">
      <w:r>
        <w:separator/>
      </w:r>
    </w:p>
  </w:footnote>
  <w:footnote w:type="continuationSeparator" w:id="1">
    <w:p w:rsidR="00722B7F" w:rsidRDefault="00722B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407C"/>
    <w:multiLevelType w:val="hybridMultilevel"/>
    <w:tmpl w:val="46EA0E8A"/>
    <w:lvl w:ilvl="0" w:tplc="011C11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262A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A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AEB8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C04E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1695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E4D6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3ED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02CB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005444"/>
    <w:multiLevelType w:val="hybridMultilevel"/>
    <w:tmpl w:val="D972A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115B0150"/>
    <w:multiLevelType w:val="hybridMultilevel"/>
    <w:tmpl w:val="5A0AA3C6"/>
    <w:lvl w:ilvl="0" w:tplc="440AA340">
      <w:start w:val="1"/>
      <w:numFmt w:val="decimal"/>
      <w:lvlText w:val="%1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623F3"/>
    <w:multiLevelType w:val="hybridMultilevel"/>
    <w:tmpl w:val="24FC639C"/>
    <w:lvl w:ilvl="0" w:tplc="7CCC13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46D52AB"/>
    <w:multiLevelType w:val="hybridMultilevel"/>
    <w:tmpl w:val="668C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136C8"/>
    <w:multiLevelType w:val="hybridMultilevel"/>
    <w:tmpl w:val="ABCC1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23468"/>
    <w:multiLevelType w:val="singleLevel"/>
    <w:tmpl w:val="5A28297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1C01032C"/>
    <w:multiLevelType w:val="hybridMultilevel"/>
    <w:tmpl w:val="C3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E757F"/>
    <w:multiLevelType w:val="singleLevel"/>
    <w:tmpl w:val="A1B06EE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2BA91B3C"/>
    <w:multiLevelType w:val="hybridMultilevel"/>
    <w:tmpl w:val="05B0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460BE"/>
    <w:multiLevelType w:val="hybridMultilevel"/>
    <w:tmpl w:val="27AC7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71CB7"/>
    <w:multiLevelType w:val="hybridMultilevel"/>
    <w:tmpl w:val="A166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76E66"/>
    <w:multiLevelType w:val="hybridMultilevel"/>
    <w:tmpl w:val="083C30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AE03555"/>
    <w:multiLevelType w:val="singleLevel"/>
    <w:tmpl w:val="9460A868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4A2238E"/>
    <w:multiLevelType w:val="multilevel"/>
    <w:tmpl w:val="A7E6A7A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>
    <w:nsid w:val="5BA46AA7"/>
    <w:multiLevelType w:val="hybridMultilevel"/>
    <w:tmpl w:val="CF8A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87722C"/>
    <w:multiLevelType w:val="hybridMultilevel"/>
    <w:tmpl w:val="B91C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FA2DE9"/>
    <w:multiLevelType w:val="hybridMultilevel"/>
    <w:tmpl w:val="DC3A3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D98663E"/>
    <w:multiLevelType w:val="hybridMultilevel"/>
    <w:tmpl w:val="5E820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204A86"/>
    <w:multiLevelType w:val="hybridMultilevel"/>
    <w:tmpl w:val="6C22D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C0830"/>
    <w:multiLevelType w:val="hybridMultilevel"/>
    <w:tmpl w:val="B84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163CC8"/>
    <w:multiLevelType w:val="hybridMultilevel"/>
    <w:tmpl w:val="11403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E7477"/>
    <w:multiLevelType w:val="hybridMultilevel"/>
    <w:tmpl w:val="81B6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A207AF"/>
    <w:multiLevelType w:val="hybridMultilevel"/>
    <w:tmpl w:val="F4CCE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0558A5"/>
    <w:multiLevelType w:val="hybridMultilevel"/>
    <w:tmpl w:val="DB90D5E4"/>
    <w:lvl w:ilvl="0" w:tplc="DFC4172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3"/>
  </w:num>
  <w:num w:numId="7">
    <w:abstractNumId w:val="24"/>
  </w:num>
  <w:num w:numId="8">
    <w:abstractNumId w:val="2"/>
  </w:num>
  <w:num w:numId="9">
    <w:abstractNumId w:val="17"/>
  </w:num>
  <w:num w:numId="10">
    <w:abstractNumId w:val="14"/>
  </w:num>
  <w:num w:numId="11">
    <w:abstractNumId w:val="11"/>
  </w:num>
  <w:num w:numId="12">
    <w:abstractNumId w:val="15"/>
  </w:num>
  <w:num w:numId="13">
    <w:abstractNumId w:val="10"/>
  </w:num>
  <w:num w:numId="14">
    <w:abstractNumId w:val="21"/>
  </w:num>
  <w:num w:numId="15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4"/>
    <w:lvlOverride w:ilvl="0">
      <w:startOverride w:val="2"/>
    </w:lvlOverride>
    <w:lvlOverride w:ilvl="1">
      <w:startOverride w:val="2"/>
    </w:lvlOverride>
  </w:num>
  <w:num w:numId="18">
    <w:abstractNumId w:val="1"/>
  </w:num>
  <w:num w:numId="19">
    <w:abstractNumId w:val="4"/>
  </w:num>
  <w:num w:numId="20">
    <w:abstractNumId w:val="9"/>
  </w:num>
  <w:num w:numId="21">
    <w:abstractNumId w:val="16"/>
  </w:num>
  <w:num w:numId="22">
    <w:abstractNumId w:val="19"/>
  </w:num>
  <w:num w:numId="23">
    <w:abstractNumId w:val="12"/>
  </w:num>
  <w:num w:numId="24">
    <w:abstractNumId w:val="22"/>
  </w:num>
  <w:num w:numId="25">
    <w:abstractNumId w:val="20"/>
  </w:num>
  <w:num w:numId="26">
    <w:abstractNumId w:val="18"/>
  </w:num>
  <w:num w:numId="27">
    <w:abstractNumId w:val="5"/>
  </w:num>
  <w:num w:numId="28">
    <w:abstractNumId w:val="7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trackRevision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E2A"/>
    <w:rsid w:val="00003D0B"/>
    <w:rsid w:val="000179F6"/>
    <w:rsid w:val="00031777"/>
    <w:rsid w:val="0003327C"/>
    <w:rsid w:val="00036BEA"/>
    <w:rsid w:val="00037700"/>
    <w:rsid w:val="0006243C"/>
    <w:rsid w:val="000700D0"/>
    <w:rsid w:val="00082D7A"/>
    <w:rsid w:val="00083C08"/>
    <w:rsid w:val="00084541"/>
    <w:rsid w:val="000B758C"/>
    <w:rsid w:val="000C40D3"/>
    <w:rsid w:val="000D0251"/>
    <w:rsid w:val="000D18CD"/>
    <w:rsid w:val="000D515E"/>
    <w:rsid w:val="000D67C8"/>
    <w:rsid w:val="000E5AD5"/>
    <w:rsid w:val="00110C14"/>
    <w:rsid w:val="00114C4F"/>
    <w:rsid w:val="001343BC"/>
    <w:rsid w:val="001523AC"/>
    <w:rsid w:val="0015635D"/>
    <w:rsid w:val="00175E8D"/>
    <w:rsid w:val="00184F15"/>
    <w:rsid w:val="00186171"/>
    <w:rsid w:val="0019737C"/>
    <w:rsid w:val="001A337B"/>
    <w:rsid w:val="001B2877"/>
    <w:rsid w:val="001B73B9"/>
    <w:rsid w:val="001C4D36"/>
    <w:rsid w:val="001C7EDB"/>
    <w:rsid w:val="001D0AE8"/>
    <w:rsid w:val="001E243C"/>
    <w:rsid w:val="001F3A8A"/>
    <w:rsid w:val="001F597B"/>
    <w:rsid w:val="00216A2B"/>
    <w:rsid w:val="002235BB"/>
    <w:rsid w:val="002243FD"/>
    <w:rsid w:val="00224CC0"/>
    <w:rsid w:val="002279FB"/>
    <w:rsid w:val="0023485A"/>
    <w:rsid w:val="00247931"/>
    <w:rsid w:val="002613FE"/>
    <w:rsid w:val="00293C5F"/>
    <w:rsid w:val="002968BA"/>
    <w:rsid w:val="002A0D19"/>
    <w:rsid w:val="002A5845"/>
    <w:rsid w:val="002B31F3"/>
    <w:rsid w:val="002D222C"/>
    <w:rsid w:val="002D7942"/>
    <w:rsid w:val="002E0175"/>
    <w:rsid w:val="002E21B6"/>
    <w:rsid w:val="00300F3C"/>
    <w:rsid w:val="00306969"/>
    <w:rsid w:val="0033050C"/>
    <w:rsid w:val="00330E93"/>
    <w:rsid w:val="00337D23"/>
    <w:rsid w:val="0034052C"/>
    <w:rsid w:val="003421E5"/>
    <w:rsid w:val="0036408C"/>
    <w:rsid w:val="00372A02"/>
    <w:rsid w:val="0037523C"/>
    <w:rsid w:val="003761E3"/>
    <w:rsid w:val="003831BE"/>
    <w:rsid w:val="00384276"/>
    <w:rsid w:val="00386DF0"/>
    <w:rsid w:val="003A5B78"/>
    <w:rsid w:val="003B4BF2"/>
    <w:rsid w:val="003B722F"/>
    <w:rsid w:val="003B76CC"/>
    <w:rsid w:val="003C6157"/>
    <w:rsid w:val="003C642C"/>
    <w:rsid w:val="003C75A2"/>
    <w:rsid w:val="003C78DC"/>
    <w:rsid w:val="003D08B8"/>
    <w:rsid w:val="003D3F02"/>
    <w:rsid w:val="003D43E4"/>
    <w:rsid w:val="003E470C"/>
    <w:rsid w:val="003E7E20"/>
    <w:rsid w:val="003F173F"/>
    <w:rsid w:val="003F4CB1"/>
    <w:rsid w:val="00406184"/>
    <w:rsid w:val="00406FD2"/>
    <w:rsid w:val="004138D1"/>
    <w:rsid w:val="004148A3"/>
    <w:rsid w:val="0042680B"/>
    <w:rsid w:val="00431BFA"/>
    <w:rsid w:val="00433822"/>
    <w:rsid w:val="00437081"/>
    <w:rsid w:val="00441E70"/>
    <w:rsid w:val="00454475"/>
    <w:rsid w:val="004674B0"/>
    <w:rsid w:val="00492FD3"/>
    <w:rsid w:val="004A104D"/>
    <w:rsid w:val="004A20FD"/>
    <w:rsid w:val="004A3166"/>
    <w:rsid w:val="004A7A6E"/>
    <w:rsid w:val="004B14CD"/>
    <w:rsid w:val="004C3BDF"/>
    <w:rsid w:val="004E36E3"/>
    <w:rsid w:val="004E591E"/>
    <w:rsid w:val="005009A0"/>
    <w:rsid w:val="00501A0D"/>
    <w:rsid w:val="0051484A"/>
    <w:rsid w:val="005211E6"/>
    <w:rsid w:val="005317FA"/>
    <w:rsid w:val="00531AB3"/>
    <w:rsid w:val="005415AD"/>
    <w:rsid w:val="005446D1"/>
    <w:rsid w:val="005531F4"/>
    <w:rsid w:val="0057027D"/>
    <w:rsid w:val="0057291B"/>
    <w:rsid w:val="005731A3"/>
    <w:rsid w:val="005776AA"/>
    <w:rsid w:val="005902ED"/>
    <w:rsid w:val="00597315"/>
    <w:rsid w:val="005A151A"/>
    <w:rsid w:val="005A2936"/>
    <w:rsid w:val="005A5251"/>
    <w:rsid w:val="005A7AFD"/>
    <w:rsid w:val="005C26BE"/>
    <w:rsid w:val="005C3672"/>
    <w:rsid w:val="005D4685"/>
    <w:rsid w:val="005F416A"/>
    <w:rsid w:val="005F6864"/>
    <w:rsid w:val="006036E9"/>
    <w:rsid w:val="0061087C"/>
    <w:rsid w:val="0061560A"/>
    <w:rsid w:val="00624015"/>
    <w:rsid w:val="00625EFE"/>
    <w:rsid w:val="00630C51"/>
    <w:rsid w:val="00633EE7"/>
    <w:rsid w:val="006369AF"/>
    <w:rsid w:val="00640A06"/>
    <w:rsid w:val="0064302B"/>
    <w:rsid w:val="00662450"/>
    <w:rsid w:val="00672585"/>
    <w:rsid w:val="006747FA"/>
    <w:rsid w:val="0068429F"/>
    <w:rsid w:val="00687F33"/>
    <w:rsid w:val="00696175"/>
    <w:rsid w:val="00697CCB"/>
    <w:rsid w:val="006A657C"/>
    <w:rsid w:val="006C1BC1"/>
    <w:rsid w:val="006C2D29"/>
    <w:rsid w:val="006C4203"/>
    <w:rsid w:val="006D0D35"/>
    <w:rsid w:val="006D64C7"/>
    <w:rsid w:val="006E1732"/>
    <w:rsid w:val="00701546"/>
    <w:rsid w:val="00713135"/>
    <w:rsid w:val="00722B7F"/>
    <w:rsid w:val="00724712"/>
    <w:rsid w:val="00727230"/>
    <w:rsid w:val="00730153"/>
    <w:rsid w:val="00737BE8"/>
    <w:rsid w:val="00767CC7"/>
    <w:rsid w:val="00774A6A"/>
    <w:rsid w:val="0077554C"/>
    <w:rsid w:val="00776900"/>
    <w:rsid w:val="007812B9"/>
    <w:rsid w:val="00783F4A"/>
    <w:rsid w:val="0078623E"/>
    <w:rsid w:val="00793072"/>
    <w:rsid w:val="007935A3"/>
    <w:rsid w:val="007A6068"/>
    <w:rsid w:val="007A7675"/>
    <w:rsid w:val="007B17B6"/>
    <w:rsid w:val="007B48D1"/>
    <w:rsid w:val="007B69F4"/>
    <w:rsid w:val="007C1274"/>
    <w:rsid w:val="007C237B"/>
    <w:rsid w:val="007C4449"/>
    <w:rsid w:val="007E0148"/>
    <w:rsid w:val="007E4BC5"/>
    <w:rsid w:val="00804CFD"/>
    <w:rsid w:val="00810ED2"/>
    <w:rsid w:val="008140A4"/>
    <w:rsid w:val="00814B56"/>
    <w:rsid w:val="00816F53"/>
    <w:rsid w:val="00830A50"/>
    <w:rsid w:val="00833506"/>
    <w:rsid w:val="00843640"/>
    <w:rsid w:val="00852E2A"/>
    <w:rsid w:val="00864E64"/>
    <w:rsid w:val="00871DF6"/>
    <w:rsid w:val="00873974"/>
    <w:rsid w:val="0089262F"/>
    <w:rsid w:val="008A3915"/>
    <w:rsid w:val="008B34EE"/>
    <w:rsid w:val="008B5627"/>
    <w:rsid w:val="008B6C7C"/>
    <w:rsid w:val="008C1861"/>
    <w:rsid w:val="008C2FA2"/>
    <w:rsid w:val="008C3AD0"/>
    <w:rsid w:val="008D43BD"/>
    <w:rsid w:val="008F789E"/>
    <w:rsid w:val="00904D7C"/>
    <w:rsid w:val="009100D4"/>
    <w:rsid w:val="0091019A"/>
    <w:rsid w:val="0091083B"/>
    <w:rsid w:val="009354C3"/>
    <w:rsid w:val="00960BD6"/>
    <w:rsid w:val="0096225B"/>
    <w:rsid w:val="0096487E"/>
    <w:rsid w:val="00976696"/>
    <w:rsid w:val="00982CC8"/>
    <w:rsid w:val="009840AE"/>
    <w:rsid w:val="00993BF3"/>
    <w:rsid w:val="009A2701"/>
    <w:rsid w:val="009A34C9"/>
    <w:rsid w:val="009A63FA"/>
    <w:rsid w:val="009C5604"/>
    <w:rsid w:val="009C5E62"/>
    <w:rsid w:val="009C6E83"/>
    <w:rsid w:val="009D1B8E"/>
    <w:rsid w:val="009D4930"/>
    <w:rsid w:val="009E10F6"/>
    <w:rsid w:val="009E11B9"/>
    <w:rsid w:val="009E382D"/>
    <w:rsid w:val="009F1D0B"/>
    <w:rsid w:val="00A0173A"/>
    <w:rsid w:val="00A02533"/>
    <w:rsid w:val="00A1081F"/>
    <w:rsid w:val="00A14A8E"/>
    <w:rsid w:val="00A17413"/>
    <w:rsid w:val="00A2262F"/>
    <w:rsid w:val="00A30A7B"/>
    <w:rsid w:val="00A33FBF"/>
    <w:rsid w:val="00A42C39"/>
    <w:rsid w:val="00A446E0"/>
    <w:rsid w:val="00A450AE"/>
    <w:rsid w:val="00A7154C"/>
    <w:rsid w:val="00A80817"/>
    <w:rsid w:val="00A870E4"/>
    <w:rsid w:val="00A93E5C"/>
    <w:rsid w:val="00AA150C"/>
    <w:rsid w:val="00AA2CB6"/>
    <w:rsid w:val="00AC0A26"/>
    <w:rsid w:val="00AC7BA1"/>
    <w:rsid w:val="00AD3910"/>
    <w:rsid w:val="00AE0654"/>
    <w:rsid w:val="00AE4B4E"/>
    <w:rsid w:val="00AE7FEE"/>
    <w:rsid w:val="00AF3D5F"/>
    <w:rsid w:val="00AF4618"/>
    <w:rsid w:val="00B001AD"/>
    <w:rsid w:val="00B006FA"/>
    <w:rsid w:val="00B31847"/>
    <w:rsid w:val="00B3291F"/>
    <w:rsid w:val="00B632AA"/>
    <w:rsid w:val="00B642EF"/>
    <w:rsid w:val="00B77362"/>
    <w:rsid w:val="00B82330"/>
    <w:rsid w:val="00B8781C"/>
    <w:rsid w:val="00B90519"/>
    <w:rsid w:val="00B9658F"/>
    <w:rsid w:val="00B9772E"/>
    <w:rsid w:val="00BB27A0"/>
    <w:rsid w:val="00BB3C8B"/>
    <w:rsid w:val="00BB5718"/>
    <w:rsid w:val="00BC0265"/>
    <w:rsid w:val="00BC385D"/>
    <w:rsid w:val="00BD257F"/>
    <w:rsid w:val="00BE1569"/>
    <w:rsid w:val="00BE3967"/>
    <w:rsid w:val="00BE6B15"/>
    <w:rsid w:val="00BE6C1C"/>
    <w:rsid w:val="00BF1308"/>
    <w:rsid w:val="00BF1BAE"/>
    <w:rsid w:val="00BF1F18"/>
    <w:rsid w:val="00C055E7"/>
    <w:rsid w:val="00C0637B"/>
    <w:rsid w:val="00C07799"/>
    <w:rsid w:val="00C113EB"/>
    <w:rsid w:val="00C24139"/>
    <w:rsid w:val="00C3667B"/>
    <w:rsid w:val="00C67FD4"/>
    <w:rsid w:val="00C9169C"/>
    <w:rsid w:val="00C9777D"/>
    <w:rsid w:val="00CA10E8"/>
    <w:rsid w:val="00CB6F85"/>
    <w:rsid w:val="00CD2301"/>
    <w:rsid w:val="00CD4B7E"/>
    <w:rsid w:val="00CD54C4"/>
    <w:rsid w:val="00CE5095"/>
    <w:rsid w:val="00CE616D"/>
    <w:rsid w:val="00CF3A37"/>
    <w:rsid w:val="00CF555A"/>
    <w:rsid w:val="00D02651"/>
    <w:rsid w:val="00D12362"/>
    <w:rsid w:val="00D1237B"/>
    <w:rsid w:val="00D174FE"/>
    <w:rsid w:val="00D2628F"/>
    <w:rsid w:val="00D27CFE"/>
    <w:rsid w:val="00D3457E"/>
    <w:rsid w:val="00D379BE"/>
    <w:rsid w:val="00D60E19"/>
    <w:rsid w:val="00D70093"/>
    <w:rsid w:val="00D80F7B"/>
    <w:rsid w:val="00D9249D"/>
    <w:rsid w:val="00DA008B"/>
    <w:rsid w:val="00DB0C73"/>
    <w:rsid w:val="00DB4A66"/>
    <w:rsid w:val="00DD66A7"/>
    <w:rsid w:val="00DE1CDB"/>
    <w:rsid w:val="00DF2D72"/>
    <w:rsid w:val="00E07E6F"/>
    <w:rsid w:val="00E13F38"/>
    <w:rsid w:val="00E14237"/>
    <w:rsid w:val="00E168FF"/>
    <w:rsid w:val="00E409F3"/>
    <w:rsid w:val="00E4721A"/>
    <w:rsid w:val="00E60BA7"/>
    <w:rsid w:val="00E6518A"/>
    <w:rsid w:val="00E90C8F"/>
    <w:rsid w:val="00E90D16"/>
    <w:rsid w:val="00E92F30"/>
    <w:rsid w:val="00EB28E1"/>
    <w:rsid w:val="00ED05DE"/>
    <w:rsid w:val="00ED2AA0"/>
    <w:rsid w:val="00ED3BF6"/>
    <w:rsid w:val="00EE5C28"/>
    <w:rsid w:val="00EF1620"/>
    <w:rsid w:val="00EF79C3"/>
    <w:rsid w:val="00F017E6"/>
    <w:rsid w:val="00F01C2D"/>
    <w:rsid w:val="00F1600D"/>
    <w:rsid w:val="00F174C2"/>
    <w:rsid w:val="00F27335"/>
    <w:rsid w:val="00F3375C"/>
    <w:rsid w:val="00F366E8"/>
    <w:rsid w:val="00F37AE4"/>
    <w:rsid w:val="00F438C7"/>
    <w:rsid w:val="00F4591F"/>
    <w:rsid w:val="00F45F06"/>
    <w:rsid w:val="00F51D9B"/>
    <w:rsid w:val="00F56015"/>
    <w:rsid w:val="00F6594E"/>
    <w:rsid w:val="00F847D2"/>
    <w:rsid w:val="00FA5CFA"/>
    <w:rsid w:val="00FA5E08"/>
    <w:rsid w:val="00FC5A74"/>
    <w:rsid w:val="00FD671C"/>
    <w:rsid w:val="00FE1B17"/>
    <w:rsid w:val="00FF11CE"/>
    <w:rsid w:val="00FF4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E2A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633EE7"/>
    <w:pPr>
      <w:keepNext/>
      <w:keepLines/>
      <w:numPr>
        <w:numId w:val="10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cs="Arial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8C3AD0"/>
    <w:pPr>
      <w:keepNext/>
      <w:numPr>
        <w:ilvl w:val="1"/>
        <w:numId w:val="10"/>
      </w:numPr>
      <w:spacing w:before="240" w:after="60"/>
      <w:outlineLvl w:val="1"/>
    </w:pPr>
    <w:rPr>
      <w:bCs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9658F"/>
    <w:pPr>
      <w:keepNext/>
      <w:numPr>
        <w:ilvl w:val="2"/>
        <w:numId w:val="10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9658F"/>
    <w:pPr>
      <w:keepNext/>
      <w:numPr>
        <w:ilvl w:val="3"/>
        <w:numId w:val="10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9658F"/>
    <w:pPr>
      <w:numPr>
        <w:ilvl w:val="4"/>
        <w:numId w:val="1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9658F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9658F"/>
    <w:pPr>
      <w:numPr>
        <w:ilvl w:val="6"/>
        <w:numId w:val="10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9658F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9658F"/>
    <w:pPr>
      <w:numPr>
        <w:ilvl w:val="8"/>
        <w:numId w:val="10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864E64"/>
    <w:rPr>
      <w:sz w:val="16"/>
      <w:szCs w:val="16"/>
    </w:rPr>
  </w:style>
  <w:style w:type="paragraph" w:styleId="CommentText">
    <w:name w:val="annotation text"/>
    <w:basedOn w:val="Normal"/>
    <w:semiHidden/>
    <w:rsid w:val="00864E6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4E64"/>
    <w:rPr>
      <w:b/>
      <w:bCs/>
    </w:rPr>
  </w:style>
  <w:style w:type="paragraph" w:styleId="BalloonText">
    <w:name w:val="Balloon Text"/>
    <w:basedOn w:val="Normal"/>
    <w:semiHidden/>
    <w:rsid w:val="00864E6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6D0D3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noteText">
    <w:name w:val="footnote text"/>
    <w:basedOn w:val="Normal"/>
    <w:semiHidden/>
    <w:rsid w:val="0066245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62450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C3AD0"/>
    <w:rPr>
      <w:rFonts w:ascii="Arial" w:hAnsi="Arial"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B9658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B9658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9658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9658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9658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9658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9658F"/>
    <w:rPr>
      <w:rFonts w:ascii="Cambria" w:eastAsia="Times New Roman" w:hAnsi="Cambria" w:cs="Times New Roman"/>
      <w:sz w:val="22"/>
      <w:szCs w:val="22"/>
    </w:rPr>
  </w:style>
  <w:style w:type="paragraph" w:styleId="Caption">
    <w:name w:val="caption"/>
    <w:basedOn w:val="Normal"/>
    <w:next w:val="Normal"/>
    <w:unhideWhenUsed/>
    <w:qFormat/>
    <w:rsid w:val="00D379BE"/>
    <w:pPr>
      <w:autoSpaceDE/>
      <w:autoSpaceDN/>
      <w:adjustRightInd/>
    </w:pPr>
    <w:rPr>
      <w:rFonts w:ascii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C7EDB"/>
    <w:pPr>
      <w:autoSpaceDE/>
      <w:autoSpaceDN/>
      <w:adjustRightInd/>
      <w:ind w:left="720"/>
    </w:pPr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41E70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8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2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6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27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5F9A0-ADC7-4DFD-B349-0543C55A6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Communicatios Corporation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considerations of power limit for secondary carrier in DC-HSUPA</dc:title>
  <dc:subject>Dual Cell HSUPA</dc:subject>
  <dc:creator>InterDigital</dc:creator>
  <cp:keywords/>
  <dc:description/>
  <cp:lastModifiedBy>Joseph Levy</cp:lastModifiedBy>
  <cp:revision>4</cp:revision>
  <cp:lastPrinted>2009-08-11T15:49:00Z</cp:lastPrinted>
  <dcterms:created xsi:type="dcterms:W3CDTF">2009-08-17T15:01:00Z</dcterms:created>
  <dcterms:modified xsi:type="dcterms:W3CDTF">2009-08-18T15:40:00Z</dcterms:modified>
</cp:coreProperties>
</file>