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0262B">
      <w:pPr>
        <w:widowControl w:val="0"/>
        <w:tabs>
          <w:tab w:val="right" w:pos="10206"/>
        </w:tabs>
        <w:spacing w:after="0" w:afterAutospacing="0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0" w:name="OLE_LINK3"/>
      <w:bookmarkStart w:id="6" w:name="_GoBack"/>
      <w:bookmarkEnd w:id="6"/>
      <w:r>
        <w:rPr>
          <w:rFonts w:ascii="Arial" w:hAnsi="Arial" w:eastAsia="MS Mincho" w:cs="Arial"/>
          <w:b/>
          <w:sz w:val="28"/>
          <w:szCs w:val="28"/>
          <w:lang w:val="en-US"/>
        </w:rPr>
        <w:t>3GPP TSG RAN WG1 #11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 xml:space="preserve">9    </w:t>
      </w:r>
      <w:r>
        <w:rPr>
          <w:rFonts w:ascii="Arial" w:hAnsi="Arial" w:eastAsia="MS Mincho" w:cs="Arial"/>
          <w:b/>
          <w:sz w:val="28"/>
          <w:szCs w:val="28"/>
          <w:lang w:val="en-US"/>
        </w:rPr>
        <w:t xml:space="preserve">                               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R1-2410418</w:t>
      </w:r>
    </w:p>
    <w:p w14:paraId="4F8DA8BE">
      <w:pPr>
        <w:pStyle w:val="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hint="eastAsia" w:cs="Arial"/>
          <w:sz w:val="28"/>
          <w:szCs w:val="28"/>
          <w:lang w:val="en-US"/>
        </w:rPr>
        <w:t>Orlando, US, November 18th – 22nd, 2024</w:t>
      </w:r>
    </w:p>
    <w:p w14:paraId="3A0D48E2">
      <w:pPr>
        <w:widowControl w:val="0"/>
        <w:tabs>
          <w:tab w:val="right" w:pos="10206"/>
        </w:tabs>
        <w:spacing w:afterAutospacing="0"/>
        <w:rPr>
          <w:rFonts w:eastAsia="宋体"/>
          <w:b/>
          <w:sz w:val="28"/>
          <w:szCs w:val="28"/>
          <w:lang w:val="en-US" w:eastAsia="zh-CN"/>
        </w:rPr>
      </w:pPr>
    </w:p>
    <w:bookmarkEnd w:id="0"/>
    <w:p w14:paraId="05779D78">
      <w:pPr>
        <w:tabs>
          <w:tab w:val="left" w:pos="1985"/>
        </w:tabs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1" w:name="_Ref133120545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S</w:t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harp</w:t>
      </w:r>
    </w:p>
    <w:p w14:paraId="07695D5C">
      <w:pPr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Discussion on downlink and uplink channel/signal aspects</w:t>
      </w:r>
    </w:p>
    <w:p w14:paraId="39B6DFC0">
      <w:pPr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9.4.2.3</w:t>
      </w:r>
    </w:p>
    <w:p w14:paraId="368C727E">
      <w:pPr>
        <w:pBdr>
          <w:bottom w:val="single" w:color="auto" w:sz="12" w:space="1"/>
        </w:pBdr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16BED70E">
      <w:pPr>
        <w:pStyle w:val="2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08B88394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new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</w:t>
      </w:r>
      <w:r>
        <w:rPr>
          <w:rFonts w:eastAsia="宋体"/>
          <w:lang w:eastAsia="zh-CN"/>
        </w:rPr>
        <w:t xml:space="preserve"> item on</w:t>
      </w:r>
      <w:r>
        <w:rPr>
          <w:rFonts w:hint="eastAsia" w:eastAsia="宋体"/>
          <w:lang w:val="en-US" w:eastAsia="zh-CN"/>
        </w:rPr>
        <w:t xml:space="preserve"> solutions for</w:t>
      </w:r>
      <w:r>
        <w:rPr>
          <w:rFonts w:eastAsia="宋体"/>
          <w:lang w:eastAsia="zh-CN"/>
        </w:rPr>
        <w:t xml:space="preserve"> Ambient IoT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for Rel-19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hint="eastAsia" w:eastAsia="宋体"/>
          <w:lang w:val="en-US" w:eastAsia="zh-CN"/>
        </w:rPr>
        <w:t>RAN#102, with objectives including the following</w:t>
      </w:r>
      <w:r>
        <w:rPr>
          <w:rFonts w:eastAsia="宋体"/>
          <w:lang w:val="en-US" w:eastAsia="zh-CN"/>
        </w:rPr>
        <w:t>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659BD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6266620C">
            <w:pPr>
              <w:numPr>
                <w:ilvl w:val="0"/>
                <w:numId w:val="4"/>
              </w:numPr>
              <w:spacing w:after="60" w:afterAutospacing="0"/>
              <w:ind w:right="-96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RAN1-led:</w:t>
            </w:r>
          </w:p>
          <w:p w14:paraId="637D2D96">
            <w:pPr>
              <w:spacing w:after="60" w:afterAutospacing="0"/>
              <w:ind w:right="-96" w:firstLine="720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For the Ambient IoT DL and UL:</w:t>
            </w:r>
          </w:p>
          <w:p w14:paraId="3F3253CB">
            <w:pPr>
              <w:numPr>
                <w:ilvl w:val="1"/>
                <w:numId w:val="4"/>
              </w:numPr>
              <w:spacing w:after="60" w:afterAutospacing="0"/>
              <w:ind w:right="-96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 w:eastAsia="zh-CN"/>
              </w:rPr>
              <w:t>[...]</w:t>
            </w:r>
          </w:p>
          <w:p w14:paraId="59D9F24D">
            <w:pPr>
              <w:numPr>
                <w:ilvl w:val="1"/>
                <w:numId w:val="4"/>
              </w:numPr>
              <w:spacing w:after="60" w:afterAutospacing="0"/>
              <w:ind w:right="-96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Downlink channel/signal aspects</w:t>
            </w:r>
          </w:p>
          <w:p w14:paraId="4C059BB6">
            <w:pPr>
              <w:numPr>
                <w:ilvl w:val="1"/>
                <w:numId w:val="4"/>
              </w:numPr>
              <w:spacing w:after="60" w:afterAutospacing="0"/>
              <w:ind w:right="-96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Uplink channel/signal aspects</w:t>
            </w:r>
          </w:p>
          <w:p w14:paraId="20EA4A54">
            <w:pPr>
              <w:numPr>
                <w:ilvl w:val="1"/>
                <w:numId w:val="4"/>
              </w:numPr>
              <w:spacing w:after="60" w:afterAutospacing="0"/>
              <w:ind w:right="-96"/>
              <w:rPr>
                <w:rFonts w:eastAsia="MS Mincho"/>
                <w:lang w:val="en-US" w:eastAsia="ko-KR"/>
              </w:rPr>
            </w:pPr>
            <w:r>
              <w:rPr>
                <w:rFonts w:hint="eastAsia" w:eastAsia="宋体"/>
                <w:sz w:val="22"/>
                <w:szCs w:val="18"/>
                <w:lang w:val="en-US" w:eastAsia="zh-CN"/>
              </w:rPr>
              <w:t>[...]</w:t>
            </w:r>
          </w:p>
        </w:tc>
      </w:tr>
    </w:tbl>
    <w:p w14:paraId="524B1E48">
      <w:pPr>
        <w:spacing w:before="100" w:beforeAutospacing="1"/>
        <w:rPr>
          <w:rFonts w:eastAsia="宋体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hint="eastAsia" w:eastAsia="宋体"/>
          <w:lang w:val="en-US" w:eastAsia="zh-CN"/>
        </w:rPr>
        <w:t xml:space="preserve">share </w:t>
      </w:r>
      <w:r>
        <w:rPr>
          <w:rFonts w:eastAsia="宋体"/>
          <w:lang w:val="en-US" w:eastAsia="zh-CN"/>
        </w:rPr>
        <w:t>our views on some</w:t>
      </w:r>
      <w:r>
        <w:rPr>
          <w:rFonts w:hint="eastAsia" w:eastAsia="宋体"/>
          <w:lang w:val="en-US" w:eastAsia="zh-CN"/>
        </w:rPr>
        <w:t xml:space="preserve"> aspects related to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R2D (</w:t>
      </w:r>
      <w:r>
        <w:rPr>
          <w:rFonts w:eastAsia="宋体"/>
          <w:lang w:val="en-US" w:eastAsia="zh-CN"/>
        </w:rPr>
        <w:t>“downlink”</w:t>
      </w:r>
      <w:r>
        <w:rPr>
          <w:rFonts w:hint="eastAsia"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and </w:t>
      </w:r>
      <w:r>
        <w:rPr>
          <w:rFonts w:hint="eastAsia" w:eastAsia="宋体"/>
          <w:lang w:val="en-US" w:eastAsia="zh-CN"/>
        </w:rPr>
        <w:t>D2R (</w:t>
      </w:r>
      <w:r>
        <w:rPr>
          <w:rFonts w:eastAsia="宋体"/>
          <w:lang w:val="en-US" w:eastAsia="zh-CN"/>
        </w:rPr>
        <w:t>“uplink”</w:t>
      </w:r>
      <w:r>
        <w:rPr>
          <w:rFonts w:hint="eastAsia"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channel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/signal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</w:p>
    <w:p w14:paraId="334201A8">
      <w:pPr>
        <w:pStyle w:val="2"/>
        <w:spacing w:after="180"/>
        <w:rPr>
          <w:lang w:val="en-US"/>
        </w:rPr>
      </w:pPr>
      <w:r>
        <w:rPr>
          <w:lang w:val="en-US"/>
        </w:rPr>
        <w:t>Discussion</w:t>
      </w:r>
    </w:p>
    <w:p w14:paraId="5BBDDB95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R2D (Reader-to-device)</w:t>
      </w:r>
    </w:p>
    <w:p w14:paraId="21C2F2C0">
      <w:pPr>
        <w:pStyle w:val="4"/>
        <w:spacing w:after="180"/>
        <w:rPr>
          <w:rFonts w:eastAsia="宋体"/>
          <w:sz w:val="24"/>
          <w:szCs w:val="24"/>
          <w:lang w:val="en-US" w:eastAsia="zh-CN"/>
        </w:rPr>
      </w:pPr>
      <w:r>
        <w:rPr>
          <w:rFonts w:eastAsia="Malgun Gothic"/>
          <w:sz w:val="24"/>
          <w:szCs w:val="24"/>
          <w:lang w:eastAsia="zh-CN"/>
        </w:rPr>
        <w:t xml:space="preserve">R2D </w:t>
      </w:r>
      <w:r>
        <w:rPr>
          <w:rFonts w:hint="eastAsia" w:eastAsia="Malgun Gothic"/>
          <w:sz w:val="24"/>
          <w:szCs w:val="24"/>
          <w:lang w:val="en-US" w:eastAsia="zh-CN"/>
        </w:rPr>
        <w:t>preamble</w:t>
      </w:r>
    </w:p>
    <w:p w14:paraId="6A1E8474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past few RAN1 meetings there had been quite some discussions on whether and how to support frequency synchronization for Device 2b. The following was proposed by the FL in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_Ref5425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in RAN1#118-bis,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7772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179410F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2.1.2-2</w:t>
            </w:r>
          </w:p>
          <w:p w14:paraId="0FBCF585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RAN1 to study the feasibility of frequency synchronization for device 2b only and considers following design options:</w:t>
            </w:r>
          </w:p>
          <w:p w14:paraId="2ECE16C8">
            <w:pPr>
              <w:pStyle w:val="13"/>
              <w:numPr>
                <w:ilvl w:val="0"/>
                <w:numId w:val="5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Option 1: Clock-acquisition part is also used for frequency synchronization</w:t>
            </w:r>
          </w:p>
          <w:p w14:paraId="62EFE7CD">
            <w:pPr>
              <w:pStyle w:val="13"/>
              <w:numPr>
                <w:ilvl w:val="0"/>
                <w:numId w:val="5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Option 2: Additional part, i.e. frequency synchronization part (in addition to start-indicator part and clock-acquisition part) is introduced </w:t>
            </w:r>
          </w:p>
          <w:p w14:paraId="6D09CF47">
            <w:pPr>
              <w:spacing w:after="240" w:afterAutospacing="0"/>
            </w:pPr>
            <w:r>
              <w:rPr>
                <w:color w:val="000000"/>
              </w:rPr>
              <w:t>Note: Device 1 and device 2a are not expected to support frequency synchronization</w:t>
            </w:r>
          </w:p>
        </w:tc>
      </w:tr>
    </w:tbl>
    <w:p w14:paraId="7D5CC1BB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We have concerns on Option 1 above which may impose additional complexity (which is totally unnecessary for Device 1 and 2a and possibly Device 2b with RF ED) on the design of the clock-acquisition part. We prefer to only consider to study the feasibility of f</w:t>
      </w:r>
      <w:r>
        <w:rPr>
          <w:color w:val="000000"/>
        </w:rPr>
        <w:t>requency synchronization for device 2b</w:t>
      </w:r>
      <w:r>
        <w:rPr>
          <w:rFonts w:hint="eastAsia" w:eastAsia="宋体"/>
          <w:color w:val="000000"/>
          <w:lang w:val="en-US" w:eastAsia="zh-CN"/>
        </w:rPr>
        <w:t xml:space="preserve"> following the direction of Option 2.</w:t>
      </w:r>
    </w:p>
    <w:p w14:paraId="00ABEA80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Channel/signal to support R2D frequency synchronization, if any, is not located in the clock-acquisition part of the R2D preamble.</w:t>
      </w:r>
    </w:p>
    <w:p w14:paraId="76340087">
      <w:pPr>
        <w:pStyle w:val="4"/>
        <w:spacing w:after="180"/>
        <w:rPr>
          <w:rFonts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PRDCH design details</w:t>
      </w:r>
    </w:p>
    <w:p w14:paraId="1539EC36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FL proposal was discussed in RAN1#118,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61B7E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61DE7DF6">
            <w:pPr>
              <w:rPr>
                <w:b/>
                <w:bCs/>
              </w:rPr>
            </w:pPr>
            <w:r>
              <w:rPr>
                <w:b/>
                <w:bCs/>
              </w:rPr>
              <w:t>Proposal 2.1.3-3</w:t>
            </w:r>
          </w:p>
          <w:p w14:paraId="264455D8">
            <w:pPr>
              <w:spacing w:after="0"/>
            </w:pPr>
            <w:r>
              <w:t xml:space="preserve">For R2D transmissions, study the need and feasibility to support different PRDCH formats </w:t>
            </w:r>
          </w:p>
          <w:p w14:paraId="7DF21722">
            <w:pPr>
              <w:pStyle w:val="13"/>
              <w:numPr>
                <w:ilvl w:val="0"/>
                <w:numId w:val="5"/>
              </w:numPr>
            </w:pPr>
            <w:r>
              <w:t>Different PRDCH formats may correspond to whether that PRDCH transmits data only, data and control, etc.</w:t>
            </w:r>
          </w:p>
        </w:tc>
      </w:tr>
    </w:tbl>
    <w:p w14:paraId="002380CC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We don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t see a strong need for supporting different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PRDCH formats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, especially when considering proposals on the table e.g. for using different PRDCH formats just for differentiating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data only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data and control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etc. Presence of e.g. higher layer data can be simply indicated in the control information.</w:t>
      </w:r>
    </w:p>
    <w:p w14:paraId="3A3F37FD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R2D transmissions, support a single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PRDCH format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</w:t>
      </w:r>
    </w:p>
    <w:p w14:paraId="485935C4">
      <w:pPr>
        <w:pStyle w:val="4"/>
        <w:spacing w:after="180"/>
        <w:rPr>
          <w:rFonts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R2D control information</w:t>
      </w:r>
    </w:p>
    <w:p w14:paraId="30AC85F5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was agreed in RAN1#118-bis,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795D0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13AF6CAE">
            <w:pPr>
              <w:numPr>
                <w:ilvl w:val="255"/>
                <w:numId w:val="0"/>
              </w:numPr>
              <w:snapToGrid/>
              <w:spacing w:after="0" w:afterAutospacing="0"/>
              <w:rPr>
                <w:rFonts w:eastAsia="Malgun Gothic"/>
                <w:bCs/>
                <w:lang w:eastAsia="zh-CN"/>
              </w:rPr>
            </w:pPr>
            <w:r>
              <w:rPr>
                <w:rFonts w:eastAsia="Malgun Gothic"/>
                <w:b/>
                <w:bCs/>
                <w:szCs w:val="24"/>
                <w:highlight w:val="green"/>
                <w:lang w:val="en-US" w:eastAsia="zh-CN"/>
              </w:rPr>
              <w:t>Agreement</w:t>
            </w:r>
          </w:p>
          <w:p w14:paraId="4F10524D">
            <w:pPr>
              <w:adjustRightInd w:val="0"/>
              <w:spacing w:after="120" w:afterAutospacing="0"/>
              <w:rPr>
                <w:rFonts w:eastAsia="Malgun Gothic"/>
                <w:bCs/>
                <w:lang w:eastAsia="zh-CN"/>
              </w:rPr>
            </w:pPr>
            <w:r>
              <w:rPr>
                <w:rFonts w:eastAsia="Malgun Gothic"/>
                <w:bCs/>
                <w:lang w:eastAsia="zh-CN"/>
              </w:rPr>
              <w:t xml:space="preserve">Regarding small frequency </w:t>
            </w:r>
            <w:r>
              <w:rPr>
                <w:bCs/>
                <w:lang w:val="en-US" w:eastAsia="zh-CN"/>
              </w:rPr>
              <w:t xml:space="preserve">shift </w:t>
            </w:r>
            <w:r>
              <w:rPr>
                <w:rFonts w:eastAsia="Malgun Gothic"/>
                <w:bCs/>
                <w:lang w:eastAsia="zh-CN"/>
              </w:rPr>
              <w:t>factor, capture in the TR that:</w:t>
            </w:r>
          </w:p>
          <w:p w14:paraId="6D2F2B9B">
            <w:pPr>
              <w:numPr>
                <w:ilvl w:val="0"/>
                <w:numId w:val="7"/>
              </w:numPr>
              <w:spacing w:after="120" w:afterAutospacing="0"/>
              <w:ind w:left="363" w:hanging="363"/>
              <w:rPr>
                <w:rFonts w:eastAsia="Calibri"/>
              </w:rPr>
            </w:pPr>
            <w:r>
              <w:rPr>
                <w:rFonts w:eastAsia="Calibri"/>
              </w:rPr>
              <w:t xml:space="preserve">For study purposes </w:t>
            </w:r>
          </w:p>
          <w:p w14:paraId="4CEABB33">
            <w:pPr>
              <w:numPr>
                <w:ilvl w:val="1"/>
                <w:numId w:val="7"/>
              </w:numPr>
              <w:rPr>
                <w:rFonts w:eastAsia="Calibri"/>
              </w:rPr>
            </w:pPr>
            <w:r>
              <w:rPr>
                <w:rFonts w:eastAsia="Calibri"/>
              </w:rPr>
              <w:t>For BPSK and OOK, the small-frequency-shift factor is defined as the ratio of bit length to two times the chip length</w:t>
            </w:r>
          </w:p>
          <w:p w14:paraId="507367F9">
            <w:pPr>
              <w:numPr>
                <w:ilvl w:val="1"/>
                <w:numId w:val="7"/>
              </w:numPr>
              <w:rPr>
                <w:rFonts w:eastAsia="Calibri"/>
              </w:rPr>
            </w:pPr>
            <w:r>
              <w:rPr>
                <w:rFonts w:eastAsia="Calibri"/>
              </w:rPr>
              <w:t>The value of small-frequency-shift factor depends on details of design, which according to proposals considered could be e.g.</w:t>
            </w:r>
          </w:p>
          <w:p w14:paraId="1736DB31">
            <w:pPr>
              <w:numPr>
                <w:ilvl w:val="2"/>
                <w:numId w:val="7"/>
              </w:numPr>
              <w:rPr>
                <w:rFonts w:eastAsia="Calibri"/>
              </w:rPr>
            </w:pPr>
            <w:r>
              <w:rPr>
                <w:rFonts w:eastAsia="Calibri"/>
              </w:rPr>
              <w:t>The repetition number of Manchester codeword within one information bit duration</w:t>
            </w:r>
          </w:p>
          <w:p w14:paraId="7CA6DF6D">
            <w:pPr>
              <w:numPr>
                <w:ilvl w:val="2"/>
                <w:numId w:val="7"/>
              </w:numPr>
              <w:rPr>
                <w:rFonts w:eastAsia="Calibri"/>
              </w:rPr>
            </w:pPr>
            <w:r>
              <w:rPr>
                <w:rFonts w:eastAsia="Calibri"/>
              </w:rPr>
              <w:t>The M value of Miller in Figure 6-12 of UHF RFID standard</w:t>
            </w:r>
          </w:p>
          <w:p w14:paraId="3F3AB03F">
            <w:pPr>
              <w:numPr>
                <w:ilvl w:val="2"/>
                <w:numId w:val="7"/>
              </w:numPr>
              <w:rPr>
                <w:rFonts w:hint="eastAsia" w:eastAsia="Calibri"/>
              </w:rPr>
            </w:pPr>
            <w:r>
              <w:rPr>
                <w:rFonts w:eastAsia="Calibri"/>
              </w:rPr>
              <w:t>The number of square-wave periods within one information bit duration</w:t>
            </w:r>
          </w:p>
        </w:tc>
      </w:tr>
    </w:tbl>
    <w:p w14:paraId="07E0FCDC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We think the small frequency shift factor should be additionally included in the R2D control information, for the purpose of scheduling D2R transmissions.</w:t>
      </w:r>
    </w:p>
    <w:p w14:paraId="3523D278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scheduling D2R transmissions, small frequency shift factor is included in R2D control information.</w:t>
      </w:r>
    </w:p>
    <w:p w14:paraId="3B95B5FC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D2R (Device-to-reader)</w:t>
      </w:r>
    </w:p>
    <w:p w14:paraId="38555CD6">
      <w:pPr>
        <w:pStyle w:val="4"/>
        <w:spacing w:after="180"/>
        <w:rPr>
          <w:rFonts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D2R control information</w:t>
      </w:r>
    </w:p>
    <w:p w14:paraId="1D084A61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FL proposal was discussed in RAN1#118,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2C10B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53677BA8">
            <w:pPr>
              <w:rPr>
                <w:b/>
                <w:bCs/>
              </w:rPr>
            </w:pPr>
            <w:r>
              <w:rPr>
                <w:b/>
                <w:bCs/>
              </w:rPr>
              <w:t>Proposal 2.2.2-1A</w:t>
            </w:r>
          </w:p>
          <w:p w14:paraId="3AA5D7D6">
            <w:pPr>
              <w:spacing w:after="0"/>
            </w:pPr>
            <w:r>
              <w:t xml:space="preserve">For D2R, ACK/NACK feedback for PRDCH is studied </w:t>
            </w:r>
          </w:p>
          <w:p w14:paraId="008443B1">
            <w:pPr>
              <w:pStyle w:val="13"/>
              <w:numPr>
                <w:ilvl w:val="0"/>
                <w:numId w:val="8"/>
              </w:numPr>
              <w:spacing w:after="0"/>
            </w:pPr>
            <w:r>
              <w:t>FFS: How the ACK/NACK feedback is multiplexed on PDRCH</w:t>
            </w:r>
          </w:p>
          <w:p w14:paraId="0F0607E6">
            <w:r>
              <w:t>Please note that this doesn’t imply the support of HARQ operation</w:t>
            </w:r>
          </w:p>
        </w:tc>
      </w:tr>
    </w:tbl>
    <w:p w14:paraId="287A57DB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ACK/NACK feedback for R2D transmissions, we prefer to a higher layer solution, which in our view is simpler in terms of device implementations. In fact, other WGs are also discussing whether/how to support ACK/NACK feedback for R2D transmissions at higher layers. At least we see no strong technical motivation for A-IoT to support the feature at both physical layer and higher layers.</w:t>
      </w:r>
    </w:p>
    <w:p w14:paraId="7091457C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ACK/NACK feedback for R2D transmissions, down-select from one of the following options:</w:t>
      </w:r>
    </w:p>
    <w:p w14:paraId="12C71B4C">
      <w:pPr>
        <w:widowControl w:val="0"/>
        <w:numPr>
          <w:ilvl w:val="0"/>
          <w:numId w:val="9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1: no ACK/NACK feedback.</w:t>
      </w:r>
    </w:p>
    <w:p w14:paraId="3C48AE34">
      <w:pPr>
        <w:widowControl w:val="0"/>
        <w:numPr>
          <w:ilvl w:val="0"/>
          <w:numId w:val="9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2: ACK/NACK feedback at physical layer.</w:t>
      </w:r>
    </w:p>
    <w:p w14:paraId="42CD2A68">
      <w:pPr>
        <w:widowControl w:val="0"/>
        <w:numPr>
          <w:ilvl w:val="0"/>
          <w:numId w:val="9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3: ACK/NACK feedback at higher layers.</w:t>
      </w:r>
    </w:p>
    <w:p w14:paraId="5087FF8D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Intermediate UE aspects</w:t>
      </w:r>
    </w:p>
    <w:p w14:paraId="45EE5094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As captured in TR 38.769, a number of scenarios have been studied and evaluated for Topology 2, including </w:t>
      </w:r>
    </w:p>
    <w:p w14:paraId="1C38D958">
      <w:pPr>
        <w:widowControl w:val="0"/>
        <w:numPr>
          <w:ilvl w:val="0"/>
          <w:numId w:val="9"/>
        </w:numPr>
        <w:tabs>
          <w:tab w:val="left" w:pos="709"/>
          <w:tab w:val="clear" w:pos="1680"/>
        </w:tabs>
        <w:snapToGrid/>
        <w:spacing w:after="0" w:afterAutospacing="0"/>
        <w:ind w:left="709" w:hanging="2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D2T2-A1 where an intermediate UE (R1) is used for R2D transmissions and CW2D transmissions, and another intermediate UE (R2) is used for D2R receptions.</w:t>
      </w:r>
    </w:p>
    <w:p w14:paraId="78B0B9B9">
      <w:pPr>
        <w:widowControl w:val="0"/>
        <w:numPr>
          <w:ilvl w:val="0"/>
          <w:numId w:val="9"/>
        </w:numPr>
        <w:tabs>
          <w:tab w:val="left" w:pos="709"/>
          <w:tab w:val="clear" w:pos="1680"/>
        </w:tabs>
        <w:snapToGrid/>
        <w:spacing w:after="0" w:afterAutospacing="0"/>
        <w:ind w:left="709" w:hanging="2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D2T2-A2 where an intermediate UE (R) is used for R2D transmissions, CW2D transmissions, and D2R receptions.</w:t>
      </w:r>
    </w:p>
    <w:p w14:paraId="64F91B90">
      <w:pPr>
        <w:widowControl w:val="0"/>
        <w:numPr>
          <w:ilvl w:val="0"/>
          <w:numId w:val="9"/>
        </w:numPr>
        <w:tabs>
          <w:tab w:val="left" w:pos="709"/>
          <w:tab w:val="clear" w:pos="1680"/>
        </w:tabs>
        <w:snapToGrid/>
        <w:spacing w:after="0" w:afterAutospacing="0"/>
        <w:ind w:left="709" w:hanging="2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D2T2-B where an intermediate UE (R) is used for R2D transmissions and D2R receptions.</w:t>
      </w:r>
    </w:p>
    <w:p w14:paraId="2031E630">
      <w:pPr>
        <w:widowControl w:val="0"/>
        <w:numPr>
          <w:ilvl w:val="0"/>
          <w:numId w:val="9"/>
        </w:numPr>
        <w:tabs>
          <w:tab w:val="left" w:pos="709"/>
          <w:tab w:val="clear" w:pos="1680"/>
        </w:tabs>
        <w:snapToGrid/>
        <w:spacing w:after="0" w:afterAutospacing="0"/>
        <w:ind w:left="709" w:hanging="2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D2T2-C where an intermediate UE (R) is used for R2D transmissions and D2R receptions.</w:t>
      </w:r>
    </w:p>
    <w:p w14:paraId="59C4EF13">
      <w:pPr>
        <w:numPr>
          <w:ilvl w:val="255"/>
          <w:numId w:val="0"/>
        </w:numPr>
        <w:snapToGrid/>
        <w:spacing w:before="100" w:beforeAutospacing="1" w:after="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Resource allocation for an intermediate UE should take into account the operating scenarios. For example, for scenarios D2T2-B and D2T2-C where CW is outside topology, it does not make sense to consider resource allocation for CW2D transmissions; and for scenarios D2T2-A1 and D2T2-A2, the allocated resources should take into account the actual operations the reader is tasked to perform (e.g. in scenario D2T2-A1, different resources should be allocated for R1 and R2).</w:t>
      </w:r>
    </w:p>
    <w:p w14:paraId="73CB9FD3">
      <w:pPr>
        <w:numPr>
          <w:ilvl w:val="0"/>
          <w:numId w:val="10"/>
        </w:numPr>
        <w:tabs>
          <w:tab w:val="left" w:pos="1701"/>
        </w:tabs>
        <w:spacing w:before="240" w:after="0" w:afterAutospacing="0"/>
        <w:ind w:left="1701" w:hanging="170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Resource allocation for an intermediate UE should take into account the operating scenarios (e.g. D2T2-A1, D2T2-A2, etc) and the operations the reader is tasked to perform (e.g. R2D transmissions, CW2D transmissions, etc).</w:t>
      </w:r>
    </w:p>
    <w:p w14:paraId="656562C7">
      <w:pPr>
        <w:pStyle w:val="2"/>
        <w:spacing w:after="180"/>
        <w:rPr>
          <w:lang w:val="en-US"/>
        </w:rPr>
      </w:pPr>
      <w:r>
        <w:rPr>
          <w:lang w:val="en-US"/>
        </w:rPr>
        <w:t>Conclusion</w:t>
      </w:r>
    </w:p>
    <w:p w14:paraId="5B9D7C8A">
      <w:pPr>
        <w:spacing w:before="100" w:beforeAutospacing="1"/>
        <w:rPr>
          <w:rFonts w:eastAsia="宋体"/>
          <w:lang w:val="en-US" w:eastAsia="zh-CN"/>
        </w:rPr>
      </w:pPr>
      <w:r>
        <w:rPr>
          <w:lang w:val="en-US"/>
        </w:rPr>
        <w:t xml:space="preserve">In this </w:t>
      </w:r>
      <w:r>
        <w:rPr>
          <w:rFonts w:hint="eastAsia" w:eastAsia="宋体"/>
          <w:lang w:val="en-US" w:eastAsia="zh-CN"/>
        </w:rPr>
        <w:t>contribution</w:t>
      </w:r>
      <w:r>
        <w:rPr>
          <w:lang w:val="en-US"/>
        </w:rPr>
        <w:t xml:space="preserve">, we </w:t>
      </w:r>
      <w:r>
        <w:rPr>
          <w:rFonts w:eastAsia="宋体"/>
          <w:lang w:val="en-US" w:eastAsia="zh-CN"/>
        </w:rPr>
        <w:t xml:space="preserve">discuss some </w:t>
      </w:r>
      <w:r>
        <w:rPr>
          <w:rFonts w:hint="eastAsia" w:eastAsia="宋体"/>
          <w:lang w:val="en-US" w:eastAsia="zh-CN"/>
        </w:rPr>
        <w:t>aspects related to R2D (</w:t>
      </w:r>
      <w:r>
        <w:rPr>
          <w:rFonts w:eastAsia="宋体"/>
          <w:lang w:val="en-US" w:eastAsia="zh-CN"/>
        </w:rPr>
        <w:t>“downlink”</w:t>
      </w:r>
      <w:r>
        <w:rPr>
          <w:rFonts w:hint="eastAsia"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and </w:t>
      </w:r>
      <w:r>
        <w:rPr>
          <w:rFonts w:hint="eastAsia" w:eastAsia="宋体"/>
          <w:lang w:val="en-US" w:eastAsia="zh-CN"/>
        </w:rPr>
        <w:t>D2R (</w:t>
      </w:r>
      <w:r>
        <w:rPr>
          <w:rFonts w:eastAsia="宋体"/>
          <w:lang w:val="en-US" w:eastAsia="zh-CN"/>
        </w:rPr>
        <w:t>“uplink”</w:t>
      </w:r>
      <w:r>
        <w:rPr>
          <w:rFonts w:hint="eastAsia" w:eastAsia="宋体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channel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/signal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, and make </w:t>
      </w:r>
      <w:r>
        <w:rPr>
          <w:lang w:val="en-US"/>
        </w:rPr>
        <w:t>the following</w:t>
      </w:r>
      <w:r>
        <w:rPr>
          <w:rFonts w:hint="eastAsia" w:eastAsia="宋体"/>
          <w:lang w:val="en-US" w:eastAsia="zh-CN"/>
        </w:rPr>
        <w:t xml:space="preserve"> observation and</w:t>
      </w:r>
      <w:r>
        <w:rPr>
          <w:lang w:val="en-US"/>
        </w:rPr>
        <w:t xml:space="preserve"> proposals</w:t>
      </w:r>
      <w:r>
        <w:rPr>
          <w:rFonts w:eastAsia="宋体"/>
          <w:lang w:val="en-US" w:eastAsia="zh-CN"/>
        </w:rPr>
        <w:t>.</w:t>
      </w:r>
    </w:p>
    <w:p w14:paraId="3037A211">
      <w:pPr>
        <w:numPr>
          <w:ilvl w:val="0"/>
          <w:numId w:val="11"/>
        </w:numPr>
        <w:tabs>
          <w:tab w:val="left" w:pos="1701"/>
        </w:tabs>
        <w:spacing w:before="240" w:after="0" w:afterAutospacing="0"/>
        <w:ind w:left="1701" w:hanging="170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Resource allocation for an intermediate UE should take into account the operating scenarios (e.g. D2T2-A1, D2T2-A2, etc) and the operations the reader is tasked to perform (e.g. R2D transmissions, CW2D transmissions, etc).</w:t>
      </w:r>
    </w:p>
    <w:p w14:paraId="61ED25ED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Channel/signal to support R2D frequency synchronization, if any, is not located in the clock-acquisition part of the R2D preamble.</w:t>
      </w:r>
    </w:p>
    <w:p w14:paraId="2A9E226C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R2D transmissions, support a single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PRDCH format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</w:t>
      </w:r>
    </w:p>
    <w:p w14:paraId="57CB1675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scheduling D2R transmissions, small frequency shift factor is included in R2D control information.</w:t>
      </w:r>
    </w:p>
    <w:p w14:paraId="7245CC80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ACK/NACK feedback for R2D transmissions, down-select from one of the following options:</w:t>
      </w:r>
    </w:p>
    <w:p w14:paraId="3FC0BA6A">
      <w:pPr>
        <w:widowControl w:val="0"/>
        <w:numPr>
          <w:ilvl w:val="0"/>
          <w:numId w:val="9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1: no ACK/NACK feedback.</w:t>
      </w:r>
    </w:p>
    <w:p w14:paraId="258DEBB7">
      <w:pPr>
        <w:widowControl w:val="0"/>
        <w:numPr>
          <w:ilvl w:val="0"/>
          <w:numId w:val="9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2: ACK/NACK feedback at physical layer.</w:t>
      </w:r>
    </w:p>
    <w:p w14:paraId="6FFCDA9B">
      <w:pPr>
        <w:widowControl w:val="0"/>
        <w:numPr>
          <w:ilvl w:val="0"/>
          <w:numId w:val="9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3: ACK/NACK feedback at higher layers.</w:t>
      </w:r>
    </w:p>
    <w:p w14:paraId="02802783">
      <w:pPr>
        <w:spacing w:before="100" w:beforeAutospacing="1"/>
        <w:rPr>
          <w:rFonts w:eastAsia="宋体"/>
          <w:lang w:val="en-US" w:eastAsia="zh-CN"/>
        </w:rPr>
      </w:pPr>
    </w:p>
    <w:p w14:paraId="331D982D">
      <w:pPr>
        <w:pStyle w:val="2"/>
        <w:spacing w:after="180"/>
        <w:rPr>
          <w:lang w:val="en-US"/>
        </w:rPr>
      </w:pPr>
      <w:r>
        <w:rPr>
          <w:lang w:val="en-US"/>
        </w:rPr>
        <w:t>References</w:t>
      </w:r>
    </w:p>
    <w:p w14:paraId="64A944CB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3" w:name="_Ref124764504"/>
      <w:r>
        <w:rPr>
          <w:rFonts w:eastAsia="MS Mincho"/>
          <w:lang w:val="en-US" w:eastAsia="en-GB"/>
        </w:rPr>
        <w:t>RP-234058, “New SID: Study on solutions for Ambient IoT (Internet of Things) in NR”, Huawei (moderator, RAN1 Vice-Chair), RAN#102.</w:t>
      </w:r>
      <w:bookmarkEnd w:id="3"/>
    </w:p>
    <w:p w14:paraId="6AFAFBB9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4" w:name="_Ref11675"/>
      <w:r>
        <w:rPr>
          <w:rFonts w:hint="eastAsia" w:eastAsia="宋体"/>
          <w:lang w:val="en-US" w:eastAsia="zh-CN"/>
        </w:rPr>
        <w:t xml:space="preserve">TR 38.848, </w:t>
      </w:r>
      <w:r>
        <w:rPr>
          <w:rFonts w:eastAsia="宋体"/>
          <w:lang w:val="en-US" w:eastAsia="zh-CN"/>
        </w:rPr>
        <w:t>“Study on Ambient IoT (Internet of Things) in RAN”</w:t>
      </w:r>
      <w:r>
        <w:rPr>
          <w:rFonts w:hint="eastAsia" w:eastAsia="宋体"/>
          <w:lang w:val="en-US" w:eastAsia="zh-CN"/>
        </w:rPr>
        <w:t>.</w:t>
      </w:r>
      <w:bookmarkEnd w:id="4"/>
    </w:p>
    <w:p w14:paraId="23AA5E3C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5" w:name="_Ref5425"/>
      <w:r>
        <w:rPr>
          <w:rFonts w:hint="eastAsia" w:eastAsia="MS Mincho"/>
          <w:lang w:val="en-US" w:eastAsia="en-GB"/>
        </w:rPr>
        <w:t>R1-2409304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“Final FL summary on downlink and uplink channel/signal aspects”</w:t>
      </w:r>
      <w:r>
        <w:rPr>
          <w:rFonts w:hint="eastAsia" w:eastAsia="宋体"/>
          <w:lang w:val="en-US" w:eastAsia="zh-CN"/>
        </w:rPr>
        <w:t>, Moderator (Apple), RAN1#118-bis.</w:t>
      </w:r>
      <w:bookmarkEnd w:id="5"/>
    </w:p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0F969">
    <w:pPr>
      <w:pStyle w:val="5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4</w:t>
    </w:r>
    <w:r>
      <w:rPr>
        <w:b/>
      </w:rPr>
      <w:fldChar w:fldCharType="end"/>
    </w:r>
  </w:p>
  <w:p w14:paraId="7C1B0A71">
    <w:pPr>
      <w:pStyle w:val="5"/>
    </w:pPr>
  </w:p>
  <w:p w14:paraId="4E7BCC5F"/>
  <w:p w14:paraId="11D5D925"/>
  <w:p w14:paraId="4DA6B248"/>
  <w:p w14:paraId="7C2AEB0E"/>
  <w:p w14:paraId="1077651F"/>
  <w:p w14:paraId="7A47D046"/>
  <w:p w14:paraId="785F4DFD"/>
  <w:p w14:paraId="53FB4D50"/>
  <w:p w14:paraId="72F9C51D"/>
  <w:p w14:paraId="727738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C4D7B6"/>
    <w:multiLevelType w:val="singleLevel"/>
    <w:tmpl w:val="A8C4D7B6"/>
    <w:lvl w:ilvl="0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 w:cs="Wingdings"/>
        <w:sz w:val="13"/>
      </w:rPr>
    </w:lvl>
  </w:abstractNum>
  <w:abstractNum w:abstractNumId="1">
    <w:nsid w:val="C1947823"/>
    <w:multiLevelType w:val="multilevel"/>
    <w:tmpl w:val="C1947823"/>
    <w:lvl w:ilvl="0" w:tentative="0">
      <w:start w:val="1"/>
      <w:numFmt w:val="decimal"/>
      <w:lvlText w:val="Observation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0F40C3"/>
    <w:multiLevelType w:val="multilevel"/>
    <w:tmpl w:val="010F40C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entative="0">
      <w:start w:val="1"/>
      <w:numFmt w:val="bullet"/>
      <w:lvlText w:val="•"/>
      <w:lvlJc w:val="left"/>
      <w:pPr>
        <w:ind w:left="1240" w:hanging="360"/>
      </w:pPr>
      <w:rPr>
        <w:rFonts w:hint="default" w:ascii="Arial" w:hAnsi="Aria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66928D6"/>
    <w:multiLevelType w:val="multilevel"/>
    <w:tmpl w:val="066928D6"/>
    <w:lvl w:ilvl="0" w:tentative="0">
      <w:start w:val="3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EastAsia"/>
      </w:rPr>
    </w:lvl>
    <w:lvl w:ilvl="1" w:tentative="0">
      <w:start w:val="1"/>
      <w:numFmt w:val="bullet"/>
      <w:lvlText w:val="•"/>
      <w:lvlJc w:val="left"/>
      <w:pPr>
        <w:ind w:left="1960" w:hanging="360"/>
      </w:pPr>
      <w:rPr>
        <w:rFonts w:hint="default" w:ascii="Arial" w:hAnsi="Arial"/>
      </w:rPr>
    </w:lvl>
    <w:lvl w:ilvl="2" w:tentative="0">
      <w:start w:val="3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EastAsia"/>
      </w:rPr>
    </w:lvl>
    <w:lvl w:ilvl="3" w:tentative="0">
      <w:start w:val="3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EastAsia"/>
      </w:rPr>
    </w:lvl>
    <w:lvl w:ilvl="4" w:tentative="0">
      <w:start w:val="1"/>
      <w:numFmt w:val="bullet"/>
      <w:lvlText w:val=""/>
      <w:lvlJc w:val="left"/>
      <w:pPr>
        <w:ind w:left="29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33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42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680" w:hanging="440"/>
      </w:pPr>
      <w:rPr>
        <w:rFonts w:hint="default" w:ascii="Wingdings" w:hAnsi="Wingdings"/>
      </w:rPr>
    </w:lvl>
  </w:abstractNum>
  <w:abstractNum w:abstractNumId="4">
    <w:nsid w:val="1F250011"/>
    <w:multiLevelType w:val="multilevel"/>
    <w:tmpl w:val="1F250011"/>
    <w:lvl w:ilvl="0" w:tentative="0">
      <w:start w:val="1"/>
      <w:numFmt w:val="decimal"/>
      <w:pStyle w:val="11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>
    <w:nsid w:val="358569AE"/>
    <w:multiLevelType w:val="multilevel"/>
    <w:tmpl w:val="358569A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1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EB26E9E"/>
    <w:multiLevelType w:val="multilevel"/>
    <w:tmpl w:val="6EB26E9E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10">
    <w:nsid w:val="72E04451"/>
    <w:multiLevelType w:val="multilevel"/>
    <w:tmpl w:val="72E04451"/>
    <w:lvl w:ilvl="0" w:tentative="0">
      <w:start w:val="1"/>
      <w:numFmt w:val="decimal"/>
      <w:lvlText w:val="Observation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4C7850D"/>
    <w:multiLevelType w:val="multilevel"/>
    <w:tmpl w:val="74C7850D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wZjVlN2ViMDNhZDMxYjFhMWE2ZmYyNThiYzE5NjYifQ=="/>
  </w:docVars>
  <w:rsids>
    <w:rsidRoot w:val="6CDA03F3"/>
    <w:rsid w:val="0001561B"/>
    <w:rsid w:val="000156C9"/>
    <w:rsid w:val="00026B3D"/>
    <w:rsid w:val="00393A6F"/>
    <w:rsid w:val="003B0D0A"/>
    <w:rsid w:val="00474899"/>
    <w:rsid w:val="00474AD2"/>
    <w:rsid w:val="005079B6"/>
    <w:rsid w:val="005B503D"/>
    <w:rsid w:val="00675D6B"/>
    <w:rsid w:val="006B2BAA"/>
    <w:rsid w:val="006C3324"/>
    <w:rsid w:val="00773086"/>
    <w:rsid w:val="007D12AA"/>
    <w:rsid w:val="00803AFD"/>
    <w:rsid w:val="00903584"/>
    <w:rsid w:val="009150CA"/>
    <w:rsid w:val="00991A96"/>
    <w:rsid w:val="009C4C82"/>
    <w:rsid w:val="00A97557"/>
    <w:rsid w:val="00B31251"/>
    <w:rsid w:val="00C07E21"/>
    <w:rsid w:val="00CB773B"/>
    <w:rsid w:val="00CB7BD1"/>
    <w:rsid w:val="00CC13C5"/>
    <w:rsid w:val="00CC46AF"/>
    <w:rsid w:val="00E16110"/>
    <w:rsid w:val="00E34F84"/>
    <w:rsid w:val="00EC02F8"/>
    <w:rsid w:val="00F17B4B"/>
    <w:rsid w:val="00F90B69"/>
    <w:rsid w:val="017C2C9E"/>
    <w:rsid w:val="01EB51E7"/>
    <w:rsid w:val="032A0AC5"/>
    <w:rsid w:val="03922DD8"/>
    <w:rsid w:val="03A35E95"/>
    <w:rsid w:val="0432329F"/>
    <w:rsid w:val="04496FBA"/>
    <w:rsid w:val="0480493A"/>
    <w:rsid w:val="04BB6F8D"/>
    <w:rsid w:val="058974F0"/>
    <w:rsid w:val="06533544"/>
    <w:rsid w:val="06684CDB"/>
    <w:rsid w:val="06701AF0"/>
    <w:rsid w:val="0842762A"/>
    <w:rsid w:val="087026A6"/>
    <w:rsid w:val="08E52EA9"/>
    <w:rsid w:val="0995305F"/>
    <w:rsid w:val="0AB55D38"/>
    <w:rsid w:val="0AC260D6"/>
    <w:rsid w:val="0AEF054D"/>
    <w:rsid w:val="0B2644E5"/>
    <w:rsid w:val="0B88440A"/>
    <w:rsid w:val="0CB90E13"/>
    <w:rsid w:val="0CC33F03"/>
    <w:rsid w:val="0CD93FED"/>
    <w:rsid w:val="0CF57F20"/>
    <w:rsid w:val="0D093B48"/>
    <w:rsid w:val="0D5036F5"/>
    <w:rsid w:val="0DBA12E6"/>
    <w:rsid w:val="0E9A7146"/>
    <w:rsid w:val="0FCA7713"/>
    <w:rsid w:val="10102602"/>
    <w:rsid w:val="127F6982"/>
    <w:rsid w:val="128B4FFF"/>
    <w:rsid w:val="12A84323"/>
    <w:rsid w:val="12B93667"/>
    <w:rsid w:val="12C83AD0"/>
    <w:rsid w:val="14CA62B3"/>
    <w:rsid w:val="15377A0D"/>
    <w:rsid w:val="15D95120"/>
    <w:rsid w:val="16002551"/>
    <w:rsid w:val="16646293"/>
    <w:rsid w:val="18363C5F"/>
    <w:rsid w:val="18AF0DAA"/>
    <w:rsid w:val="19D35C0A"/>
    <w:rsid w:val="19DF737C"/>
    <w:rsid w:val="1B4268F4"/>
    <w:rsid w:val="1B605FB5"/>
    <w:rsid w:val="1C090F1F"/>
    <w:rsid w:val="1D792624"/>
    <w:rsid w:val="1E676920"/>
    <w:rsid w:val="1E930578"/>
    <w:rsid w:val="1EDB62EF"/>
    <w:rsid w:val="1F3233D2"/>
    <w:rsid w:val="1F96409E"/>
    <w:rsid w:val="20D963DA"/>
    <w:rsid w:val="210259D9"/>
    <w:rsid w:val="22533231"/>
    <w:rsid w:val="228A45A0"/>
    <w:rsid w:val="22E1312C"/>
    <w:rsid w:val="2343105D"/>
    <w:rsid w:val="25491573"/>
    <w:rsid w:val="26161845"/>
    <w:rsid w:val="26846DC9"/>
    <w:rsid w:val="276E0D20"/>
    <w:rsid w:val="27A1208F"/>
    <w:rsid w:val="28162931"/>
    <w:rsid w:val="2818017E"/>
    <w:rsid w:val="292834C8"/>
    <w:rsid w:val="296E14AB"/>
    <w:rsid w:val="29DD3F3B"/>
    <w:rsid w:val="29F37B77"/>
    <w:rsid w:val="2A634FCD"/>
    <w:rsid w:val="2A7F3DC1"/>
    <w:rsid w:val="2AAF008B"/>
    <w:rsid w:val="2AD30917"/>
    <w:rsid w:val="2B1A4570"/>
    <w:rsid w:val="2B7C1B78"/>
    <w:rsid w:val="2BC472C3"/>
    <w:rsid w:val="2D7A6E07"/>
    <w:rsid w:val="2D915DAA"/>
    <w:rsid w:val="2E7B1E26"/>
    <w:rsid w:val="2EA50592"/>
    <w:rsid w:val="2EAA4211"/>
    <w:rsid w:val="2F1C5505"/>
    <w:rsid w:val="31590C3D"/>
    <w:rsid w:val="31967B93"/>
    <w:rsid w:val="321A5A5E"/>
    <w:rsid w:val="32456B21"/>
    <w:rsid w:val="33473D0C"/>
    <w:rsid w:val="33755E91"/>
    <w:rsid w:val="341E0B21"/>
    <w:rsid w:val="348B1E16"/>
    <w:rsid w:val="34F8431E"/>
    <w:rsid w:val="354A07D2"/>
    <w:rsid w:val="355377A7"/>
    <w:rsid w:val="364641AA"/>
    <w:rsid w:val="38E0497C"/>
    <w:rsid w:val="39E82220"/>
    <w:rsid w:val="39F960CF"/>
    <w:rsid w:val="3A1C6EC9"/>
    <w:rsid w:val="3A384FBB"/>
    <w:rsid w:val="3AC5023F"/>
    <w:rsid w:val="3B746A46"/>
    <w:rsid w:val="3B892174"/>
    <w:rsid w:val="3BBE07B8"/>
    <w:rsid w:val="3BCA7C40"/>
    <w:rsid w:val="3C3619BF"/>
    <w:rsid w:val="3C44609B"/>
    <w:rsid w:val="3D8F0976"/>
    <w:rsid w:val="3D9E6801"/>
    <w:rsid w:val="3DFF3B2E"/>
    <w:rsid w:val="400511F4"/>
    <w:rsid w:val="414E7EDB"/>
    <w:rsid w:val="422D07D9"/>
    <w:rsid w:val="433C187A"/>
    <w:rsid w:val="43875273"/>
    <w:rsid w:val="43DD12AF"/>
    <w:rsid w:val="43EA7528"/>
    <w:rsid w:val="44861B76"/>
    <w:rsid w:val="45246A6A"/>
    <w:rsid w:val="4539571E"/>
    <w:rsid w:val="455B0EFD"/>
    <w:rsid w:val="46284F2E"/>
    <w:rsid w:val="46F10A60"/>
    <w:rsid w:val="48023A6F"/>
    <w:rsid w:val="48194880"/>
    <w:rsid w:val="48D4628E"/>
    <w:rsid w:val="4A7E1167"/>
    <w:rsid w:val="4B0C0AAD"/>
    <w:rsid w:val="4CEF5BAF"/>
    <w:rsid w:val="4CFD470E"/>
    <w:rsid w:val="4D5A56F6"/>
    <w:rsid w:val="4DFF1E22"/>
    <w:rsid w:val="4E257E64"/>
    <w:rsid w:val="4EA27B1F"/>
    <w:rsid w:val="50C335DB"/>
    <w:rsid w:val="514B766A"/>
    <w:rsid w:val="52C04C99"/>
    <w:rsid w:val="52C422AF"/>
    <w:rsid w:val="538074D9"/>
    <w:rsid w:val="53C953AC"/>
    <w:rsid w:val="54AC7F93"/>
    <w:rsid w:val="571B35CB"/>
    <w:rsid w:val="58367E4A"/>
    <w:rsid w:val="585316E8"/>
    <w:rsid w:val="586E1F24"/>
    <w:rsid w:val="58C425E6"/>
    <w:rsid w:val="5968089F"/>
    <w:rsid w:val="59973856"/>
    <w:rsid w:val="5A92474A"/>
    <w:rsid w:val="5B555354"/>
    <w:rsid w:val="5C494351"/>
    <w:rsid w:val="5C9D2BB0"/>
    <w:rsid w:val="5CA87726"/>
    <w:rsid w:val="5CD17AB7"/>
    <w:rsid w:val="5DCC1B44"/>
    <w:rsid w:val="5F18471C"/>
    <w:rsid w:val="5F520B3B"/>
    <w:rsid w:val="606D1789"/>
    <w:rsid w:val="611D6152"/>
    <w:rsid w:val="612260F0"/>
    <w:rsid w:val="61B13217"/>
    <w:rsid w:val="61B444E2"/>
    <w:rsid w:val="62A82630"/>
    <w:rsid w:val="63C534B8"/>
    <w:rsid w:val="63EF2552"/>
    <w:rsid w:val="640F6E0B"/>
    <w:rsid w:val="6454227B"/>
    <w:rsid w:val="6508455B"/>
    <w:rsid w:val="65995949"/>
    <w:rsid w:val="659D21F5"/>
    <w:rsid w:val="66552ACF"/>
    <w:rsid w:val="667B6C0B"/>
    <w:rsid w:val="669E76DF"/>
    <w:rsid w:val="66A94083"/>
    <w:rsid w:val="67063606"/>
    <w:rsid w:val="670F1A20"/>
    <w:rsid w:val="671D3E59"/>
    <w:rsid w:val="678C0773"/>
    <w:rsid w:val="67EA74B2"/>
    <w:rsid w:val="68815DFE"/>
    <w:rsid w:val="693370F8"/>
    <w:rsid w:val="699A7DF9"/>
    <w:rsid w:val="69FA7C16"/>
    <w:rsid w:val="6A2E40F1"/>
    <w:rsid w:val="6B723F6F"/>
    <w:rsid w:val="6B851761"/>
    <w:rsid w:val="6BDA0D35"/>
    <w:rsid w:val="6BE959B3"/>
    <w:rsid w:val="6C0E6FBE"/>
    <w:rsid w:val="6C5F0204"/>
    <w:rsid w:val="6C8E6023"/>
    <w:rsid w:val="6CDA03F3"/>
    <w:rsid w:val="6DD95D94"/>
    <w:rsid w:val="6DD977AC"/>
    <w:rsid w:val="6DE22E9A"/>
    <w:rsid w:val="6DEB3974"/>
    <w:rsid w:val="6E290AC9"/>
    <w:rsid w:val="6EDE4456"/>
    <w:rsid w:val="6EDF7F51"/>
    <w:rsid w:val="6FB22449"/>
    <w:rsid w:val="6FC30AAA"/>
    <w:rsid w:val="6FDC74A3"/>
    <w:rsid w:val="704E2A69"/>
    <w:rsid w:val="70964089"/>
    <w:rsid w:val="715333C7"/>
    <w:rsid w:val="717C5721"/>
    <w:rsid w:val="726E4B79"/>
    <w:rsid w:val="74453B2C"/>
    <w:rsid w:val="75022074"/>
    <w:rsid w:val="755835D8"/>
    <w:rsid w:val="758B5F34"/>
    <w:rsid w:val="75A03B2E"/>
    <w:rsid w:val="75B06521"/>
    <w:rsid w:val="761A276A"/>
    <w:rsid w:val="768C7606"/>
    <w:rsid w:val="782228CA"/>
    <w:rsid w:val="78F65E09"/>
    <w:rsid w:val="7A1056A7"/>
    <w:rsid w:val="7AC6251B"/>
    <w:rsid w:val="7BDE7397"/>
    <w:rsid w:val="7BEE0292"/>
    <w:rsid w:val="7CD07583"/>
    <w:rsid w:val="7D272FE3"/>
    <w:rsid w:val="7D364BC6"/>
    <w:rsid w:val="7D3E7699"/>
    <w:rsid w:val="7DC51E91"/>
    <w:rsid w:val="7EA82548"/>
    <w:rsid w:val="7EC7606C"/>
    <w:rsid w:val="7FFB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4">
    <w:name w:val="heading 3"/>
    <w:basedOn w:val="3"/>
    <w:next w:val="1"/>
    <w:autoRedefine/>
    <w:qFormat/>
    <w:uiPriority w:val="9"/>
    <w:pPr>
      <w:numPr>
        <w:ilvl w:val="2"/>
      </w:numPr>
      <w:spacing w:before="240" w:after="60"/>
      <w:outlineLvl w:val="2"/>
    </w:p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autoRedefine/>
    <w:qFormat/>
    <w:uiPriority w:val="99"/>
    <w:pPr>
      <w:tabs>
        <w:tab w:val="center" w:pos="4252"/>
        <w:tab w:val="right" w:pos="8504"/>
      </w:tabs>
    </w:pPr>
  </w:style>
  <w:style w:type="paragraph" w:styleId="6">
    <w:name w:val="header"/>
    <w:basedOn w:val="1"/>
    <w:autoRedefine/>
    <w:qFormat/>
    <w:uiPriority w:val="99"/>
    <w:pPr>
      <w:widowControl w:val="0"/>
    </w:pPr>
    <w:rPr>
      <w:rFonts w:ascii="Arial" w:hAnsi="Arial" w:eastAsia="MS Mincho"/>
      <w:b/>
      <w:sz w:val="1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autoRedefine/>
    <w:qFormat/>
    <w:uiPriority w:val="22"/>
    <w:rPr>
      <w:rFonts w:cs="Times New Roman"/>
      <w:b/>
    </w:rPr>
  </w:style>
  <w:style w:type="paragraph" w:customStyle="1" w:styleId="11">
    <w:name w:val="text intend 2"/>
    <w:basedOn w:val="12"/>
    <w:autoRedefine/>
    <w:qFormat/>
    <w:uiPriority w:val="0"/>
    <w:pPr>
      <w:widowControl/>
      <w:numPr>
        <w:numId w:val="2"/>
      </w:numPr>
      <w:tabs>
        <w:tab w:val="left" w:pos="420"/>
      </w:tabs>
      <w:spacing w:after="120"/>
    </w:pPr>
    <w:rPr>
      <w:lang w:val="en-US"/>
    </w:rPr>
  </w:style>
  <w:style w:type="paragraph" w:customStyle="1" w:styleId="12">
    <w:name w:val="text"/>
    <w:basedOn w:val="1"/>
    <w:autoRedefine/>
    <w:qFormat/>
    <w:uiPriority w:val="0"/>
    <w:pPr>
      <w:widowControl w:val="0"/>
      <w:numPr>
        <w:ilvl w:val="0"/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13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4">
    <w:name w:val="0 Main text"/>
    <w:basedOn w:val="1"/>
    <w:qFormat/>
    <w:uiPriority w:val="0"/>
    <w:rPr>
      <w:rFonts w:eastAsia="Malgun Gothic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994</Words>
  <Characters>5649</Characters>
  <Lines>47</Lines>
  <Paragraphs>13</Paragraphs>
  <TotalTime>3</TotalTime>
  <ScaleCrop>false</ScaleCrop>
  <LinksUpToDate>false</LinksUpToDate>
  <CharactersWithSpaces>6603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2023-12-27T23:54:00Z</dcterms:created>
  <dc:creator>Sharp</dc:creator>
  <cp:lastModifiedBy>LC1107O3</cp:lastModifiedBy>
  <dcterms:modified xsi:type="dcterms:W3CDTF">2024-11-08T12:34:30Z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D1F662EA5FE5458E94576651D8192AB0_13</vt:lpwstr>
  </property>
</Properties>
</file>