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18F90DD4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E034B8">
        <w:rPr>
          <w:rFonts w:ascii="Arial" w:hAnsi="Arial" w:cs="Arial"/>
          <w:b/>
          <w:bCs/>
          <w:sz w:val="24"/>
          <w:szCs w:val="24"/>
        </w:rPr>
        <w:t>R1-240928</w:t>
      </w:r>
      <w:r w:rsidR="000669BE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</w:p>
    <w:p w14:paraId="2ACDD20B" w14:textId="25A60BBA" w:rsidR="00463675" w:rsidRPr="000F4E43" w:rsidRDefault="001022FD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Hefei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China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October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14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18</w:t>
      </w:r>
      <w:r w:rsidRPr="001022FD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0C1B03AE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the support of 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44C4A0FD" w:rsidR="00463675" w:rsidRPr="00454585" w:rsidRDefault="00463675" w:rsidP="00B46D39">
      <w:pPr>
        <w:pStyle w:val="Source"/>
        <w:ind w:left="1701" w:hanging="1701"/>
      </w:pPr>
      <w:r w:rsidRPr="00454585">
        <w:t>Source:</w:t>
      </w:r>
      <w:r w:rsidR="00B46D39">
        <w:tab/>
      </w:r>
      <w:r w:rsidR="00454585" w:rsidRPr="000669BE">
        <w:rPr>
          <w:b w:val="0"/>
          <w:bCs/>
        </w:rPr>
        <w:t>RAN1</w:t>
      </w:r>
    </w:p>
    <w:p w14:paraId="2CD3DE27" w14:textId="04B5CD9D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386EE6">
        <w:rPr>
          <w:rFonts w:hint="eastAsia"/>
          <w:b w:val="0"/>
          <w:bCs/>
          <w:lang w:eastAsia="ja-JP"/>
        </w:rPr>
        <w:t>3</w:t>
      </w:r>
    </w:p>
    <w:p w14:paraId="56FE5ADA" w14:textId="48D5A8AF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Pr="000F4E43">
        <w:tab/>
      </w:r>
      <w:r w:rsidR="00636F42" w:rsidRPr="00636F42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02CEBA55" w:rsidR="00386EE6" w:rsidRPr="00386EE6" w:rsidRDefault="003D3EB9" w:rsidP="00386EE6">
      <w:pPr>
        <w:pStyle w:val="a5"/>
        <w:rPr>
          <w:rFonts w:ascii="Arial" w:hAnsi="Arial" w:cs="Arial"/>
          <w:bCs/>
          <w:lang w:eastAsia="ja-JP"/>
        </w:rPr>
      </w:pPr>
      <w:r w:rsidRPr="003D3EB9">
        <w:rPr>
          <w:rFonts w:ascii="Arial" w:hAnsi="Arial" w:cs="Arial"/>
          <w:bCs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413127" wp14:editId="37E25AAC">
                <wp:simplePos x="0" y="0"/>
                <wp:positionH relativeFrom="margin">
                  <wp:align>right</wp:align>
                </wp:positionH>
                <wp:positionV relativeFrom="paragraph">
                  <wp:posOffset>386715</wp:posOffset>
                </wp:positionV>
                <wp:extent cx="6083935" cy="1404620"/>
                <wp:effectExtent l="0" t="0" r="12065" b="2667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1D321" w14:textId="77777777" w:rsidR="004A0AFD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3360DA75" w14:textId="35DF43DA" w:rsidR="003D3EB9" w:rsidRPr="004A0AFD" w:rsidRDefault="004A0AFD" w:rsidP="004A0AFD">
                            <w:pPr>
                              <w:snapToGrid w:val="0"/>
                              <w:spacing w:after="100" w:afterAutospacing="1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</w:rPr>
                              <w:t xml:space="preserve">In addition to periodic CSI-RS, semi-persistent CSI-RS is supported for candidate cell L1-RSRP measurement for </w:t>
                            </w:r>
                            <w:proofErr w:type="spellStart"/>
                            <w:r w:rsidRPr="004A0AFD">
                              <w:rPr>
                                <w:rFonts w:ascii="Arial" w:hAnsi="Arial" w:cs="Arial"/>
                              </w:rPr>
                              <w:t>gNB</w:t>
                            </w:r>
                            <w:proofErr w:type="spellEnd"/>
                            <w:r w:rsidRPr="004A0AFD">
                              <w:rPr>
                                <w:rFonts w:ascii="Arial" w:hAnsi="Arial" w:cs="Arial"/>
                              </w:rPr>
                              <w:t xml:space="preserve"> scheduled reporting from RAN1 perspective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4131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7.85pt;margin-top:30.45pt;width:479.0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">
                <v:textbox style="mso-fit-shape-to-text:t">
                  <w:txbxContent>
                    <w:p w14:paraId="16A1D321" w14:textId="77777777" w:rsidR="004A0AFD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  <w:highlight w:val="darkYellow"/>
                        </w:rPr>
                        <w:t>Working Assumption</w:t>
                      </w:r>
                    </w:p>
                    <w:p w14:paraId="3360DA75" w14:textId="35DF43DA" w:rsidR="003D3EB9" w:rsidRPr="004A0AFD" w:rsidRDefault="004A0AFD" w:rsidP="004A0AFD">
                      <w:pPr>
                        <w:snapToGrid w:val="0"/>
                        <w:spacing w:after="100" w:afterAutospacing="1"/>
                        <w:jc w:val="both"/>
                        <w:rPr>
                          <w:rFonts w:ascii="Arial" w:hAnsi="Arial" w:cs="Arial"/>
                        </w:rPr>
                      </w:pPr>
                      <w:r w:rsidRPr="004A0AFD">
                        <w:rPr>
                          <w:rFonts w:ascii="Arial" w:hAnsi="Arial" w:cs="Arial"/>
                        </w:rPr>
                        <w:t xml:space="preserve">In addition to periodic CSI-RS, semi-persistent CSI-RS is supported for candidate cell L1-RSRP measurement for </w:t>
                      </w:r>
                      <w:proofErr w:type="spellStart"/>
                      <w:r w:rsidRPr="004A0AFD">
                        <w:rPr>
                          <w:rFonts w:ascii="Arial" w:hAnsi="Arial" w:cs="Arial"/>
                        </w:rPr>
                        <w:t>gNB</w:t>
                      </w:r>
                      <w:proofErr w:type="spellEnd"/>
                      <w:r w:rsidRPr="004A0AFD">
                        <w:rPr>
                          <w:rFonts w:ascii="Arial" w:hAnsi="Arial" w:cs="Arial"/>
                        </w:rPr>
                        <w:t xml:space="preserve"> scheduled reporting from RAN1 perspective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86EE6">
        <w:rPr>
          <w:rFonts w:ascii="Arial" w:hAnsi="Arial" w:cs="Arial" w:hint="eastAsia"/>
          <w:bCs/>
          <w:lang w:val="en-US" w:eastAsia="ja-JP"/>
        </w:rPr>
        <w:t>The following working assumption was made in RAN1#118bis</w:t>
      </w:r>
      <w:r w:rsidR="00DC5E59">
        <w:rPr>
          <w:rFonts w:ascii="Arial" w:hAnsi="Arial" w:cs="Arial" w:hint="eastAsia"/>
          <w:bCs/>
          <w:lang w:val="en-US" w:eastAsia="ja-JP"/>
        </w:rPr>
        <w:t xml:space="preserve"> for candidate cell L1-RSRP measurement based on CSI-RS:</w:t>
      </w:r>
    </w:p>
    <w:p w14:paraId="564F835D" w14:textId="77777777" w:rsidR="00DC5E59" w:rsidRDefault="00DC5E59" w:rsidP="00DC5E59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7213ABF4" w14:textId="0BA456A0" w:rsidR="00DC5E59" w:rsidRPr="00DC5E59" w:rsidRDefault="00DC5E59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 xml:space="preserve">RAN1 </w:t>
      </w:r>
      <w:r w:rsidR="003D3EB9">
        <w:rPr>
          <w:rFonts w:ascii="Arial" w:hAnsi="Arial" w:cs="Arial" w:hint="eastAsia"/>
          <w:lang w:val="en-US" w:eastAsia="ja-JP"/>
        </w:rPr>
        <w:t>fore</w:t>
      </w:r>
      <w:r>
        <w:rPr>
          <w:rFonts w:ascii="Arial" w:hAnsi="Arial" w:cs="Arial" w:hint="eastAsia"/>
          <w:lang w:val="en-US" w:eastAsia="ja-JP"/>
        </w:rPr>
        <w:t xml:space="preserve">sees the RAN3 spec impact to enable this </w:t>
      </w:r>
      <w:r w:rsidR="003D3EB9">
        <w:rPr>
          <w:rFonts w:ascii="Arial" w:hAnsi="Arial" w:cs="Arial" w:hint="eastAsia"/>
          <w:lang w:val="en-US" w:eastAsia="ja-JP"/>
        </w:rPr>
        <w:t>functionality</w:t>
      </w:r>
      <w:r>
        <w:rPr>
          <w:rFonts w:ascii="Arial" w:hAnsi="Arial" w:cs="Arial" w:hint="eastAsia"/>
          <w:lang w:val="en-US" w:eastAsia="ja-JP"/>
        </w:rPr>
        <w:t xml:space="preserve"> for inter-DU/inter-CU case, and hence RAN3</w:t>
      </w:r>
      <w:r>
        <w:rPr>
          <w:rFonts w:ascii="Arial" w:hAnsi="Arial" w:cs="Arial"/>
          <w:lang w:val="en-US" w:eastAsia="ja-JP"/>
        </w:rPr>
        <w:t>’</w:t>
      </w:r>
      <w:r>
        <w:rPr>
          <w:rFonts w:ascii="Arial" w:hAnsi="Arial" w:cs="Arial" w:hint="eastAsia"/>
          <w:lang w:val="en-US" w:eastAsia="ja-JP"/>
        </w:rPr>
        <w:t xml:space="preserve">s view is needed to confirm </w:t>
      </w:r>
      <w:r w:rsidR="003D3EB9">
        <w:rPr>
          <w:rFonts w:ascii="Arial" w:hAnsi="Arial" w:cs="Arial" w:hint="eastAsia"/>
          <w:lang w:val="en-US" w:eastAsia="ja-JP"/>
        </w:rPr>
        <w:t>the</w:t>
      </w:r>
      <w:r>
        <w:rPr>
          <w:rFonts w:ascii="Arial" w:hAnsi="Arial" w:cs="Arial" w:hint="eastAsia"/>
          <w:lang w:val="en-US" w:eastAsia="ja-JP"/>
        </w:rPr>
        <w:t xml:space="preserve"> working assumption.</w:t>
      </w:r>
    </w:p>
    <w:p w14:paraId="01BD948D" w14:textId="77777777" w:rsidR="00DC5E59" w:rsidRDefault="00DC5E59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1F3E8B72" w14:textId="6E8FF5EB" w:rsidR="003A1AB5" w:rsidRDefault="004A0AFD" w:rsidP="004A0AFD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4A0AFD">
        <w:rPr>
          <w:rFonts w:ascii="Arial" w:hAnsi="Arial" w:cs="Arial"/>
          <w:lang w:val="en-US" w:eastAsia="ja-JP"/>
        </w:rPr>
        <w:t xml:space="preserve">Therefore, RAN1 would like to ask RAN3 for </w:t>
      </w:r>
      <w:r w:rsidRPr="004A0AFD">
        <w:rPr>
          <w:rFonts w:ascii="Arial" w:hAnsi="Arial" w:cs="Arial"/>
        </w:rPr>
        <w:t>the feasibility of specifying the signalling for coordination between serving cell and candidate cell(s) on the transmission of semi-persistent CSI-RS(s) and any other potential issues (e.g. RAN3 workload).</w:t>
      </w:r>
    </w:p>
    <w:p w14:paraId="059C7272" w14:textId="77777777" w:rsidR="004A0AFD" w:rsidRPr="004A0AFD" w:rsidRDefault="004A0AFD" w:rsidP="004A0AFD">
      <w:pPr>
        <w:pStyle w:val="a5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49319A81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46D39">
        <w:rPr>
          <w:rFonts w:ascii="Arial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36ED62B0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1AB5" w:rsidRPr="001022FD">
        <w:rPr>
          <w:rFonts w:ascii="Arial" w:hAnsi="Arial" w:cs="Arial"/>
          <w:bCs/>
          <w:lang w:val="en-US" w:eastAsia="ja-JP"/>
        </w:rPr>
        <w:t>RAN</w:t>
      </w:r>
      <w:r w:rsidR="00B46D39">
        <w:rPr>
          <w:rFonts w:ascii="Arial" w:hAnsi="Arial" w:cs="Arial" w:hint="eastAsia"/>
          <w:bCs/>
          <w:lang w:val="en-US" w:eastAsia="ja-JP"/>
        </w:rPr>
        <w:t>1</w:t>
      </w:r>
      <w:r w:rsidR="003A1AB5" w:rsidRPr="001022FD">
        <w:rPr>
          <w:rFonts w:ascii="Arial" w:hAnsi="Arial" w:cs="Arial"/>
          <w:bCs/>
          <w:lang w:val="en-US" w:eastAsia="ja-JP"/>
        </w:rPr>
        <w:t xml:space="preserve"> respectfully asks RAN</w:t>
      </w:r>
      <w:r w:rsidR="00B46D39">
        <w:rPr>
          <w:rFonts w:ascii="Arial" w:hAnsi="Arial" w:cs="Arial" w:hint="eastAsia"/>
          <w:bCs/>
          <w:lang w:val="en-US" w:eastAsia="ja-JP"/>
        </w:rPr>
        <w:t>3</w:t>
      </w:r>
      <w:r w:rsidR="003A1AB5" w:rsidRPr="001022FD">
        <w:rPr>
          <w:rFonts w:ascii="Arial" w:hAnsi="Arial" w:cs="Arial"/>
          <w:bCs/>
          <w:lang w:val="en-US" w:eastAsia="ja-JP"/>
        </w:rPr>
        <w:t xml:space="preserve"> to provide </w:t>
      </w:r>
      <w:r w:rsidR="00B46D39">
        <w:rPr>
          <w:rFonts w:ascii="Arial" w:hAnsi="Arial" w:cs="Arial" w:hint="eastAsia"/>
          <w:bCs/>
          <w:lang w:val="en-US" w:eastAsia="ja-JP"/>
        </w:rPr>
        <w:t>their answer to the question above</w:t>
      </w:r>
      <w:r w:rsidR="00401B80">
        <w:rPr>
          <w:rFonts w:ascii="Arial" w:hAnsi="Arial" w:cs="Arial" w:hint="eastAsia"/>
          <w:bCs/>
          <w:lang w:val="en-US" w:eastAsia="ja-JP"/>
        </w:rPr>
        <w:t xml:space="preserve">.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16E17E0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8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0A5AA7E6" w14:textId="5F86AEFC" w:rsidR="001022FD" w:rsidRDefault="001022FD" w:rsidP="001022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20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3A1AB5">
        <w:rPr>
          <w:rFonts w:ascii="Arial" w:hAnsi="Arial" w:cs="Arial" w:hint="eastAsia"/>
          <w:bCs/>
          <w:lang w:eastAsia="ja-JP"/>
        </w:rPr>
        <w:t>1</w:t>
      </w:r>
      <w:r w:rsidR="003A1AB5"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0563C" w14:textId="77777777" w:rsidR="00791E98" w:rsidRDefault="00791E98">
      <w:r>
        <w:separator/>
      </w:r>
    </w:p>
  </w:endnote>
  <w:endnote w:type="continuationSeparator" w:id="0">
    <w:p w14:paraId="165C793D" w14:textId="77777777" w:rsidR="00791E98" w:rsidRDefault="00791E98">
      <w:r>
        <w:continuationSeparator/>
      </w:r>
    </w:p>
  </w:endnote>
  <w:endnote w:type="continuationNotice" w:id="1">
    <w:p w14:paraId="4B2D980B" w14:textId="77777777" w:rsidR="00791E98" w:rsidRDefault="00791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EA5B" w14:textId="77777777" w:rsidR="00791E98" w:rsidRDefault="00791E98">
      <w:r>
        <w:separator/>
      </w:r>
    </w:p>
  </w:footnote>
  <w:footnote w:type="continuationSeparator" w:id="0">
    <w:p w14:paraId="6AB434A8" w14:textId="77777777" w:rsidR="00791E98" w:rsidRDefault="00791E98">
      <w:r>
        <w:continuationSeparator/>
      </w:r>
    </w:p>
  </w:footnote>
  <w:footnote w:type="continuationNotice" w:id="1">
    <w:p w14:paraId="40C239A0" w14:textId="77777777" w:rsidR="00791E98" w:rsidRDefault="00791E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0"/>
  </w:num>
  <w:num w:numId="2" w16cid:durableId="1383669827">
    <w:abstractNumId w:val="18"/>
  </w:num>
  <w:num w:numId="3" w16cid:durableId="1985966304">
    <w:abstractNumId w:val="14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4"/>
  </w:num>
  <w:num w:numId="7" w16cid:durableId="826164640">
    <w:abstractNumId w:val="22"/>
  </w:num>
  <w:num w:numId="8" w16cid:durableId="1430201449">
    <w:abstractNumId w:val="3"/>
  </w:num>
  <w:num w:numId="9" w16cid:durableId="347800349">
    <w:abstractNumId w:val="24"/>
  </w:num>
  <w:num w:numId="10" w16cid:durableId="2002539290">
    <w:abstractNumId w:val="19"/>
  </w:num>
  <w:num w:numId="11" w16cid:durableId="1182817356">
    <w:abstractNumId w:val="10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5"/>
  </w:num>
  <w:num w:numId="15" w16cid:durableId="600843358">
    <w:abstractNumId w:val="17"/>
  </w:num>
  <w:num w:numId="16" w16cid:durableId="262885441">
    <w:abstractNumId w:val="28"/>
  </w:num>
  <w:num w:numId="17" w16cid:durableId="1709179895">
    <w:abstractNumId w:val="13"/>
  </w:num>
  <w:num w:numId="18" w16cid:durableId="1441995792">
    <w:abstractNumId w:val="27"/>
  </w:num>
  <w:num w:numId="19" w16cid:durableId="2034838786">
    <w:abstractNumId w:val="5"/>
  </w:num>
  <w:num w:numId="20" w16cid:durableId="768434044">
    <w:abstractNumId w:val="28"/>
  </w:num>
  <w:num w:numId="21" w16cid:durableId="453329314">
    <w:abstractNumId w:val="1"/>
  </w:num>
  <w:num w:numId="22" w16cid:durableId="1007976020">
    <w:abstractNumId w:val="16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5"/>
  </w:num>
  <w:num w:numId="27" w16cid:durableId="203834843">
    <w:abstractNumId w:val="9"/>
  </w:num>
  <w:num w:numId="28" w16cid:durableId="2052529841">
    <w:abstractNumId w:val="26"/>
  </w:num>
  <w:num w:numId="29" w16cid:durableId="1185560736">
    <w:abstractNumId w:val="12"/>
  </w:num>
  <w:num w:numId="30" w16cid:durableId="1746875320">
    <w:abstractNumId w:val="21"/>
  </w:num>
  <w:num w:numId="31" w16cid:durableId="364015964">
    <w:abstractNumId w:val="23"/>
  </w:num>
  <w:num w:numId="32" w16cid:durableId="866718334">
    <w:abstractNumId w:val="6"/>
  </w:num>
  <w:num w:numId="33" w16cid:durableId="124783820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44844"/>
    <w:rsid w:val="000514DE"/>
    <w:rsid w:val="000669BE"/>
    <w:rsid w:val="00070CE7"/>
    <w:rsid w:val="00075C72"/>
    <w:rsid w:val="00083B2D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A7E84"/>
    <w:rsid w:val="002B0C14"/>
    <w:rsid w:val="002B21E1"/>
    <w:rsid w:val="002B2474"/>
    <w:rsid w:val="002B4CD8"/>
    <w:rsid w:val="002C1DBF"/>
    <w:rsid w:val="002D531E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86EE6"/>
    <w:rsid w:val="003A1AB5"/>
    <w:rsid w:val="003A390D"/>
    <w:rsid w:val="003B0BFB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A5414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159C6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46A5"/>
    <w:rsid w:val="00B8751C"/>
    <w:rsid w:val="00BA2421"/>
    <w:rsid w:val="00BC11AE"/>
    <w:rsid w:val="00BC402F"/>
    <w:rsid w:val="00BD7D73"/>
    <w:rsid w:val="00BE45A9"/>
    <w:rsid w:val="00BE51DE"/>
    <w:rsid w:val="00C03033"/>
    <w:rsid w:val="00C21513"/>
    <w:rsid w:val="00C25BE5"/>
    <w:rsid w:val="00C26EC5"/>
    <w:rsid w:val="00C334DE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21A9"/>
    <w:rsid w:val="00DE355D"/>
    <w:rsid w:val="00DE40C2"/>
    <w:rsid w:val="00DF15AF"/>
    <w:rsid w:val="00DF2286"/>
    <w:rsid w:val="00DF577A"/>
    <w:rsid w:val="00DF7FBA"/>
    <w:rsid w:val="00E034B8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3D90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866D3"/>
    <w:rsid w:val="00FA476C"/>
    <w:rsid w:val="00FA5EFF"/>
    <w:rsid w:val="00FB3A18"/>
    <w:rsid w:val="00FB42AB"/>
    <w:rsid w:val="00FB70D8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</cp:revision>
  <cp:lastPrinted>2002-04-24T08:10:00Z</cp:lastPrinted>
  <dcterms:created xsi:type="dcterms:W3CDTF">2024-10-17T07:46:00Z</dcterms:created>
  <dcterms:modified xsi:type="dcterms:W3CDTF">2024-10-18T04:39:00Z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