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04496583"/>
    <w:bookmarkStart w:id="1" w:name="_Toc104497312"/>
    <w:p w14:paraId="26810225" w14:textId="56B16DC5" w:rsidR="005C7A97" w:rsidRDefault="00EA498A">
      <w:pPr>
        <w:tabs>
          <w:tab w:val="right" w:pos="9216"/>
        </w:tabs>
        <w:spacing w:after="0"/>
        <w:rPr>
          <w:b/>
          <w:kern w:val="2"/>
        </w:rPr>
      </w:pPr>
      <w:r>
        <w:rPr>
          <w:b/>
          <w:noProof/>
        </w:rPr>
        <mc:AlternateContent>
          <mc:Choice Requires="wps">
            <w:drawing>
              <wp:anchor distT="0" distB="0" distL="114300" distR="114300" simplePos="0" relativeHeight="251659264" behindDoc="0" locked="1" layoutInCell="1" hidden="1" allowOverlap="1" wp14:anchorId="524B5F7A" wp14:editId="309AB6E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5AA79102"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qA+FwoFAAA7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3GPP TSG-RAN WG1 Meeting #118</w:t>
      </w:r>
      <w:r>
        <w:rPr>
          <w:b/>
          <w:bCs/>
        </w:rPr>
        <w:t> </w:t>
      </w:r>
      <w:r>
        <w:rPr>
          <w:b/>
          <w:kern w:val="2"/>
        </w:rPr>
        <w:tab/>
      </w:r>
      <w:r w:rsidR="00DE663B" w:rsidRPr="00DE663B">
        <w:rPr>
          <w:b/>
          <w:kern w:val="2"/>
        </w:rPr>
        <w:t>R1-2407398</w:t>
      </w:r>
    </w:p>
    <w:p w14:paraId="3E3C1218" w14:textId="77777777" w:rsidR="005C7A97" w:rsidRDefault="00EA498A">
      <w:pPr>
        <w:pBdr>
          <w:bottom w:val="single" w:sz="6" w:space="1" w:color="auto"/>
        </w:pBdr>
        <w:spacing w:afterLines="50" w:after="120"/>
        <w:rPr>
          <w:b/>
          <w:kern w:val="2"/>
        </w:rPr>
      </w:pPr>
      <w:r>
        <w:rPr>
          <w:b/>
          <w:kern w:val="2"/>
        </w:rPr>
        <w:t>Maastricht, Netherlands, August 19 – 23, 2024</w:t>
      </w:r>
    </w:p>
    <w:p w14:paraId="218EF597" w14:textId="77777777" w:rsidR="005C7A97" w:rsidRDefault="00EA498A">
      <w:pPr>
        <w:spacing w:after="60"/>
        <w:ind w:left="1555" w:hanging="1555"/>
        <w:rPr>
          <w:b/>
          <w:color w:val="000000" w:themeColor="text1"/>
          <w:kern w:val="2"/>
        </w:rPr>
      </w:pPr>
      <w:r>
        <w:rPr>
          <w:b/>
          <w:color w:val="000000" w:themeColor="text1"/>
          <w:kern w:val="2"/>
        </w:rPr>
        <w:t>Agenda Item:</w:t>
      </w:r>
      <w:r>
        <w:rPr>
          <w:b/>
          <w:color w:val="000000" w:themeColor="text1"/>
          <w:kern w:val="2"/>
        </w:rPr>
        <w:tab/>
        <w:t>8.1</w:t>
      </w:r>
    </w:p>
    <w:p w14:paraId="047077A7" w14:textId="77777777" w:rsidR="005C7A97" w:rsidRDefault="00EA498A">
      <w:pPr>
        <w:spacing w:after="60"/>
        <w:ind w:left="1555" w:hanging="1555"/>
        <w:rPr>
          <w:b/>
          <w:color w:val="000000" w:themeColor="text1"/>
          <w:kern w:val="2"/>
        </w:rPr>
      </w:pPr>
      <w:r>
        <w:rPr>
          <w:b/>
          <w:color w:val="000000" w:themeColor="text1"/>
          <w:kern w:val="2"/>
        </w:rPr>
        <w:t>Source:</w:t>
      </w:r>
      <w:r>
        <w:rPr>
          <w:b/>
          <w:color w:val="000000" w:themeColor="text1"/>
          <w:kern w:val="2"/>
        </w:rPr>
        <w:tab/>
        <w:t>Moderator (Huawei)</w:t>
      </w:r>
    </w:p>
    <w:p w14:paraId="69AAF451" w14:textId="5A0880C4" w:rsidR="005C7A97" w:rsidRDefault="00EA498A">
      <w:pPr>
        <w:spacing w:after="60"/>
        <w:ind w:left="1555" w:hanging="1555"/>
        <w:rPr>
          <w:b/>
          <w:color w:val="000000" w:themeColor="text1"/>
          <w:kern w:val="2"/>
        </w:rPr>
      </w:pPr>
      <w:r>
        <w:rPr>
          <w:b/>
          <w:color w:val="000000" w:themeColor="text1"/>
          <w:kern w:val="2"/>
        </w:rPr>
        <w:t>Title:</w:t>
      </w:r>
      <w:r>
        <w:rPr>
          <w:b/>
          <w:color w:val="000000" w:themeColor="text1"/>
          <w:kern w:val="2"/>
        </w:rPr>
        <w:tab/>
      </w:r>
      <w:r>
        <w:rPr>
          <w:rFonts w:hint="eastAsia"/>
          <w:b/>
          <w:color w:val="000000" w:themeColor="text1"/>
          <w:kern w:val="2"/>
        </w:rPr>
        <w:t>Summary</w:t>
      </w:r>
      <w:r>
        <w:rPr>
          <w:b/>
          <w:color w:val="000000" w:themeColor="text1"/>
          <w:kern w:val="2"/>
        </w:rPr>
        <w:t>#</w:t>
      </w:r>
      <w:r w:rsidR="00E25A16">
        <w:rPr>
          <w:b/>
          <w:color w:val="000000" w:themeColor="text1"/>
          <w:kern w:val="2"/>
        </w:rPr>
        <w:t>2</w:t>
      </w:r>
      <w:r>
        <w:rPr>
          <w:b/>
          <w:color w:val="000000" w:themeColor="text1"/>
          <w:kern w:val="2"/>
        </w:rPr>
        <w:t xml:space="preserve"> </w:t>
      </w:r>
      <w:r>
        <w:rPr>
          <w:b/>
          <w:kern w:val="2"/>
        </w:rPr>
        <w:t xml:space="preserve">for CSI-RS EPRE issue for </w:t>
      </w:r>
      <w:r>
        <w:rPr>
          <w:b/>
          <w:color w:val="000000" w:themeColor="text1"/>
          <w:kern w:val="2"/>
        </w:rPr>
        <w:t>R18 NES</w:t>
      </w:r>
    </w:p>
    <w:p w14:paraId="5E6BBF89" w14:textId="77777777" w:rsidR="005C7A97" w:rsidRDefault="00EA498A">
      <w:pPr>
        <w:spacing w:after="0"/>
        <w:ind w:left="1554" w:hanging="1554"/>
        <w:rPr>
          <w:b/>
          <w:color w:val="000000" w:themeColor="text1"/>
          <w:kern w:val="2"/>
          <w:sz w:val="16"/>
          <w:szCs w:val="16"/>
        </w:rPr>
      </w:pPr>
      <w:r>
        <w:rPr>
          <w:b/>
          <w:color w:val="000000" w:themeColor="text1"/>
          <w:kern w:val="2"/>
        </w:rPr>
        <w:t>Document for:</w:t>
      </w:r>
      <w:r>
        <w:rPr>
          <w:b/>
          <w:color w:val="000000" w:themeColor="text1"/>
          <w:kern w:val="2"/>
        </w:rPr>
        <w:tab/>
        <w:t>Discussion and decision</w:t>
      </w:r>
    </w:p>
    <w:p w14:paraId="669FCB20" w14:textId="77777777" w:rsidR="005C7A97" w:rsidRDefault="00EA498A">
      <w:pPr>
        <w:pStyle w:val="1"/>
        <w:numPr>
          <w:ilvl w:val="0"/>
          <w:numId w:val="59"/>
        </w:numPr>
        <w:rPr>
          <w:color w:val="000000" w:themeColor="text1"/>
        </w:rPr>
      </w:pPr>
      <w:r>
        <w:rPr>
          <w:color w:val="000000" w:themeColor="text1"/>
        </w:rPr>
        <w:t>Introduction</w:t>
      </w:r>
    </w:p>
    <w:p w14:paraId="1B407B18" w14:textId="77777777" w:rsidR="005C7A97" w:rsidRDefault="00EA498A">
      <w:r>
        <w:t xml:space="preserve">This document contains discussion summarized for CSI-RS EPRE issues, for maintenance of spatial and power domain adaptataion for R18 NES. </w:t>
      </w:r>
    </w:p>
    <w:p w14:paraId="13BF13D9" w14:textId="77777777" w:rsidR="005C7A97" w:rsidRDefault="00EA498A">
      <w:pPr>
        <w:pStyle w:val="1"/>
        <w:numPr>
          <w:ilvl w:val="0"/>
          <w:numId w:val="59"/>
        </w:numPr>
      </w:pPr>
      <w:r>
        <w:t>Background</w:t>
      </w:r>
    </w:p>
    <w:p w14:paraId="2469344A" w14:textId="77777777" w:rsidR="005C7A97" w:rsidRDefault="00EA498A">
      <w:r>
        <w:t>Relevent conclusions are provided as belows.</w:t>
      </w:r>
    </w:p>
    <w:tbl>
      <w:tblPr>
        <w:tblStyle w:val="affff1"/>
        <w:tblW w:w="0" w:type="auto"/>
        <w:tblLook w:val="04A0" w:firstRow="1" w:lastRow="0" w:firstColumn="1" w:lastColumn="0" w:noHBand="0" w:noVBand="1"/>
      </w:tblPr>
      <w:tblGrid>
        <w:gridCol w:w="9628"/>
      </w:tblGrid>
      <w:tr w:rsidR="005C7A97" w14:paraId="680AB77B" w14:textId="77777777">
        <w:tc>
          <w:tcPr>
            <w:tcW w:w="9628" w:type="dxa"/>
          </w:tcPr>
          <w:p w14:paraId="7307C728" w14:textId="77777777" w:rsidR="005C7A97" w:rsidRDefault="00EA498A">
            <w:pPr>
              <w:snapToGrid w:val="0"/>
              <w:spacing w:after="0"/>
              <w:contextualSpacing/>
              <w:rPr>
                <w:b/>
              </w:rPr>
            </w:pPr>
            <w:r>
              <w:rPr>
                <w:b/>
              </w:rPr>
              <w:t>Conclusion (RAN1#96bis)</w:t>
            </w:r>
          </w:p>
          <w:p w14:paraId="0C70464A" w14:textId="77777777" w:rsidR="005C7A97" w:rsidRDefault="00EA498A">
            <w:pPr>
              <w:snapToGrid w:val="0"/>
              <w:spacing w:after="0"/>
              <w:contextualSpacing/>
            </w:pPr>
            <w:r>
              <w:t>It is common understanding in RAN1 that:</w:t>
            </w:r>
          </w:p>
          <w:p w14:paraId="4A4548FE" w14:textId="77777777" w:rsidR="005C7A97" w:rsidRDefault="00EA498A">
            <w:pPr>
              <w:pStyle w:val="affffe"/>
              <w:numPr>
                <w:ilvl w:val="0"/>
                <w:numId w:val="60"/>
              </w:numPr>
              <w:snapToGrid w:val="0"/>
              <w:spacing w:after="0" w:line="240" w:lineRule="auto"/>
              <w:contextualSpacing/>
              <w:jc w:val="left"/>
            </w:pPr>
            <w:r>
              <w:t xml:space="preserve">The </w:t>
            </w:r>
            <w:r>
              <w:rPr>
                <w:i/>
              </w:rPr>
              <w:t>powerControlOffset</w:t>
            </w:r>
            <w:r>
              <w:t xml:space="preserve"> (“Pc”) ratio is defined as </w:t>
            </w:r>
            <w:r>
              <w:rPr>
                <w:position w:val="-30"/>
              </w:rPr>
              <w:object w:dxaOrig="1615" w:dyaOrig="666" w14:anchorId="3A682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75pt;height:33.4pt" o:ole="">
                  <v:imagedata r:id="rId9" o:title=""/>
                </v:shape>
                <o:OLEObject Type="Embed" ProgID="Equation.DSMT4" ShapeID="_x0000_i1025" DrawAspect="Content" ObjectID="_1785739269" r:id="rId10"/>
              </w:object>
            </w:r>
            <w:r>
              <w:t xml:space="preserve"> </w:t>
            </w:r>
            <w:r>
              <w:fldChar w:fldCharType="begin"/>
            </w:r>
            <w:r>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instrText xml:space="preserve"> </w:instrText>
            </w:r>
            <w:r>
              <w:fldChar w:fldCharType="end"/>
            </w:r>
            <w:r>
              <w:t>dB</w:t>
            </w:r>
          </w:p>
          <w:p w14:paraId="5F0E1662" w14:textId="77777777" w:rsidR="005C7A97" w:rsidRDefault="00EA498A">
            <w:pPr>
              <w:pStyle w:val="affffe"/>
              <w:numPr>
                <w:ilvl w:val="0"/>
                <w:numId w:val="60"/>
              </w:numPr>
              <w:snapToGrid w:val="0"/>
              <w:spacing w:after="0" w:line="240" w:lineRule="auto"/>
              <w:contextualSpacing/>
              <w:jc w:val="left"/>
            </w:pPr>
            <w:r>
              <w:t>Where</w:t>
            </w:r>
          </w:p>
          <w:p w14:paraId="3A7D8CD6" w14:textId="77777777" w:rsidR="005C7A97" w:rsidRDefault="00EA498A">
            <w:pPr>
              <w:pStyle w:val="affffe"/>
              <w:numPr>
                <w:ilvl w:val="2"/>
                <w:numId w:val="61"/>
              </w:numPr>
              <w:snapToGrid w:val="0"/>
              <w:spacing w:after="0" w:line="240" w:lineRule="auto"/>
              <w:contextualSpacing/>
              <w:jc w:val="left"/>
            </w:pPr>
            <w:r>
              <w:rPr>
                <w:i/>
              </w:rPr>
              <w:t>P</w:t>
            </w:r>
            <w:r>
              <w:rPr>
                <w:i/>
                <w:vertAlign w:val="subscript"/>
              </w:rPr>
              <w:t>PDSCH</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r>
                <m:rPr>
                  <m:sty m:val="p"/>
                </m:rPr>
                <w:rPr>
                  <w:rFonts w:ascii="Cambria Math" w:hAnsi="Cambria Math"/>
                </w:rPr>
                <m:t xml:space="preserve"> </m:t>
              </m:r>
            </m:oMath>
            <w:r>
              <w:instrText xml:space="preserve"> </w:instrText>
            </w:r>
            <w:r>
              <w:fldChar w:fldCharType="end"/>
            </w:r>
            <w:r>
              <w:t>is the energy of total PDSCH ports multiplexed on one subcarrier of one OFDM symbol</w:t>
            </w:r>
          </w:p>
          <w:p w14:paraId="7D90C268" w14:textId="77777777" w:rsidR="005C7A97" w:rsidRDefault="00EA498A">
            <w:pPr>
              <w:pStyle w:val="affffe"/>
              <w:numPr>
                <w:ilvl w:val="2"/>
                <w:numId w:val="61"/>
              </w:numPr>
              <w:snapToGrid w:val="0"/>
              <w:spacing w:after="0" w:line="240" w:lineRule="auto"/>
              <w:contextualSpacing/>
              <w:jc w:val="left"/>
            </w:pPr>
            <w:r>
              <w:rPr>
                <w:i/>
              </w:rPr>
              <w:t>P</w:t>
            </w:r>
            <w:r>
              <w:rPr>
                <w:i/>
                <w:vertAlign w:val="subscript"/>
              </w:rPr>
              <w:t>CSIRS</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t>is the energy of all CSI-RS ports multiplexed on one subcarrier of one OFDM symbol</w:t>
            </w:r>
          </w:p>
          <w:p w14:paraId="357F19BA" w14:textId="77777777" w:rsidR="005C7A97" w:rsidRDefault="005C7A97">
            <w:pPr>
              <w:snapToGrid w:val="0"/>
              <w:spacing w:after="0"/>
              <w:contextualSpacing/>
            </w:pPr>
          </w:p>
        </w:tc>
      </w:tr>
      <w:tr w:rsidR="005C7A97" w14:paraId="6AF86DAD" w14:textId="77777777">
        <w:tc>
          <w:tcPr>
            <w:tcW w:w="9628" w:type="dxa"/>
          </w:tcPr>
          <w:p w14:paraId="7E2DCB63" w14:textId="77777777" w:rsidR="005C7A97" w:rsidRDefault="00EA498A">
            <w:pPr>
              <w:snapToGrid w:val="0"/>
              <w:spacing w:after="0"/>
              <w:contextualSpacing/>
              <w:rPr>
                <w:b/>
              </w:rPr>
            </w:pPr>
            <w:r>
              <w:rPr>
                <w:b/>
              </w:rPr>
              <w:t>Conclusion (RAN1#117)</w:t>
            </w:r>
          </w:p>
          <w:p w14:paraId="3DE08FC6" w14:textId="77777777" w:rsidR="005C7A97" w:rsidRDefault="00EA498A">
            <w:r>
              <w:rPr>
                <w:rFonts w:hint="eastAsia"/>
              </w:rPr>
              <w:t>C</w:t>
            </w:r>
            <w:r>
              <w:t xml:space="preserve">onclude that for Type 1 SD only, the CSI-RS ERPE assumption is not changed per the RRC parameter </w:t>
            </w:r>
            <w:r>
              <w:rPr>
                <w:rFonts w:cs="Times"/>
                <w:i/>
                <w:iCs/>
              </w:rPr>
              <w:t>portSubsetIndicator</w:t>
            </w:r>
            <w:r>
              <w:rPr>
                <w:rFonts w:cs="Times"/>
                <w:iCs/>
              </w:rPr>
              <w:t>.</w:t>
            </w:r>
          </w:p>
        </w:tc>
      </w:tr>
    </w:tbl>
    <w:p w14:paraId="57948261" w14:textId="77777777" w:rsidR="005C7A97" w:rsidRDefault="00EA498A">
      <w:pPr>
        <w:tabs>
          <w:tab w:val="right" w:pos="9638"/>
        </w:tabs>
        <w:spacing w:before="240" w:line="288" w:lineRule="auto"/>
        <w:rPr>
          <w:rFonts w:eastAsia="宋体"/>
        </w:rPr>
      </w:pPr>
      <w:r>
        <w:rPr>
          <w:rFonts w:eastAsia="宋体"/>
        </w:rPr>
        <w:t>In this meeting, the following can be summarise</w:t>
      </w:r>
      <w:r>
        <w:rPr>
          <w:rFonts w:eastAsia="宋体" w:hint="eastAsia"/>
        </w:rPr>
        <w:t>d</w:t>
      </w:r>
      <w:r>
        <w:rPr>
          <w:rFonts w:eastAsia="宋体"/>
        </w:rPr>
        <w:t xml:space="preserve"> from [1]-[6]: </w:t>
      </w:r>
    </w:p>
    <w:p w14:paraId="775A98E1" w14:textId="77777777" w:rsidR="005C7A97" w:rsidRDefault="00EA498A">
      <w:pPr>
        <w:pStyle w:val="affffe"/>
        <w:numPr>
          <w:ilvl w:val="0"/>
          <w:numId w:val="62"/>
        </w:numPr>
        <w:tabs>
          <w:tab w:val="right" w:pos="9638"/>
        </w:tabs>
        <w:spacing w:before="240" w:line="288" w:lineRule="auto"/>
        <w:rPr>
          <w:rFonts w:eastAsia="宋体"/>
        </w:rPr>
      </w:pPr>
      <w:r>
        <w:rPr>
          <w:rFonts w:eastAsia="宋体"/>
        </w:rPr>
        <w:t xml:space="preserve">Alt 1: The EPRE ratio between PDSCH and CSI-RS equals to the summation of </w:t>
      </w:r>
      <w:r>
        <w:rPr>
          <w:rFonts w:eastAsia="宋体"/>
          <w:i/>
          <w:iCs/>
        </w:rPr>
        <w:t>powerControlOffset</w:t>
      </w:r>
      <w:r>
        <w:rPr>
          <w:rFonts w:eastAsia="宋体"/>
        </w:rPr>
        <w:t xml:space="preserve"> of the CSI-RS resource and </w:t>
      </w:r>
      <m:oMath>
        <m:r>
          <m:rPr>
            <m:sty m:val="b"/>
          </m:rPr>
          <w:rPr>
            <w:rFonts w:ascii="Cambria Math" w:hAnsi="Cambria Math" w:cstheme="minorBidi"/>
            <w:sz w:val="16"/>
            <w:szCs w:val="16"/>
            <w:lang w:eastAsia="en-US"/>
          </w:rPr>
          <m:t>10</m:t>
        </m:r>
        <m:func>
          <m:funcPr>
            <m:ctrlPr>
              <w:rPr>
                <w:rFonts w:ascii="Cambria Math" w:hAnsi="Cambria Math" w:cstheme="minorBidi"/>
                <w:b/>
                <w:sz w:val="16"/>
                <w:szCs w:val="16"/>
                <w:lang w:eastAsia="en-US"/>
              </w:rPr>
            </m:ctrlPr>
          </m:funcPr>
          <m:fName>
            <m:sSub>
              <m:sSubPr>
                <m:ctrlPr>
                  <w:rPr>
                    <w:rFonts w:ascii="Cambria Math" w:hAnsi="Cambria Math" w:cstheme="minorBidi"/>
                    <w:b/>
                    <w:sz w:val="16"/>
                    <w:szCs w:val="16"/>
                    <w:lang w:eastAsia="en-US"/>
                  </w:rPr>
                </m:ctrlPr>
              </m:sSubPr>
              <m:e>
                <m:r>
                  <m:rPr>
                    <m:sty m:val="b"/>
                  </m:rPr>
                  <w:rPr>
                    <w:rFonts w:ascii="Cambria Math" w:hAnsi="Cambria Math" w:cstheme="minorBidi"/>
                    <w:sz w:val="16"/>
                    <w:szCs w:val="16"/>
                    <w:lang w:eastAsia="en-US"/>
                  </w:rPr>
                  <m:t>log</m:t>
                </m:r>
              </m:e>
              <m:sub>
                <m:r>
                  <m:rPr>
                    <m:sty m:val="b"/>
                  </m:rPr>
                  <w:rPr>
                    <w:rFonts w:ascii="Cambria Math" w:hAnsi="Cambria Math" w:cstheme="minorBidi"/>
                    <w:sz w:val="16"/>
                    <w:szCs w:val="16"/>
                    <w:lang w:eastAsia="en-US"/>
                  </w:rPr>
                  <m:t>10</m:t>
                </m:r>
              </m:sub>
            </m:sSub>
          </m:fName>
          <m:e>
            <m:r>
              <m:rPr>
                <m:sty m:val="b"/>
              </m:rPr>
              <w:rPr>
                <w:rFonts w:ascii="Cambria Math" w:hAnsi="Cambria Math" w:cstheme="minorBidi"/>
                <w:sz w:val="16"/>
                <w:szCs w:val="16"/>
                <w:lang w:eastAsia="en-US"/>
              </w:rPr>
              <m:t>(</m:t>
            </m:r>
            <m:f>
              <m:fPr>
                <m:ctrlPr>
                  <w:rPr>
                    <w:rFonts w:ascii="Cambria Math" w:hAnsi="Cambria Math" w:cstheme="minorBidi"/>
                    <w:b/>
                    <w:sz w:val="16"/>
                    <w:szCs w:val="16"/>
                    <w:lang w:eastAsia="en-US"/>
                  </w:rPr>
                </m:ctrlPr>
              </m:fPr>
              <m:num>
                <m:r>
                  <m:rPr>
                    <m:sty m:val="bi"/>
                  </m:rPr>
                  <w:rPr>
                    <w:rFonts w:ascii="Cambria Math" w:hAnsi="Cambria Math" w:cstheme="minorBidi"/>
                    <w:sz w:val="16"/>
                    <w:szCs w:val="16"/>
                    <w:lang w:eastAsia="en-US"/>
                  </w:rPr>
                  <m:t>P</m:t>
                </m:r>
              </m:num>
              <m:den>
                <m:sSub>
                  <m:sSubPr>
                    <m:ctrlPr>
                      <w:rPr>
                        <w:rFonts w:ascii="Cambria Math" w:hAnsi="Cambria Math" w:cstheme="minorBidi"/>
                        <w:b/>
                        <w:sz w:val="16"/>
                        <w:szCs w:val="16"/>
                        <w:lang w:eastAsia="en-US"/>
                      </w:rPr>
                    </m:ctrlPr>
                  </m:sSubPr>
                  <m:e>
                    <m:r>
                      <m:rPr>
                        <m:sty m:val="bi"/>
                      </m:rPr>
                      <w:rPr>
                        <w:rFonts w:ascii="Cambria Math" w:hAnsi="Cambria Math" w:cstheme="minorBidi"/>
                        <w:sz w:val="16"/>
                        <w:szCs w:val="16"/>
                        <w:lang w:eastAsia="en-US"/>
                      </w:rPr>
                      <m:t>P</m:t>
                    </m:r>
                  </m:e>
                  <m:sub>
                    <m:r>
                      <m:rPr>
                        <m:sty m:val="b"/>
                      </m:rPr>
                      <w:rPr>
                        <w:rFonts w:ascii="Cambria Math" w:hAnsi="Cambria Math" w:cstheme="minorBidi"/>
                        <w:sz w:val="16"/>
                        <w:szCs w:val="16"/>
                        <w:lang w:eastAsia="en-US"/>
                      </w:rPr>
                      <m:t>0</m:t>
                    </m:r>
                  </m:sub>
                </m:sSub>
              </m:den>
            </m:f>
            <m:r>
              <m:rPr>
                <m:sty m:val="b"/>
              </m:rPr>
              <w:rPr>
                <w:rFonts w:ascii="Cambria Math" w:hAnsi="Cambria Math" w:cstheme="minorBidi"/>
                <w:sz w:val="16"/>
                <w:szCs w:val="16"/>
                <w:lang w:eastAsia="en-US"/>
              </w:rPr>
              <m:t>)</m:t>
            </m:r>
          </m:e>
        </m:func>
      </m:oMath>
      <w:r>
        <w:rPr>
          <w:rFonts w:eastAsia="宋体"/>
        </w:rPr>
        <w:t xml:space="preserve">, where P is the number of antenna ports corresponding to all bits with value of 1 in the </w:t>
      </w:r>
      <w:r>
        <w:rPr>
          <w:rFonts w:eastAsia="宋体"/>
          <w:i/>
          <w:iCs/>
        </w:rPr>
        <w:t>portSubsetIndicator</w:t>
      </w:r>
      <w:r>
        <w:rPr>
          <w:rFonts w:eastAsia="宋体"/>
        </w:rPr>
        <w:t xml:space="preserve">, P0 is the number of ports configured by </w:t>
      </w:r>
      <w:r>
        <w:rPr>
          <w:rFonts w:eastAsia="宋体"/>
          <w:i/>
          <w:iCs/>
        </w:rPr>
        <w:t>nrofPorts</w:t>
      </w:r>
      <w:r>
        <w:rPr>
          <w:rFonts w:eastAsia="宋体"/>
        </w:rPr>
        <w:t xml:space="preserve"> of the CSI-RS resource.</w:t>
      </w:r>
    </w:p>
    <w:p w14:paraId="69A7E12D" w14:textId="77777777" w:rsidR="005C7A97" w:rsidRDefault="00EA498A">
      <w:pPr>
        <w:pStyle w:val="affffe"/>
        <w:numPr>
          <w:ilvl w:val="0"/>
          <w:numId w:val="63"/>
        </w:numPr>
        <w:tabs>
          <w:tab w:val="right" w:pos="9638"/>
        </w:tabs>
        <w:spacing w:before="240" w:line="288" w:lineRule="auto"/>
        <w:rPr>
          <w:rFonts w:eastAsia="宋体"/>
        </w:rPr>
      </w:pPr>
      <w:r>
        <w:rPr>
          <w:rFonts w:eastAsia="宋体"/>
        </w:rPr>
        <w:t>Fujitsu (Note from moderator: please update your TP in the Appendix), Samsung</w:t>
      </w:r>
    </w:p>
    <w:p w14:paraId="68767BD9" w14:textId="77777777" w:rsidR="005C7A97" w:rsidRDefault="00EA498A">
      <w:pPr>
        <w:pStyle w:val="affffe"/>
        <w:numPr>
          <w:ilvl w:val="0"/>
          <w:numId w:val="62"/>
        </w:numPr>
        <w:tabs>
          <w:tab w:val="right" w:pos="9638"/>
        </w:tabs>
        <w:spacing w:before="240" w:line="288" w:lineRule="auto"/>
        <w:rPr>
          <w:rFonts w:eastAsia="宋体"/>
        </w:rPr>
      </w:pPr>
      <w:r>
        <w:rPr>
          <w:rFonts w:eastAsia="宋体"/>
        </w:rPr>
        <w:tab/>
        <w:t xml:space="preserve">Alt 2: The </w:t>
      </w:r>
      <w:r>
        <w:rPr>
          <w:rFonts w:eastAsia="宋体"/>
          <w:i/>
          <w:iCs/>
        </w:rPr>
        <w:t>powerOffset</w:t>
      </w:r>
      <w:r>
        <w:rPr>
          <w:rFonts w:eastAsia="宋体"/>
        </w:rPr>
        <w:t xml:space="preserve"> parameter is mandatory present in a sub-configuration that contains </w:t>
      </w:r>
      <w:r>
        <w:rPr>
          <w:rFonts w:eastAsia="宋体"/>
          <w:i/>
          <w:iCs/>
        </w:rPr>
        <w:t>portSubsetIndicator</w:t>
      </w:r>
      <w:r>
        <w:rPr>
          <w:rFonts w:eastAsia="宋体"/>
        </w:rPr>
        <w:t>, so that the network can configure the power offset the UE should apply rather than the UE determines it based on the number of muted ports.</w:t>
      </w:r>
    </w:p>
    <w:p w14:paraId="247A2161" w14:textId="77777777" w:rsidR="005C7A97" w:rsidRDefault="00EA498A">
      <w:pPr>
        <w:pStyle w:val="affffe"/>
        <w:numPr>
          <w:ilvl w:val="0"/>
          <w:numId w:val="63"/>
        </w:numPr>
        <w:tabs>
          <w:tab w:val="right" w:pos="9638"/>
        </w:tabs>
        <w:spacing w:before="240" w:line="288" w:lineRule="auto"/>
        <w:rPr>
          <w:rFonts w:eastAsia="宋体"/>
        </w:rPr>
      </w:pPr>
      <w:r>
        <w:rPr>
          <w:rFonts w:eastAsia="宋体"/>
        </w:rPr>
        <w:t>Huawei/HiSilicon, Ericsson</w:t>
      </w:r>
    </w:p>
    <w:p w14:paraId="7C5F4F24" w14:textId="77777777" w:rsidR="005C7A97" w:rsidRDefault="00EA498A">
      <w:pPr>
        <w:pStyle w:val="affffe"/>
        <w:numPr>
          <w:ilvl w:val="1"/>
          <w:numId w:val="63"/>
        </w:numPr>
        <w:tabs>
          <w:tab w:val="right" w:pos="9638"/>
        </w:tabs>
        <w:spacing w:before="240" w:line="288" w:lineRule="auto"/>
        <w:rPr>
          <w:rFonts w:eastAsia="宋体"/>
        </w:rPr>
      </w:pPr>
      <w:r>
        <w:rPr>
          <w:rFonts w:eastAsia="宋体" w:hint="eastAsia"/>
        </w:rPr>
        <w:t>H</w:t>
      </w:r>
      <w:r>
        <w:rPr>
          <w:rFonts w:eastAsia="宋体"/>
        </w:rPr>
        <w:t xml:space="preserve">W/HiSi: </w:t>
      </w:r>
    </w:p>
    <w:p w14:paraId="6F6C0E2A" w14:textId="77777777" w:rsidR="005C7A97" w:rsidRDefault="00EA498A">
      <w:pPr>
        <w:pStyle w:val="affffe"/>
        <w:numPr>
          <w:ilvl w:val="0"/>
          <w:numId w:val="62"/>
        </w:numPr>
        <w:tabs>
          <w:tab w:val="right" w:pos="9638"/>
        </w:tabs>
        <w:spacing w:after="0" w:line="240" w:lineRule="auto"/>
        <w:ind w:leftChars="500" w:left="1420"/>
        <w:rPr>
          <w:rFonts w:eastAsia="宋体"/>
          <w:b/>
          <w:bCs/>
        </w:rPr>
      </w:pPr>
      <w:r>
        <w:rPr>
          <w:b/>
          <w:bCs/>
          <w:color w:val="FF0000"/>
        </w:rPr>
        <w:t xml:space="preserve">For each sub-configuration of a </w:t>
      </w:r>
      <w:r>
        <w:rPr>
          <w:b/>
          <w:bCs/>
          <w:i/>
          <w:color w:val="FF0000"/>
        </w:rPr>
        <w:t>CSI-ReportConfig</w:t>
      </w:r>
      <w:r>
        <w:rPr>
          <w:b/>
          <w:bCs/>
          <w:color w:val="FF0000"/>
        </w:rPr>
        <w:t xml:space="preserve">, </w:t>
      </w:r>
      <w:r>
        <w:rPr>
          <w:rFonts w:eastAsia="Batang"/>
          <w:b/>
          <w:bCs/>
          <w:color w:val="FF0000"/>
          <w:lang w:eastAsia="ko-KR"/>
        </w:rPr>
        <w:t xml:space="preserve">the energy of each CSI-RS port remains the same regardless of whether the RRC parameter </w:t>
      </w:r>
      <w:r>
        <w:rPr>
          <w:rFonts w:eastAsia="Batang"/>
          <w:b/>
          <w:bCs/>
          <w:i/>
          <w:iCs/>
          <w:color w:val="FF0000"/>
          <w:lang w:eastAsia="ko-KR"/>
        </w:rPr>
        <w:t>portSubsetIndicator</w:t>
      </w:r>
      <w:r>
        <w:rPr>
          <w:rFonts w:eastAsia="Batang"/>
          <w:b/>
          <w:bCs/>
          <w:color w:val="FF0000"/>
          <w:lang w:eastAsia="ko-KR"/>
        </w:rPr>
        <w:t xml:space="preserve"> is configured or not.</w:t>
      </w:r>
    </w:p>
    <w:p w14:paraId="1F68454A" w14:textId="77777777" w:rsidR="005C7A97" w:rsidRDefault="00EA498A">
      <w:pPr>
        <w:pStyle w:val="affffe"/>
        <w:numPr>
          <w:ilvl w:val="0"/>
          <w:numId w:val="62"/>
        </w:numPr>
        <w:tabs>
          <w:tab w:val="right" w:pos="9638"/>
        </w:tabs>
        <w:spacing w:before="240" w:line="288" w:lineRule="auto"/>
        <w:rPr>
          <w:rFonts w:eastAsia="宋体"/>
        </w:rPr>
      </w:pPr>
      <w:r>
        <w:rPr>
          <w:rFonts w:eastAsia="宋体"/>
        </w:rPr>
        <w:t xml:space="preserve">Alt 3: The EPRE ratio between PDSCH and CSI-RS remains the same as </w:t>
      </w:r>
      <w:r>
        <w:rPr>
          <w:rFonts w:eastAsia="宋体"/>
          <w:i/>
          <w:iCs/>
        </w:rPr>
        <w:t>powerControlOffset</w:t>
      </w:r>
      <w:r>
        <w:rPr>
          <w:rFonts w:eastAsia="宋体"/>
        </w:rPr>
        <w:t>. No spec change is needed.</w:t>
      </w:r>
    </w:p>
    <w:p w14:paraId="7E36EE3D" w14:textId="77777777" w:rsidR="005C7A97" w:rsidRDefault="00EA498A">
      <w:pPr>
        <w:pStyle w:val="affffe"/>
        <w:numPr>
          <w:ilvl w:val="0"/>
          <w:numId w:val="63"/>
        </w:numPr>
        <w:tabs>
          <w:tab w:val="right" w:pos="9638"/>
        </w:tabs>
        <w:spacing w:before="240" w:line="288" w:lineRule="auto"/>
        <w:rPr>
          <w:rFonts w:eastAsia="宋体"/>
        </w:rPr>
      </w:pPr>
      <w:r>
        <w:rPr>
          <w:rFonts w:eastAsia="宋体"/>
        </w:rPr>
        <w:t>LGE</w:t>
      </w:r>
    </w:p>
    <w:p w14:paraId="1C5E8982" w14:textId="77777777" w:rsidR="005C7A97" w:rsidRDefault="00EA498A">
      <w:pPr>
        <w:pStyle w:val="affffe"/>
        <w:numPr>
          <w:ilvl w:val="1"/>
          <w:numId w:val="63"/>
        </w:numPr>
        <w:tabs>
          <w:tab w:val="right" w:pos="9638"/>
        </w:tabs>
        <w:spacing w:before="240" w:line="288" w:lineRule="auto"/>
        <w:rPr>
          <w:rFonts w:eastAsia="宋体"/>
          <w:b/>
          <w:bCs/>
          <w:color w:val="FF0000"/>
        </w:rPr>
      </w:pPr>
      <w:r>
        <w:rPr>
          <w:rFonts w:eastAsia="宋体" w:hint="eastAsia"/>
          <w:b/>
          <w:bCs/>
          <w:color w:val="FF0000"/>
        </w:rPr>
        <w:lastRenderedPageBreak/>
        <w:t xml:space="preserve">CSI-RS EPRE per CSI-RS port is kept as the same regardless of whether </w:t>
      </w:r>
      <w:r>
        <w:rPr>
          <w:rFonts w:eastAsia="宋体"/>
          <w:b/>
          <w:bCs/>
          <w:color w:val="FF0000"/>
        </w:rPr>
        <w:t>the RRC parameter portSubsetIndicator</w:t>
      </w:r>
      <w:r>
        <w:rPr>
          <w:rFonts w:eastAsia="宋体" w:hint="eastAsia"/>
          <w:b/>
          <w:bCs/>
          <w:color w:val="FF0000"/>
        </w:rPr>
        <w:t xml:space="preserve"> is configured or not.</w:t>
      </w:r>
    </w:p>
    <w:p w14:paraId="71CDF0B4" w14:textId="77777777" w:rsidR="005C7A97" w:rsidRDefault="00EA498A">
      <w:pPr>
        <w:pStyle w:val="affffe"/>
        <w:numPr>
          <w:ilvl w:val="1"/>
          <w:numId w:val="63"/>
        </w:numPr>
        <w:tabs>
          <w:tab w:val="right" w:pos="9638"/>
        </w:tabs>
        <w:spacing w:before="240" w:line="288" w:lineRule="auto"/>
        <w:rPr>
          <w:rFonts w:eastAsia="宋体"/>
          <w:b/>
          <w:bCs/>
        </w:rPr>
      </w:pPr>
      <w:r>
        <w:rPr>
          <w:rFonts w:eastAsia="宋体"/>
          <w:b/>
          <w:bCs/>
        </w:rPr>
        <w:t xml:space="preserve">For Type 1 SD adaptation, the UE expects that the number of antenna ports enabled by higher layer parameter </w:t>
      </w:r>
      <w:r>
        <w:rPr>
          <w:rFonts w:eastAsia="宋体"/>
          <w:b/>
          <w:bCs/>
          <w:i/>
          <w:iCs/>
        </w:rPr>
        <w:t>portSubsetIndicator</w:t>
      </w:r>
      <w:r>
        <w:rPr>
          <w:rFonts w:eastAsia="宋体"/>
          <w:b/>
          <w:bCs/>
        </w:rPr>
        <w:t xml:space="preserve"> is the same across each CDM group where at least one antenna port is enabled by higher layer parameter </w:t>
      </w:r>
      <w:r>
        <w:rPr>
          <w:rFonts w:eastAsia="宋体"/>
          <w:b/>
          <w:bCs/>
          <w:i/>
          <w:iCs/>
        </w:rPr>
        <w:t>portSubsetIndicator</w:t>
      </w:r>
      <w:r>
        <w:rPr>
          <w:rFonts w:eastAsia="宋体"/>
          <w:b/>
          <w:bCs/>
        </w:rPr>
        <w:t>.</w:t>
      </w:r>
    </w:p>
    <w:p w14:paraId="0498173D" w14:textId="77777777" w:rsidR="005C7A97" w:rsidRDefault="00EA498A">
      <w:pPr>
        <w:pStyle w:val="1"/>
        <w:numPr>
          <w:ilvl w:val="0"/>
          <w:numId w:val="59"/>
        </w:numPr>
      </w:pPr>
      <w:r>
        <w:t>Discussion</w:t>
      </w:r>
    </w:p>
    <w:p w14:paraId="59C03DB9" w14:textId="77777777" w:rsidR="005C7A97" w:rsidRDefault="00EA498A">
      <w:pPr>
        <w:spacing w:after="0" w:line="240" w:lineRule="auto"/>
        <w:jc w:val="left"/>
        <w:outlineLvl w:val="1"/>
        <w:rPr>
          <w:b/>
          <w:bCs/>
        </w:rPr>
      </w:pPr>
      <w:r>
        <w:rPr>
          <w:rFonts w:hint="eastAsia"/>
          <w:b/>
          <w:bCs/>
        </w:rPr>
        <w:t>R</w:t>
      </w:r>
      <w:r>
        <w:rPr>
          <w:b/>
          <w:bCs/>
        </w:rPr>
        <w:t>ound#1</w:t>
      </w:r>
    </w:p>
    <w:p w14:paraId="3F0CD5BF" w14:textId="77777777" w:rsidR="005C7A97" w:rsidRDefault="005C7A97">
      <w:pPr>
        <w:spacing w:after="0" w:line="240" w:lineRule="auto"/>
        <w:jc w:val="left"/>
      </w:pPr>
    </w:p>
    <w:p w14:paraId="6A70DDAC" w14:textId="77777777" w:rsidR="005C7A97" w:rsidRDefault="00EA498A">
      <w:pPr>
        <w:spacing w:after="0" w:line="240" w:lineRule="auto"/>
        <w:jc w:val="left"/>
        <w:rPr>
          <w:rFonts w:eastAsia="宋体"/>
        </w:rPr>
      </w:pPr>
      <w:r>
        <w:rPr>
          <w:rFonts w:eastAsia="宋体" w:hint="eastAsia"/>
        </w:rPr>
        <w:t>T</w:t>
      </w:r>
      <w:r>
        <w:rPr>
          <w:rFonts w:eastAsia="宋体"/>
        </w:rPr>
        <w:t>o align on the understanding of CSI EPRE in the context of Type 1 SD adaptation, there is a need to further clarify the CSI-RS energy/EPRE per port as well. The following propsoals are made based on the summary of company’s opinion.</w:t>
      </w:r>
    </w:p>
    <w:p w14:paraId="06F4EECC" w14:textId="77777777" w:rsidR="005C7A97" w:rsidRDefault="005C7A97">
      <w:pPr>
        <w:spacing w:after="0" w:line="240" w:lineRule="auto"/>
        <w:jc w:val="left"/>
        <w:rPr>
          <w:b/>
          <w:bCs/>
        </w:rPr>
      </w:pPr>
    </w:p>
    <w:p w14:paraId="7D79BD61" w14:textId="77777777" w:rsidR="005C7A97" w:rsidRDefault="00EA498A">
      <w:pPr>
        <w:spacing w:after="0" w:line="240" w:lineRule="auto"/>
        <w:jc w:val="left"/>
        <w:rPr>
          <w:b/>
          <w:bCs/>
        </w:rPr>
      </w:pPr>
      <w:r>
        <w:rPr>
          <w:b/>
          <w:bCs/>
        </w:rPr>
        <w:t>Proposal 1:</w:t>
      </w:r>
    </w:p>
    <w:p w14:paraId="4263380F" w14:textId="77777777" w:rsidR="005C7A97" w:rsidRDefault="00EA498A">
      <w:pPr>
        <w:spacing w:after="0" w:line="240" w:lineRule="auto"/>
        <w:jc w:val="left"/>
        <w:rPr>
          <w:b/>
          <w:bCs/>
          <w:color w:val="FF0000"/>
        </w:rPr>
      </w:pPr>
      <w:r>
        <w:rPr>
          <w:rFonts w:hint="eastAsia"/>
          <w:b/>
          <w:bCs/>
        </w:rPr>
        <w:t>U</w:t>
      </w:r>
      <w:r>
        <w:rPr>
          <w:b/>
          <w:bCs/>
        </w:rPr>
        <w:t>pdate the conclusion from RAN1#117 as below:</w:t>
      </w:r>
    </w:p>
    <w:p w14:paraId="736A812C" w14:textId="77777777" w:rsidR="005C7A97" w:rsidRDefault="00EA498A">
      <w:pPr>
        <w:spacing w:after="0" w:line="240" w:lineRule="auto"/>
        <w:jc w:val="left"/>
        <w:rPr>
          <w:b/>
          <w:bCs/>
        </w:rPr>
      </w:pPr>
      <w:r>
        <w:rPr>
          <w:rFonts w:hint="eastAsia"/>
        </w:rPr>
        <w:t>C</w:t>
      </w:r>
      <w:r>
        <w:t xml:space="preserve">onclude that for Type 1 SD only, the CSI-RS ERPE assumption is not changed per the RRC parameter </w:t>
      </w:r>
      <w:r>
        <w:rPr>
          <w:rFonts w:cs="Times"/>
          <w:i/>
          <w:iCs/>
        </w:rPr>
        <w:t>portSubsetIndicator</w:t>
      </w:r>
      <w:r>
        <w:rPr>
          <w:rFonts w:cs="Times"/>
          <w:iCs/>
        </w:rPr>
        <w:t>.</w:t>
      </w:r>
    </w:p>
    <w:p w14:paraId="57EA5A23" w14:textId="77777777" w:rsidR="005C7A97" w:rsidRDefault="00EA498A">
      <w:pPr>
        <w:pStyle w:val="affffe"/>
        <w:numPr>
          <w:ilvl w:val="0"/>
          <w:numId w:val="62"/>
        </w:numPr>
        <w:tabs>
          <w:tab w:val="right" w:pos="9638"/>
        </w:tabs>
        <w:spacing w:after="0" w:line="240" w:lineRule="auto"/>
        <w:rPr>
          <w:rFonts w:eastAsia="宋体"/>
          <w:b/>
          <w:bCs/>
        </w:rPr>
      </w:pPr>
      <w:r>
        <w:rPr>
          <w:b/>
          <w:bCs/>
          <w:color w:val="FF0000"/>
        </w:rPr>
        <w:t xml:space="preserve">For each sub-configuration of a </w:t>
      </w:r>
      <w:r>
        <w:rPr>
          <w:b/>
          <w:bCs/>
          <w:i/>
          <w:color w:val="FF0000"/>
        </w:rPr>
        <w:t>CSI-ReportConfig</w:t>
      </w:r>
      <w:r>
        <w:rPr>
          <w:b/>
          <w:bCs/>
          <w:color w:val="FF0000"/>
        </w:rPr>
        <w:t xml:space="preserve">, </w:t>
      </w:r>
      <w:r>
        <w:rPr>
          <w:rFonts w:eastAsia="Batang"/>
          <w:b/>
          <w:bCs/>
          <w:color w:val="FF0000"/>
          <w:lang w:eastAsia="ko-KR"/>
        </w:rPr>
        <w:t xml:space="preserve">the energy of each CSI-RS port remains the same regardless of whether the RRC parameter </w:t>
      </w:r>
      <w:r>
        <w:rPr>
          <w:rFonts w:eastAsia="Batang"/>
          <w:b/>
          <w:bCs/>
          <w:i/>
          <w:iCs/>
          <w:color w:val="FF0000"/>
          <w:lang w:eastAsia="ko-KR"/>
        </w:rPr>
        <w:t>portSubsetIndicator</w:t>
      </w:r>
      <w:r>
        <w:rPr>
          <w:rFonts w:eastAsia="Batang"/>
          <w:b/>
          <w:bCs/>
          <w:color w:val="FF0000"/>
          <w:lang w:eastAsia="ko-KR"/>
        </w:rPr>
        <w:t xml:space="preserve"> is configured or not.</w:t>
      </w:r>
    </w:p>
    <w:p w14:paraId="5490D2F2" w14:textId="77777777" w:rsidR="005C7A97" w:rsidRDefault="005C7A97">
      <w:pPr>
        <w:spacing w:after="0" w:line="240" w:lineRule="auto"/>
        <w:jc w:val="left"/>
        <w:rPr>
          <w:rFonts w:eastAsia="宋体"/>
        </w:rPr>
      </w:pPr>
    </w:p>
    <w:p w14:paraId="52F96CC6" w14:textId="77777777" w:rsidR="005C7A97" w:rsidRDefault="00EA498A">
      <w:pPr>
        <w:spacing w:after="0" w:line="240" w:lineRule="auto"/>
        <w:jc w:val="left"/>
        <w:rPr>
          <w:rFonts w:eastAsia="宋体"/>
        </w:rPr>
      </w:pPr>
      <w:r>
        <w:rPr>
          <w:rFonts w:eastAsia="宋体" w:hint="eastAsia"/>
          <w:b/>
          <w:bCs/>
        </w:rPr>
        <w:t>P</w:t>
      </w:r>
      <w:r>
        <w:rPr>
          <w:rFonts w:eastAsia="宋体"/>
          <w:b/>
          <w:bCs/>
        </w:rPr>
        <w:t>ropsoal 2</w:t>
      </w:r>
      <w:r>
        <w:rPr>
          <w:rFonts w:eastAsia="宋体"/>
        </w:rPr>
        <w:t>:</w:t>
      </w:r>
    </w:p>
    <w:p w14:paraId="45CEC01F" w14:textId="77777777" w:rsidR="005C7A97" w:rsidRDefault="00EA498A">
      <w:pPr>
        <w:spacing w:after="0" w:line="240" w:lineRule="auto"/>
        <w:jc w:val="left"/>
        <w:rPr>
          <w:rFonts w:eastAsia="宋体"/>
        </w:rPr>
      </w:pPr>
      <w:r>
        <w:rPr>
          <w:rFonts w:eastAsia="宋体"/>
        </w:rPr>
        <w:t xml:space="preserve">The </w:t>
      </w:r>
      <w:r>
        <w:rPr>
          <w:rFonts w:eastAsia="宋体"/>
          <w:i/>
          <w:iCs/>
        </w:rPr>
        <w:t>powerOffset</w:t>
      </w:r>
      <w:r>
        <w:rPr>
          <w:rFonts w:eastAsia="宋体"/>
        </w:rPr>
        <w:t xml:space="preserve"> parameter is mandatory present in a sub-configuration that contains </w:t>
      </w:r>
      <w:r>
        <w:rPr>
          <w:rFonts w:eastAsia="宋体"/>
          <w:i/>
          <w:iCs/>
        </w:rPr>
        <w:t>portSubsetIndicator</w:t>
      </w:r>
      <w:r>
        <w:rPr>
          <w:rFonts w:eastAsia="宋体"/>
        </w:rPr>
        <w:t>.</w:t>
      </w:r>
    </w:p>
    <w:p w14:paraId="27AD3716" w14:textId="77777777" w:rsidR="005C7A97" w:rsidRDefault="005C7A97">
      <w:pPr>
        <w:spacing w:after="0" w:line="240" w:lineRule="auto"/>
        <w:jc w:val="left"/>
        <w:rPr>
          <w:rFonts w:eastAsia="宋体"/>
        </w:rPr>
      </w:pPr>
    </w:p>
    <w:p w14:paraId="3B2707F5" w14:textId="77777777" w:rsidR="005C7A97" w:rsidRDefault="00EA498A">
      <w:pPr>
        <w:spacing w:after="0" w:line="240" w:lineRule="auto"/>
        <w:jc w:val="left"/>
        <w:rPr>
          <w:rFonts w:eastAsia="宋体"/>
        </w:rPr>
      </w:pPr>
      <w:r>
        <w:rPr>
          <w:rFonts w:eastAsia="宋体" w:hint="eastAsia"/>
          <w:b/>
          <w:bCs/>
        </w:rPr>
        <w:t>P</w:t>
      </w:r>
      <w:r>
        <w:rPr>
          <w:rFonts w:eastAsia="宋体"/>
          <w:b/>
          <w:bCs/>
        </w:rPr>
        <w:t>ropsoal 3</w:t>
      </w:r>
      <w:r>
        <w:rPr>
          <w:rFonts w:eastAsia="宋体"/>
        </w:rPr>
        <w:t>:</w:t>
      </w:r>
    </w:p>
    <w:p w14:paraId="636907FC" w14:textId="77777777" w:rsidR="005C7A97" w:rsidRDefault="00EA498A">
      <w:pPr>
        <w:spacing w:after="0" w:line="240" w:lineRule="auto"/>
        <w:jc w:val="left"/>
        <w:rPr>
          <w:rFonts w:eastAsia="宋体"/>
        </w:rPr>
      </w:pPr>
      <w:r>
        <w:rPr>
          <w:rFonts w:eastAsia="宋体" w:hint="eastAsia"/>
        </w:rPr>
        <w:t>Discuss</w:t>
      </w:r>
      <w:r>
        <w:rPr>
          <w:rFonts w:eastAsia="宋体"/>
        </w:rPr>
        <w:t xml:space="preserve"> whether the following restriction is needed, and if so, the spec impact (to 38.214 or 38.331):</w:t>
      </w:r>
    </w:p>
    <w:p w14:paraId="4F644169" w14:textId="77777777" w:rsidR="005C7A97" w:rsidRDefault="00EA498A">
      <w:pPr>
        <w:pStyle w:val="affffe"/>
        <w:numPr>
          <w:ilvl w:val="0"/>
          <w:numId w:val="62"/>
        </w:numPr>
        <w:tabs>
          <w:tab w:val="right" w:pos="9638"/>
        </w:tabs>
        <w:spacing w:after="0" w:line="240" w:lineRule="auto"/>
        <w:rPr>
          <w:rFonts w:eastAsia="宋体"/>
        </w:rPr>
      </w:pPr>
      <w:r>
        <w:rPr>
          <w:rFonts w:eastAsia="宋体"/>
        </w:rPr>
        <w:t xml:space="preserve">For Type 1 SD adaptation, the UE expects that the number of antenna ports enabled by higher layer parameter </w:t>
      </w:r>
      <w:r>
        <w:rPr>
          <w:rFonts w:eastAsia="宋体"/>
          <w:i/>
          <w:iCs/>
        </w:rPr>
        <w:t>portSubsetIndicator</w:t>
      </w:r>
      <w:r>
        <w:rPr>
          <w:rFonts w:eastAsia="宋体"/>
        </w:rPr>
        <w:t xml:space="preserve"> is the same across each CDM group where at least one antenna port is enabled by higher layer parameter </w:t>
      </w:r>
      <w:r>
        <w:rPr>
          <w:rFonts w:eastAsia="宋体"/>
          <w:i/>
          <w:iCs/>
        </w:rPr>
        <w:t>portSubsetIndicator</w:t>
      </w:r>
      <w:r>
        <w:rPr>
          <w:rFonts w:eastAsia="宋体"/>
        </w:rPr>
        <w:t>.</w:t>
      </w:r>
    </w:p>
    <w:p w14:paraId="542E4471" w14:textId="77777777" w:rsidR="005C7A97" w:rsidRDefault="005C7A97">
      <w:pPr>
        <w:spacing w:after="0" w:line="240" w:lineRule="auto"/>
        <w:jc w:val="left"/>
        <w:rPr>
          <w:rFonts w:eastAsia="宋体"/>
        </w:rPr>
      </w:pPr>
    </w:p>
    <w:tbl>
      <w:tblPr>
        <w:tblStyle w:val="affff1"/>
        <w:tblW w:w="9631" w:type="dxa"/>
        <w:tblLayout w:type="fixed"/>
        <w:tblLook w:val="04A0" w:firstRow="1" w:lastRow="0" w:firstColumn="1" w:lastColumn="0" w:noHBand="0" w:noVBand="1"/>
      </w:tblPr>
      <w:tblGrid>
        <w:gridCol w:w="1479"/>
        <w:gridCol w:w="1493"/>
        <w:gridCol w:w="6659"/>
      </w:tblGrid>
      <w:tr w:rsidR="005C7A97" w14:paraId="76735768" w14:textId="77777777">
        <w:trPr>
          <w:trHeight w:val="261"/>
        </w:trPr>
        <w:tc>
          <w:tcPr>
            <w:tcW w:w="1479" w:type="dxa"/>
            <w:shd w:val="clear" w:color="auto" w:fill="C5E0B3" w:themeFill="accent6" w:themeFillTint="66"/>
          </w:tcPr>
          <w:p w14:paraId="0E048117" w14:textId="77777777" w:rsidR="005C7A97" w:rsidRDefault="00EA498A">
            <w:pPr>
              <w:rPr>
                <w:b/>
                <w:bCs/>
              </w:rPr>
            </w:pPr>
            <w:r>
              <w:rPr>
                <w:b/>
                <w:bCs/>
              </w:rPr>
              <w:t>Company</w:t>
            </w:r>
          </w:p>
        </w:tc>
        <w:tc>
          <w:tcPr>
            <w:tcW w:w="1493" w:type="dxa"/>
            <w:shd w:val="clear" w:color="auto" w:fill="C5E0B3" w:themeFill="accent6" w:themeFillTint="66"/>
          </w:tcPr>
          <w:p w14:paraId="5DD90142" w14:textId="77777777" w:rsidR="005C7A97" w:rsidRDefault="00EA498A">
            <w:pPr>
              <w:rPr>
                <w:b/>
                <w:bCs/>
              </w:rPr>
            </w:pPr>
            <w:r>
              <w:rPr>
                <w:b/>
                <w:bCs/>
              </w:rPr>
              <w:t>Supported Proposal/Alt</w:t>
            </w:r>
          </w:p>
        </w:tc>
        <w:tc>
          <w:tcPr>
            <w:tcW w:w="6659" w:type="dxa"/>
            <w:shd w:val="clear" w:color="auto" w:fill="C5E0B3" w:themeFill="accent6" w:themeFillTint="66"/>
          </w:tcPr>
          <w:p w14:paraId="691219C4" w14:textId="77777777" w:rsidR="005C7A97" w:rsidRDefault="00EA498A">
            <w:pPr>
              <w:rPr>
                <w:b/>
                <w:bCs/>
              </w:rPr>
            </w:pPr>
            <w:r>
              <w:rPr>
                <w:b/>
                <w:bCs/>
              </w:rPr>
              <w:t>Comments</w:t>
            </w:r>
          </w:p>
        </w:tc>
      </w:tr>
      <w:tr w:rsidR="005C7A97" w14:paraId="5E08AB9A" w14:textId="77777777">
        <w:trPr>
          <w:trHeight w:val="261"/>
        </w:trPr>
        <w:tc>
          <w:tcPr>
            <w:tcW w:w="1479" w:type="dxa"/>
            <w:shd w:val="clear" w:color="auto" w:fill="auto"/>
          </w:tcPr>
          <w:p w14:paraId="41ED1D81" w14:textId="77777777" w:rsidR="005C7A97" w:rsidRDefault="00EA498A">
            <w:pPr>
              <w:rPr>
                <w:rFonts w:eastAsia="Yu Mincho"/>
                <w:lang w:eastAsia="ja-JP"/>
              </w:rPr>
            </w:pPr>
            <w:r>
              <w:rPr>
                <w:rFonts w:eastAsia="Yu Mincho" w:hint="eastAsia"/>
                <w:lang w:eastAsia="ja-JP"/>
              </w:rPr>
              <w:t>Fujitsu</w:t>
            </w:r>
          </w:p>
        </w:tc>
        <w:tc>
          <w:tcPr>
            <w:tcW w:w="1493" w:type="dxa"/>
            <w:shd w:val="clear" w:color="auto" w:fill="auto"/>
          </w:tcPr>
          <w:p w14:paraId="4091A6EB" w14:textId="77777777" w:rsidR="005C7A97" w:rsidRDefault="005C7A97">
            <w:pPr>
              <w:rPr>
                <w:rFonts w:eastAsia="Malgun Gothic"/>
                <w:lang w:eastAsia="ko-KR"/>
              </w:rPr>
            </w:pPr>
          </w:p>
        </w:tc>
        <w:tc>
          <w:tcPr>
            <w:tcW w:w="6659" w:type="dxa"/>
            <w:shd w:val="clear" w:color="auto" w:fill="auto"/>
          </w:tcPr>
          <w:p w14:paraId="2EBD6308" w14:textId="77777777" w:rsidR="005C7A97" w:rsidRDefault="00EA498A">
            <w:pPr>
              <w:rPr>
                <w:rFonts w:eastAsia="Yu Mincho"/>
                <w:lang w:eastAsia="ja-JP"/>
              </w:rPr>
            </w:pPr>
            <w:r>
              <w:rPr>
                <w:rFonts w:eastAsia="Yu Mincho" w:hint="eastAsia"/>
                <w:lang w:eastAsia="ja-JP"/>
              </w:rPr>
              <w:t>For proposal 1, we think that the conclusion of RAN1#117 should be kept as it is. Our understanding is that UE</w:t>
            </w:r>
            <w:r>
              <w:rPr>
                <w:rFonts w:eastAsia="Yu Mincho"/>
                <w:lang w:eastAsia="ja-JP"/>
              </w:rPr>
              <w:t>’</w:t>
            </w:r>
            <w:r>
              <w:rPr>
                <w:rFonts w:eastAsia="Yu Mincho" w:hint="eastAsia"/>
                <w:lang w:eastAsia="ja-JP"/>
              </w:rPr>
              <w:t xml:space="preserve">s </w:t>
            </w:r>
            <w:r>
              <w:rPr>
                <w:rFonts w:eastAsia="Yu Mincho"/>
                <w:lang w:eastAsia="ja-JP"/>
              </w:rPr>
              <w:t>assumption</w:t>
            </w:r>
            <w:r>
              <w:rPr>
                <w:rFonts w:eastAsia="Yu Mincho" w:hint="eastAsia"/>
                <w:lang w:eastAsia="ja-JP"/>
              </w:rPr>
              <w:t xml:space="preserve"> about the CSI-RS EPRE will follow the number of CSI-RS ports configured in CSI-RS resource configuration, which is </w:t>
            </w:r>
            <w:r>
              <w:rPr>
                <w:rFonts w:eastAsia="Yu Mincho"/>
                <w:lang w:eastAsia="ja-JP"/>
              </w:rPr>
              <w:t>irrelevant</w:t>
            </w:r>
            <w:r>
              <w:rPr>
                <w:rFonts w:eastAsia="Yu Mincho" w:hint="eastAsia"/>
                <w:lang w:eastAsia="ja-JP"/>
              </w:rPr>
              <w:t xml:space="preserve"> with the </w:t>
            </w:r>
            <w:r>
              <w:rPr>
                <w:rFonts w:eastAsia="Yu Mincho"/>
                <w:lang w:eastAsia="ja-JP"/>
              </w:rPr>
              <w:t>number</w:t>
            </w:r>
            <w:r>
              <w:rPr>
                <w:rFonts w:eastAsia="Yu Mincho" w:hint="eastAsia"/>
                <w:lang w:eastAsia="ja-JP"/>
              </w:rPr>
              <w:t xml:space="preserve"> of antenna ports provided by </w:t>
            </w:r>
            <w:r>
              <w:rPr>
                <w:rFonts w:eastAsia="Yu Mincho" w:hint="eastAsia"/>
                <w:i/>
                <w:iCs/>
                <w:lang w:eastAsia="ja-JP"/>
              </w:rPr>
              <w:t>portSubsetIndicator</w:t>
            </w:r>
            <w:r>
              <w:rPr>
                <w:rFonts w:eastAsia="Yu Mincho" w:hint="eastAsia"/>
                <w:lang w:eastAsia="ja-JP"/>
              </w:rPr>
              <w:t>.</w:t>
            </w:r>
          </w:p>
          <w:p w14:paraId="328D05B2" w14:textId="77777777" w:rsidR="005C7A97" w:rsidRDefault="00EA498A">
            <w:pPr>
              <w:rPr>
                <w:rFonts w:eastAsia="Yu Mincho"/>
                <w:lang w:eastAsia="ja-JP"/>
              </w:rPr>
            </w:pPr>
            <w:r>
              <w:rPr>
                <w:rFonts w:eastAsia="Yu Mincho" w:hint="eastAsia"/>
                <w:lang w:eastAsia="ja-JP"/>
              </w:rPr>
              <w:t xml:space="preserve">For </w:t>
            </w:r>
            <w:r>
              <w:rPr>
                <w:rFonts w:eastAsia="Yu Mincho"/>
                <w:lang w:eastAsia="ja-JP"/>
              </w:rPr>
              <w:t>proposal</w:t>
            </w:r>
            <w:r>
              <w:rPr>
                <w:rFonts w:eastAsia="Yu Mincho" w:hint="eastAsia"/>
                <w:lang w:eastAsia="ja-JP"/>
              </w:rPr>
              <w:t xml:space="preserve"> 2, we </w:t>
            </w:r>
            <w:r>
              <w:rPr>
                <w:rFonts w:eastAsia="Yu Mincho"/>
                <w:lang w:eastAsia="ja-JP"/>
              </w:rPr>
              <w:t>believe</w:t>
            </w:r>
            <w:r>
              <w:rPr>
                <w:rFonts w:eastAsia="Yu Mincho" w:hint="eastAsia"/>
                <w:lang w:eastAsia="ja-JP"/>
              </w:rPr>
              <w:t xml:space="preserve"> that </w:t>
            </w:r>
            <w:r>
              <w:rPr>
                <w:rFonts w:eastAsia="Yu Mincho"/>
                <w:lang w:eastAsia="ja-JP"/>
              </w:rPr>
              <w:t>Alt</w:t>
            </w:r>
            <w:r>
              <w:rPr>
                <w:rFonts w:eastAsia="Yu Mincho" w:hint="eastAsia"/>
                <w:lang w:eastAsia="ja-JP"/>
              </w:rPr>
              <w:t xml:space="preserve"> </w:t>
            </w:r>
            <w:r>
              <w:rPr>
                <w:rFonts w:eastAsia="Yu Mincho"/>
                <w:lang w:eastAsia="ja-JP"/>
              </w:rPr>
              <w:t>1 and Alt</w:t>
            </w:r>
            <w:r>
              <w:rPr>
                <w:rFonts w:eastAsia="Yu Mincho" w:hint="eastAsia"/>
                <w:lang w:eastAsia="ja-JP"/>
              </w:rPr>
              <w:t xml:space="preserve"> </w:t>
            </w:r>
            <w:r>
              <w:rPr>
                <w:rFonts w:eastAsia="Yu Mincho"/>
                <w:lang w:eastAsia="ja-JP"/>
              </w:rPr>
              <w:t xml:space="preserve">2 achieve the same effect. </w:t>
            </w:r>
            <w:r>
              <w:rPr>
                <w:rFonts w:eastAsia="Yu Mincho" w:hint="eastAsia"/>
                <w:lang w:eastAsia="ja-JP"/>
              </w:rPr>
              <w:t>For example</w:t>
            </w:r>
            <w:r>
              <w:rPr>
                <w:rFonts w:eastAsia="Yu Mincho"/>
                <w:lang w:eastAsia="ja-JP"/>
              </w:rPr>
              <w:t>,</w:t>
            </w:r>
            <w:r>
              <w:rPr>
                <w:rFonts w:eastAsia="Yu Mincho" w:hint="eastAsia"/>
                <w:lang w:eastAsia="ja-JP"/>
              </w:rPr>
              <w:t xml:space="preserve"> if the number of antenna ports provided by</w:t>
            </w:r>
            <w:r>
              <w:rPr>
                <w:rFonts w:eastAsia="Yu Mincho"/>
                <w:lang w:eastAsia="ja-JP"/>
              </w:rPr>
              <w:t xml:space="preserve"> CS</w:t>
            </w:r>
            <w:r>
              <w:rPr>
                <w:rFonts w:eastAsia="Yu Mincho" w:hint="eastAsia"/>
                <w:lang w:eastAsia="ja-JP"/>
              </w:rPr>
              <w:t>I</w:t>
            </w:r>
            <w:r>
              <w:rPr>
                <w:rFonts w:eastAsia="Yu Mincho"/>
                <w:lang w:eastAsia="ja-JP"/>
              </w:rPr>
              <w:t>-RS</w:t>
            </w:r>
            <w:r>
              <w:rPr>
                <w:rFonts w:eastAsia="Yu Mincho" w:hint="eastAsia"/>
                <w:lang w:eastAsia="ja-JP"/>
              </w:rPr>
              <w:t xml:space="preserve"> resource configuration</w:t>
            </w:r>
            <w:r>
              <w:rPr>
                <w:rFonts w:eastAsia="Yu Mincho"/>
                <w:lang w:eastAsia="ja-JP"/>
              </w:rPr>
              <w:t xml:space="preserve"> </w:t>
            </w:r>
            <w:r>
              <w:rPr>
                <w:rFonts w:eastAsia="Yu Mincho" w:hint="eastAsia"/>
                <w:lang w:eastAsia="ja-JP"/>
              </w:rPr>
              <w:t>is</w:t>
            </w:r>
            <w:r>
              <w:rPr>
                <w:rFonts w:eastAsia="Yu Mincho"/>
                <w:lang w:eastAsia="ja-JP"/>
              </w:rPr>
              <w:t xml:space="preserve"> 32 ports, </w:t>
            </w:r>
            <w:r>
              <w:rPr>
                <w:rFonts w:eastAsia="Yu Mincho" w:hint="eastAsia"/>
                <w:lang w:eastAsia="ja-JP"/>
              </w:rPr>
              <w:t>and</w:t>
            </w:r>
            <w:r>
              <w:rPr>
                <w:rFonts w:eastAsia="Yu Mincho"/>
                <w:lang w:eastAsia="ja-JP"/>
              </w:rPr>
              <w:t xml:space="preserve"> the </w:t>
            </w:r>
            <w:r>
              <w:rPr>
                <w:rFonts w:eastAsia="Yu Mincho" w:hint="eastAsia"/>
                <w:lang w:eastAsia="ja-JP"/>
              </w:rPr>
              <w:t xml:space="preserve">sub-configuration indicating 16 ports </w:t>
            </w:r>
            <w:r>
              <w:rPr>
                <w:rFonts w:eastAsia="Yu Mincho" w:hint="eastAsia"/>
                <w:i/>
                <w:iCs/>
                <w:lang w:eastAsia="ja-JP"/>
              </w:rPr>
              <w:t xml:space="preserve">portSubsetIndicator, </w:t>
            </w:r>
            <w:r>
              <w:rPr>
                <w:rFonts w:eastAsia="Yu Mincho" w:hint="eastAsia"/>
                <w:lang w:eastAsia="ja-JP"/>
              </w:rPr>
              <w:t>then</w:t>
            </w:r>
            <w:r>
              <w:rPr>
                <w:rFonts w:eastAsia="Yu Mincho"/>
                <w:lang w:eastAsia="ja-JP"/>
              </w:rPr>
              <w:t xml:space="preserve"> the UE's</w:t>
            </w:r>
            <w:r>
              <w:rPr>
                <w:rFonts w:eastAsia="Yu Mincho" w:hint="eastAsia"/>
                <w:lang w:eastAsia="ja-JP"/>
              </w:rPr>
              <w:t xml:space="preserve"> assumption on</w:t>
            </w:r>
            <w:r>
              <w:rPr>
                <w:rFonts w:eastAsia="Yu Mincho"/>
                <w:lang w:eastAsia="ja-JP"/>
              </w:rPr>
              <w:t xml:space="preserve"> power offset</w:t>
            </w:r>
            <w:r>
              <w:rPr>
                <w:rFonts w:eastAsia="Yu Mincho" w:hint="eastAsia"/>
                <w:lang w:eastAsia="ja-JP"/>
              </w:rPr>
              <w:t xml:space="preserve"> for this sub-configuration</w:t>
            </w:r>
            <w:r>
              <w:rPr>
                <w:rFonts w:eastAsia="Yu Mincho"/>
                <w:lang w:eastAsia="ja-JP"/>
              </w:rPr>
              <w:t xml:space="preserve"> is the power offset value</w:t>
            </w:r>
            <w:r>
              <w:rPr>
                <w:rFonts w:eastAsia="Yu Mincho" w:hint="eastAsia"/>
                <w:lang w:eastAsia="ja-JP"/>
              </w:rPr>
              <w:t xml:space="preserve"> provided</w:t>
            </w:r>
            <w:r>
              <w:rPr>
                <w:rFonts w:eastAsia="Yu Mincho"/>
                <w:lang w:eastAsia="ja-JP"/>
              </w:rPr>
              <w:t xml:space="preserve"> by the resource configuration</w:t>
            </w:r>
            <w:r>
              <w:rPr>
                <w:rFonts w:eastAsia="Yu Mincho" w:hint="eastAsia"/>
                <w:lang w:eastAsia="ja-JP"/>
              </w:rPr>
              <w:t xml:space="preserve"> mimus 3 dB</w:t>
            </w:r>
            <w:r>
              <w:rPr>
                <w:rFonts w:eastAsia="Yu Mincho"/>
                <w:lang w:eastAsia="ja-JP"/>
              </w:rPr>
              <w:t>.</w:t>
            </w:r>
            <w:r>
              <w:rPr>
                <w:rFonts w:eastAsia="Yu Mincho" w:hint="eastAsia"/>
                <w:lang w:eastAsia="ja-JP"/>
              </w:rPr>
              <w:t xml:space="preserve"> Therefore, we</w:t>
            </w:r>
            <w:r>
              <w:rPr>
                <w:rFonts w:eastAsia="Yu Mincho"/>
                <w:lang w:eastAsia="ja-JP"/>
              </w:rPr>
              <w:t>’</w:t>
            </w:r>
            <w:r>
              <w:rPr>
                <w:rFonts w:eastAsia="Yu Mincho" w:hint="eastAsia"/>
                <w:lang w:eastAsia="ja-JP"/>
              </w:rPr>
              <w:t>d like to put Alt 1 on the table as well for discussion.</w:t>
            </w:r>
          </w:p>
          <w:p w14:paraId="672044B2" w14:textId="77777777" w:rsidR="005C7A97" w:rsidRDefault="00EA498A">
            <w:pPr>
              <w:rPr>
                <w:rFonts w:eastAsia="Yu Mincho"/>
                <w:lang w:eastAsia="ja-JP"/>
              </w:rPr>
            </w:pPr>
            <w:r>
              <w:rPr>
                <w:rFonts w:eastAsia="Yu Mincho" w:hint="eastAsia"/>
                <w:lang w:eastAsia="ja-JP"/>
              </w:rPr>
              <w:t xml:space="preserve">Between Alt 1 and Alt 2, we </w:t>
            </w:r>
            <w:r>
              <w:rPr>
                <w:rFonts w:eastAsia="Yu Mincho"/>
                <w:lang w:eastAsia="ja-JP"/>
              </w:rPr>
              <w:t>prefer</w:t>
            </w:r>
            <w:r>
              <w:rPr>
                <w:rFonts w:eastAsia="Yu Mincho" w:hint="eastAsia"/>
                <w:lang w:eastAsia="ja-JP"/>
              </w:rPr>
              <w:t xml:space="preserve"> Alt 1 because we </w:t>
            </w:r>
            <w:r>
              <w:rPr>
                <w:rFonts w:eastAsia="Yu Mincho"/>
                <w:lang w:eastAsia="ja-JP"/>
              </w:rPr>
              <w:t>believe</w:t>
            </w:r>
            <w:r>
              <w:rPr>
                <w:rFonts w:eastAsia="Yu Mincho" w:hint="eastAsia"/>
                <w:lang w:eastAsia="ja-JP"/>
              </w:rPr>
              <w:t xml:space="preserve"> that it </w:t>
            </w:r>
            <w:r>
              <w:rPr>
                <w:rFonts w:eastAsia="Yu Mincho"/>
                <w:lang w:eastAsia="ja-JP"/>
              </w:rPr>
              <w:t>involves</w:t>
            </w:r>
            <w:r>
              <w:rPr>
                <w:rFonts w:eastAsia="Yu Mincho" w:hint="eastAsia"/>
                <w:lang w:eastAsia="ja-JP"/>
              </w:rPr>
              <w:t xml:space="preserve"> fewer spec changes. For Alt 2, as mentioned in Ericsson</w:t>
            </w:r>
            <w:r>
              <w:rPr>
                <w:rFonts w:eastAsia="Yu Mincho"/>
                <w:lang w:eastAsia="ja-JP"/>
              </w:rPr>
              <w:t>’</w:t>
            </w:r>
            <w:r>
              <w:rPr>
                <w:rFonts w:eastAsia="Yu Mincho" w:hint="eastAsia"/>
                <w:lang w:eastAsia="ja-JP"/>
              </w:rPr>
              <w:t>s contribution, not only the TP below but also the update of FGs 42-1/1a/1b/1c, are required.</w:t>
            </w:r>
          </w:p>
          <w:p w14:paraId="5BF841FF" w14:textId="77777777" w:rsidR="005C7A97" w:rsidRDefault="00EA498A">
            <w:pPr>
              <w:rPr>
                <w:rFonts w:eastAsia="Yu Mincho"/>
                <w:lang w:eastAsia="ja-JP"/>
              </w:rPr>
            </w:pPr>
            <w:r>
              <w:rPr>
                <w:rFonts w:eastAsia="Yu Mincho" w:hint="eastAsia"/>
                <w:lang w:eastAsia="ja-JP"/>
              </w:rPr>
              <w:t xml:space="preserve">Our TP is updated in the apprendix for your reference. </w:t>
            </w:r>
          </w:p>
        </w:tc>
      </w:tr>
      <w:tr w:rsidR="005C7A97" w14:paraId="3AFA554D" w14:textId="77777777">
        <w:trPr>
          <w:trHeight w:val="261"/>
        </w:trPr>
        <w:tc>
          <w:tcPr>
            <w:tcW w:w="1479" w:type="dxa"/>
          </w:tcPr>
          <w:p w14:paraId="0DAC163B" w14:textId="77777777" w:rsidR="005C7A97" w:rsidRDefault="00EA498A">
            <w:pPr>
              <w:rPr>
                <w:rFonts w:eastAsia="宋体"/>
                <w:b/>
                <w:bCs/>
              </w:rPr>
            </w:pPr>
            <w:r>
              <w:rPr>
                <w:rFonts w:eastAsia="宋体" w:hint="eastAsia"/>
                <w:b/>
                <w:bCs/>
              </w:rPr>
              <w:t>ZTE, Sanechips</w:t>
            </w:r>
          </w:p>
        </w:tc>
        <w:tc>
          <w:tcPr>
            <w:tcW w:w="1493" w:type="dxa"/>
          </w:tcPr>
          <w:p w14:paraId="1DDD7C66" w14:textId="77777777" w:rsidR="005C7A97" w:rsidRDefault="00EA498A">
            <w:pPr>
              <w:rPr>
                <w:rFonts w:eastAsia="宋体"/>
              </w:rPr>
            </w:pPr>
            <w:r>
              <w:rPr>
                <w:rFonts w:eastAsia="宋体" w:hint="eastAsia"/>
              </w:rPr>
              <w:t>P1 or P2</w:t>
            </w:r>
          </w:p>
        </w:tc>
        <w:tc>
          <w:tcPr>
            <w:tcW w:w="6659" w:type="dxa"/>
          </w:tcPr>
          <w:p w14:paraId="54FA19EA" w14:textId="77777777" w:rsidR="005C7A97" w:rsidRDefault="00EA498A">
            <w:pPr>
              <w:rPr>
                <w:rFonts w:eastAsia="宋体"/>
              </w:rPr>
            </w:pPr>
            <w:r>
              <w:rPr>
                <w:rFonts w:eastAsia="宋体" w:hint="eastAsia"/>
              </w:rPr>
              <w:t>We prefer to follow the conclusion in RAN1#117, and proposal 1 is preferred.</w:t>
            </w:r>
          </w:p>
          <w:p w14:paraId="19C0FD14" w14:textId="77777777" w:rsidR="005C7A97" w:rsidRDefault="00EA498A">
            <w:pPr>
              <w:rPr>
                <w:rFonts w:eastAsia="宋体"/>
              </w:rPr>
            </w:pPr>
            <w:r>
              <w:rPr>
                <w:rFonts w:eastAsia="宋体" w:hint="eastAsia"/>
              </w:rPr>
              <w:t>However, we can also OK with proposal 2 if most companies agree with this.</w:t>
            </w:r>
          </w:p>
          <w:p w14:paraId="1BB99E4B" w14:textId="77777777" w:rsidR="005C7A97" w:rsidRDefault="00EA498A">
            <w:pPr>
              <w:rPr>
                <w:rFonts w:eastAsia="宋体"/>
              </w:rPr>
            </w:pPr>
            <w:r>
              <w:rPr>
                <w:rFonts w:eastAsia="宋体" w:hint="eastAsia"/>
              </w:rPr>
              <w:t>Proposal 3 will reduce the flexibility of Type 1 SD adaptation and increase more spec work. Therefore, we don</w:t>
            </w:r>
            <w:r>
              <w:rPr>
                <w:rFonts w:eastAsia="宋体"/>
              </w:rPr>
              <w:t>’</w:t>
            </w:r>
            <w:r>
              <w:rPr>
                <w:rFonts w:eastAsia="宋体" w:hint="eastAsia"/>
              </w:rPr>
              <w:t xml:space="preserve">t support proposal 3. </w:t>
            </w:r>
          </w:p>
        </w:tc>
      </w:tr>
      <w:tr w:rsidR="00E25A16" w14:paraId="0D498EBA" w14:textId="77777777" w:rsidTr="006429D4">
        <w:trPr>
          <w:trHeight w:val="261"/>
        </w:trPr>
        <w:tc>
          <w:tcPr>
            <w:tcW w:w="9631" w:type="dxa"/>
            <w:gridSpan w:val="3"/>
          </w:tcPr>
          <w:p w14:paraId="78A2815C" w14:textId="6B630DA0" w:rsidR="00E25A16" w:rsidRDefault="00E25A16">
            <w:r>
              <w:rPr>
                <w:rFonts w:hint="eastAsia"/>
              </w:rPr>
              <w:lastRenderedPageBreak/>
              <w:t>F</w:t>
            </w:r>
            <w:r>
              <w:t>L: closed. Use Round#2 to continue.</w:t>
            </w:r>
          </w:p>
        </w:tc>
      </w:tr>
    </w:tbl>
    <w:p w14:paraId="71FB57F2" w14:textId="6CE180ED" w:rsidR="00042BF4" w:rsidRDefault="00042BF4">
      <w:pPr>
        <w:spacing w:after="0" w:line="240" w:lineRule="auto"/>
        <w:jc w:val="left"/>
        <w:rPr>
          <w:rFonts w:ascii="Times" w:hAnsi="Times"/>
          <w:sz w:val="28"/>
        </w:rPr>
      </w:pPr>
    </w:p>
    <w:p w14:paraId="221BF47E" w14:textId="53A65E52" w:rsidR="00042BF4" w:rsidRDefault="00042BF4">
      <w:pPr>
        <w:spacing w:after="0" w:line="240" w:lineRule="auto"/>
        <w:jc w:val="left"/>
        <w:rPr>
          <w:rFonts w:ascii="Times" w:hAnsi="Times"/>
          <w:sz w:val="28"/>
        </w:rPr>
      </w:pPr>
    </w:p>
    <w:p w14:paraId="0E51BAC4" w14:textId="63F8CBB8" w:rsidR="00042BF4" w:rsidRDefault="00042BF4" w:rsidP="00042BF4">
      <w:pPr>
        <w:spacing w:after="0" w:line="240" w:lineRule="auto"/>
        <w:jc w:val="left"/>
        <w:outlineLvl w:val="1"/>
        <w:rPr>
          <w:b/>
          <w:bCs/>
        </w:rPr>
      </w:pPr>
      <w:r>
        <w:rPr>
          <w:rFonts w:hint="eastAsia"/>
          <w:b/>
          <w:bCs/>
        </w:rPr>
        <w:t>R</w:t>
      </w:r>
      <w:r>
        <w:rPr>
          <w:b/>
          <w:bCs/>
        </w:rPr>
        <w:t>ound#2</w:t>
      </w:r>
    </w:p>
    <w:p w14:paraId="70769C49" w14:textId="77777777" w:rsidR="00042BF4" w:rsidRDefault="00042BF4" w:rsidP="00042BF4">
      <w:pPr>
        <w:spacing w:after="0" w:line="240" w:lineRule="auto"/>
        <w:jc w:val="left"/>
      </w:pPr>
    </w:p>
    <w:p w14:paraId="1156875F" w14:textId="4D3BBE82" w:rsidR="00042BF4" w:rsidRDefault="003324B4" w:rsidP="00042BF4">
      <w:pPr>
        <w:spacing w:after="0" w:line="240" w:lineRule="auto"/>
        <w:jc w:val="left"/>
        <w:rPr>
          <w:rFonts w:eastAsia="宋体"/>
        </w:rPr>
      </w:pPr>
      <w:r>
        <w:rPr>
          <w:rFonts w:eastAsia="宋体" w:hint="eastAsia"/>
        </w:rPr>
        <w:t>A</w:t>
      </w:r>
      <w:r>
        <w:rPr>
          <w:rFonts w:eastAsia="宋体"/>
        </w:rPr>
        <w:t>ccording to the discussion during online, regarding the original P</w:t>
      </w:r>
      <w:r>
        <w:rPr>
          <w:rFonts w:eastAsia="宋体" w:hint="eastAsia"/>
        </w:rPr>
        <w:t>roposal</w:t>
      </w:r>
      <w:r w:rsidR="005571BB">
        <w:rPr>
          <w:rFonts w:eastAsia="宋体"/>
        </w:rPr>
        <w:t>s</w:t>
      </w:r>
      <w:r>
        <w:rPr>
          <w:rFonts w:eastAsia="宋体"/>
        </w:rPr>
        <w:t xml:space="preserve">, FL mades some </w:t>
      </w:r>
      <w:r w:rsidRPr="003324B4">
        <w:rPr>
          <w:rFonts w:eastAsia="宋体"/>
          <w:color w:val="4472C4" w:themeColor="accent1"/>
        </w:rPr>
        <w:t xml:space="preserve">update </w:t>
      </w:r>
      <w:r>
        <w:rPr>
          <w:rFonts w:eastAsia="宋体"/>
        </w:rPr>
        <w:t>and</w:t>
      </w:r>
      <w:r w:rsidR="005571BB">
        <w:rPr>
          <w:rFonts w:eastAsia="宋体"/>
        </w:rPr>
        <w:t xml:space="preserve"> </w:t>
      </w:r>
      <w:r>
        <w:rPr>
          <w:rFonts w:eastAsia="宋体"/>
        </w:rPr>
        <w:t>new question</w:t>
      </w:r>
      <w:r w:rsidR="005571BB">
        <w:rPr>
          <w:rFonts w:eastAsia="宋体"/>
        </w:rPr>
        <w:t>s for facilitating the discussion</w:t>
      </w:r>
      <w:r>
        <w:rPr>
          <w:rFonts w:eastAsia="宋体"/>
        </w:rPr>
        <w:t>.</w:t>
      </w:r>
    </w:p>
    <w:p w14:paraId="3F93FBE3" w14:textId="77777777" w:rsidR="00042BF4" w:rsidRDefault="00042BF4" w:rsidP="00042BF4">
      <w:pPr>
        <w:spacing w:after="0" w:line="240" w:lineRule="auto"/>
        <w:jc w:val="left"/>
        <w:rPr>
          <w:b/>
          <w:bCs/>
        </w:rPr>
      </w:pPr>
    </w:p>
    <w:p w14:paraId="2B330C08" w14:textId="61B8D005" w:rsidR="00042BF4" w:rsidRDefault="00042BF4" w:rsidP="00042BF4">
      <w:pPr>
        <w:spacing w:after="0" w:line="240" w:lineRule="auto"/>
        <w:jc w:val="left"/>
        <w:rPr>
          <w:b/>
          <w:bCs/>
        </w:rPr>
      </w:pPr>
      <w:r>
        <w:rPr>
          <w:b/>
          <w:bCs/>
        </w:rPr>
        <w:t>Proposal 1</w:t>
      </w:r>
    </w:p>
    <w:p w14:paraId="60615D34" w14:textId="77777777" w:rsidR="00042BF4" w:rsidRDefault="00042BF4" w:rsidP="00042BF4">
      <w:pPr>
        <w:spacing w:after="0" w:line="240" w:lineRule="auto"/>
        <w:jc w:val="left"/>
        <w:rPr>
          <w:b/>
          <w:bCs/>
          <w:color w:val="FF0000"/>
        </w:rPr>
      </w:pPr>
      <w:r>
        <w:rPr>
          <w:rFonts w:hint="eastAsia"/>
          <w:b/>
          <w:bCs/>
        </w:rPr>
        <w:t>U</w:t>
      </w:r>
      <w:r>
        <w:rPr>
          <w:b/>
          <w:bCs/>
        </w:rPr>
        <w:t>pdate the conclusion from RAN1#117 as below:</w:t>
      </w:r>
    </w:p>
    <w:p w14:paraId="12418CFA" w14:textId="77777777" w:rsidR="00042BF4" w:rsidRDefault="00042BF4" w:rsidP="00042BF4">
      <w:pPr>
        <w:spacing w:after="0" w:line="240" w:lineRule="auto"/>
        <w:jc w:val="left"/>
        <w:rPr>
          <w:b/>
          <w:bCs/>
        </w:rPr>
      </w:pPr>
      <w:r>
        <w:rPr>
          <w:rFonts w:hint="eastAsia"/>
        </w:rPr>
        <w:t>C</w:t>
      </w:r>
      <w:r>
        <w:t xml:space="preserve">onclude that for Type 1 SD only, the CSI-RS ERPE assumption is not changed per the RRC parameter </w:t>
      </w:r>
      <w:r>
        <w:rPr>
          <w:rFonts w:cs="Times"/>
          <w:i/>
          <w:iCs/>
        </w:rPr>
        <w:t>portSubsetIndicator</w:t>
      </w:r>
      <w:r>
        <w:rPr>
          <w:rFonts w:cs="Times"/>
          <w:iCs/>
        </w:rPr>
        <w:t>.</w:t>
      </w:r>
    </w:p>
    <w:p w14:paraId="77CA1AAC" w14:textId="5D4E1E6A" w:rsidR="00042BF4" w:rsidRDefault="003324B4" w:rsidP="00042BF4">
      <w:pPr>
        <w:pStyle w:val="affffe"/>
        <w:numPr>
          <w:ilvl w:val="0"/>
          <w:numId w:val="62"/>
        </w:numPr>
        <w:tabs>
          <w:tab w:val="right" w:pos="9638"/>
        </w:tabs>
        <w:spacing w:after="0" w:line="240" w:lineRule="auto"/>
        <w:rPr>
          <w:rFonts w:eastAsia="宋体"/>
          <w:b/>
          <w:bCs/>
        </w:rPr>
      </w:pPr>
      <w:r w:rsidRPr="003324B4">
        <w:rPr>
          <w:b/>
          <w:bCs/>
          <w:color w:val="4472C4" w:themeColor="accent1"/>
        </w:rPr>
        <w:t>Across</w:t>
      </w:r>
      <w:r w:rsidR="00042BF4" w:rsidRPr="003324B4">
        <w:rPr>
          <w:b/>
          <w:bCs/>
          <w:color w:val="4472C4" w:themeColor="accent1"/>
        </w:rPr>
        <w:t xml:space="preserve"> </w:t>
      </w:r>
      <w:r w:rsidRPr="003324B4">
        <w:rPr>
          <w:b/>
          <w:bCs/>
          <w:color w:val="4472C4" w:themeColor="accent1"/>
        </w:rPr>
        <w:t>the</w:t>
      </w:r>
      <w:r w:rsidR="00042BF4" w:rsidRPr="003324B4">
        <w:rPr>
          <w:b/>
          <w:bCs/>
          <w:color w:val="4472C4" w:themeColor="accent1"/>
        </w:rPr>
        <w:t xml:space="preserve"> </w:t>
      </w:r>
      <w:r w:rsidR="00042BF4">
        <w:rPr>
          <w:b/>
          <w:bCs/>
          <w:color w:val="FF0000"/>
        </w:rPr>
        <w:t>sub-configuration</w:t>
      </w:r>
      <w:r w:rsidRPr="003324B4">
        <w:rPr>
          <w:b/>
          <w:bCs/>
          <w:color w:val="4472C4" w:themeColor="accent1"/>
        </w:rPr>
        <w:t>(s)</w:t>
      </w:r>
      <w:r w:rsidR="00042BF4" w:rsidRPr="003324B4">
        <w:rPr>
          <w:b/>
          <w:bCs/>
          <w:color w:val="4472C4" w:themeColor="accent1"/>
        </w:rPr>
        <w:t xml:space="preserve"> </w:t>
      </w:r>
      <w:r>
        <w:rPr>
          <w:b/>
          <w:bCs/>
          <w:color w:val="FF0000"/>
        </w:rPr>
        <w:t>corresponding to</w:t>
      </w:r>
      <w:r w:rsidR="00042BF4">
        <w:rPr>
          <w:b/>
          <w:bCs/>
          <w:color w:val="FF0000"/>
        </w:rPr>
        <w:t xml:space="preserve"> a </w:t>
      </w:r>
      <w:r w:rsidR="00042BF4">
        <w:rPr>
          <w:b/>
          <w:bCs/>
          <w:i/>
          <w:color w:val="FF0000"/>
        </w:rPr>
        <w:t>CSI-ReportConfig</w:t>
      </w:r>
      <w:r>
        <w:rPr>
          <w:b/>
          <w:bCs/>
          <w:iCs/>
          <w:color w:val="FF0000"/>
        </w:rPr>
        <w:t xml:space="preserve"> of Type 1 SD only</w:t>
      </w:r>
      <w:r w:rsidR="00042BF4">
        <w:rPr>
          <w:b/>
          <w:bCs/>
          <w:color w:val="FF0000"/>
        </w:rPr>
        <w:t xml:space="preserve">, </w:t>
      </w:r>
      <w:r w:rsidR="00042BF4">
        <w:rPr>
          <w:rFonts w:eastAsia="Batang"/>
          <w:b/>
          <w:bCs/>
          <w:color w:val="FF0000"/>
          <w:lang w:eastAsia="ko-KR"/>
        </w:rPr>
        <w:t xml:space="preserve">the energy of each CSI-RS port remains the same regardless of </w:t>
      </w:r>
      <w:r w:rsidRPr="003324B4">
        <w:rPr>
          <w:rFonts w:eastAsia="Batang"/>
          <w:b/>
          <w:bCs/>
          <w:color w:val="4472C4" w:themeColor="accent1"/>
          <w:lang w:eastAsia="ko-KR"/>
        </w:rPr>
        <w:t>the value</w:t>
      </w:r>
      <w:r w:rsidR="00042BF4">
        <w:rPr>
          <w:rFonts w:eastAsia="Batang"/>
          <w:b/>
          <w:bCs/>
          <w:color w:val="FF0000"/>
          <w:lang w:eastAsia="ko-KR"/>
        </w:rPr>
        <w:t xml:space="preserve"> the RRC parameter </w:t>
      </w:r>
      <w:r w:rsidR="00042BF4">
        <w:rPr>
          <w:rFonts w:eastAsia="Batang"/>
          <w:b/>
          <w:bCs/>
          <w:i/>
          <w:iCs/>
          <w:color w:val="FF0000"/>
          <w:lang w:eastAsia="ko-KR"/>
        </w:rPr>
        <w:t>portSubsetIndicator</w:t>
      </w:r>
      <w:r w:rsidR="00042BF4">
        <w:rPr>
          <w:rFonts w:eastAsia="Batang"/>
          <w:b/>
          <w:bCs/>
          <w:color w:val="FF0000"/>
          <w:lang w:eastAsia="ko-KR"/>
        </w:rPr>
        <w:t xml:space="preserve"> </w:t>
      </w:r>
      <w:r w:rsidR="00042BF4" w:rsidRPr="003324B4">
        <w:rPr>
          <w:rFonts w:eastAsia="Batang"/>
          <w:b/>
          <w:bCs/>
          <w:strike/>
          <w:color w:val="4472C4" w:themeColor="accent1"/>
          <w:lang w:eastAsia="ko-KR"/>
        </w:rPr>
        <w:t>is configured or not</w:t>
      </w:r>
      <w:r w:rsidR="00042BF4">
        <w:rPr>
          <w:rFonts w:eastAsia="Batang"/>
          <w:b/>
          <w:bCs/>
          <w:color w:val="FF0000"/>
          <w:lang w:eastAsia="ko-KR"/>
        </w:rPr>
        <w:t>.</w:t>
      </w:r>
    </w:p>
    <w:p w14:paraId="1F6E401B" w14:textId="22B58235" w:rsidR="00042BF4" w:rsidRDefault="00042BF4" w:rsidP="00042BF4">
      <w:pPr>
        <w:spacing w:after="0" w:line="240" w:lineRule="auto"/>
        <w:jc w:val="left"/>
        <w:rPr>
          <w:rFonts w:eastAsia="宋体"/>
        </w:rPr>
      </w:pPr>
    </w:p>
    <w:p w14:paraId="28510133" w14:textId="46A7C21E" w:rsidR="003324B4" w:rsidRDefault="003324B4" w:rsidP="00042BF4">
      <w:pPr>
        <w:spacing w:after="0" w:line="240" w:lineRule="auto"/>
        <w:jc w:val="left"/>
        <w:rPr>
          <w:rFonts w:eastAsia="宋体"/>
        </w:rPr>
      </w:pPr>
    </w:p>
    <w:p w14:paraId="2CCEC268" w14:textId="0A11430F" w:rsidR="003324B4" w:rsidRPr="003324B4" w:rsidRDefault="003324B4" w:rsidP="00042BF4">
      <w:pPr>
        <w:spacing w:after="0" w:line="240" w:lineRule="auto"/>
        <w:jc w:val="left"/>
        <w:rPr>
          <w:rFonts w:eastAsia="宋体"/>
          <w:b/>
          <w:bCs/>
        </w:rPr>
      </w:pPr>
      <w:r w:rsidRPr="003324B4">
        <w:rPr>
          <w:rFonts w:eastAsia="宋体" w:hint="eastAsia"/>
          <w:b/>
          <w:bCs/>
        </w:rPr>
        <w:t>Q</w:t>
      </w:r>
      <w:r w:rsidRPr="003324B4">
        <w:rPr>
          <w:rFonts w:eastAsia="宋体"/>
          <w:b/>
          <w:bCs/>
        </w:rPr>
        <w:t>uestion 1</w:t>
      </w:r>
    </w:p>
    <w:p w14:paraId="57C0C7D8" w14:textId="2C5AFC01" w:rsidR="003324B4" w:rsidRDefault="003324B4" w:rsidP="00042BF4">
      <w:pPr>
        <w:spacing w:after="0" w:line="240" w:lineRule="auto"/>
        <w:jc w:val="left"/>
        <w:rPr>
          <w:rFonts w:eastAsia="宋体"/>
        </w:rPr>
      </w:pPr>
      <w:r>
        <w:rPr>
          <w:rFonts w:eastAsia="宋体" w:hint="eastAsia"/>
        </w:rPr>
        <w:t>D</w:t>
      </w:r>
      <w:r>
        <w:rPr>
          <w:rFonts w:eastAsia="宋体"/>
        </w:rPr>
        <w:t>o you think the energy of each CSI-RS port can vary or not?</w:t>
      </w:r>
    </w:p>
    <w:p w14:paraId="17897686" w14:textId="64CBC013" w:rsidR="003324B4" w:rsidRDefault="003324B4" w:rsidP="003324B4">
      <w:pPr>
        <w:pStyle w:val="affffe"/>
        <w:numPr>
          <w:ilvl w:val="0"/>
          <w:numId w:val="65"/>
        </w:numPr>
        <w:spacing w:after="0" w:line="240" w:lineRule="auto"/>
        <w:jc w:val="left"/>
        <w:rPr>
          <w:rFonts w:eastAsia="宋体"/>
        </w:rPr>
      </w:pPr>
      <w:r w:rsidRPr="003324B4">
        <w:rPr>
          <w:rFonts w:eastAsia="宋体" w:hint="eastAsia"/>
          <w:b/>
          <w:bCs/>
        </w:rPr>
        <w:t>A</w:t>
      </w:r>
      <w:r w:rsidRPr="003324B4">
        <w:rPr>
          <w:rFonts w:eastAsia="宋体"/>
          <w:b/>
          <w:bCs/>
        </w:rPr>
        <w:t>nswer 1</w:t>
      </w:r>
      <w:r>
        <w:rPr>
          <w:rFonts w:eastAsia="宋体"/>
        </w:rPr>
        <w:t>: can vary across sub-configurations</w:t>
      </w:r>
    </w:p>
    <w:p w14:paraId="2058A621" w14:textId="191E2864" w:rsidR="003324B4" w:rsidRDefault="003324B4" w:rsidP="003324B4">
      <w:pPr>
        <w:pStyle w:val="affffe"/>
        <w:numPr>
          <w:ilvl w:val="0"/>
          <w:numId w:val="65"/>
        </w:numPr>
        <w:spacing w:after="0" w:line="240" w:lineRule="auto"/>
        <w:jc w:val="left"/>
        <w:rPr>
          <w:rFonts w:eastAsia="宋体"/>
        </w:rPr>
      </w:pPr>
      <w:r w:rsidRPr="003324B4">
        <w:rPr>
          <w:rFonts w:eastAsia="宋体" w:hint="eastAsia"/>
          <w:b/>
          <w:bCs/>
        </w:rPr>
        <w:t>A</w:t>
      </w:r>
      <w:r w:rsidRPr="003324B4">
        <w:rPr>
          <w:rFonts w:eastAsia="宋体"/>
          <w:b/>
          <w:bCs/>
        </w:rPr>
        <w:t>nswer 2</w:t>
      </w:r>
      <w:r>
        <w:rPr>
          <w:rFonts w:eastAsia="宋体"/>
        </w:rPr>
        <w:t xml:space="preserve">: remain the same across sub-configurations </w:t>
      </w:r>
    </w:p>
    <w:p w14:paraId="29B74736" w14:textId="7200754D" w:rsidR="003324B4" w:rsidRPr="003324B4" w:rsidRDefault="003324B4" w:rsidP="003324B4">
      <w:pPr>
        <w:pStyle w:val="affffe"/>
        <w:numPr>
          <w:ilvl w:val="0"/>
          <w:numId w:val="65"/>
        </w:numPr>
        <w:spacing w:after="0" w:line="240" w:lineRule="auto"/>
        <w:jc w:val="left"/>
        <w:rPr>
          <w:rFonts w:eastAsia="宋体"/>
        </w:rPr>
      </w:pPr>
      <w:r w:rsidRPr="003324B4">
        <w:rPr>
          <w:rFonts w:eastAsia="宋体" w:hint="eastAsia"/>
          <w:b/>
          <w:bCs/>
        </w:rPr>
        <w:t>A</w:t>
      </w:r>
      <w:r w:rsidRPr="003324B4">
        <w:rPr>
          <w:rFonts w:eastAsia="宋体"/>
          <w:b/>
          <w:bCs/>
        </w:rPr>
        <w:t>nswer 3</w:t>
      </w:r>
      <w:r>
        <w:rPr>
          <w:rFonts w:eastAsia="宋体"/>
        </w:rPr>
        <w:t>: it doesn’t matter, i.e. it may or may not be changed thus no need of any conclusion.</w:t>
      </w:r>
    </w:p>
    <w:p w14:paraId="64F4AA29" w14:textId="1930CEF9" w:rsidR="003324B4" w:rsidRDefault="003324B4" w:rsidP="00042BF4">
      <w:pPr>
        <w:spacing w:after="0" w:line="240" w:lineRule="auto"/>
        <w:jc w:val="left"/>
        <w:rPr>
          <w:rFonts w:eastAsia="宋体"/>
        </w:rPr>
      </w:pPr>
    </w:p>
    <w:tbl>
      <w:tblPr>
        <w:tblStyle w:val="affff1"/>
        <w:tblW w:w="9631" w:type="dxa"/>
        <w:tblLayout w:type="fixed"/>
        <w:tblLook w:val="04A0" w:firstRow="1" w:lastRow="0" w:firstColumn="1" w:lastColumn="0" w:noHBand="0" w:noVBand="1"/>
      </w:tblPr>
      <w:tblGrid>
        <w:gridCol w:w="1479"/>
        <w:gridCol w:w="1777"/>
        <w:gridCol w:w="6375"/>
      </w:tblGrid>
      <w:tr w:rsidR="003324B4" w14:paraId="24F61BB5" w14:textId="77777777" w:rsidTr="003324B4">
        <w:trPr>
          <w:trHeight w:val="261"/>
        </w:trPr>
        <w:tc>
          <w:tcPr>
            <w:tcW w:w="1479" w:type="dxa"/>
            <w:shd w:val="clear" w:color="auto" w:fill="C5E0B3" w:themeFill="accent6" w:themeFillTint="66"/>
          </w:tcPr>
          <w:p w14:paraId="68EC73A1" w14:textId="77777777" w:rsidR="003324B4" w:rsidRDefault="003324B4" w:rsidP="00400FE1">
            <w:pPr>
              <w:rPr>
                <w:b/>
                <w:bCs/>
              </w:rPr>
            </w:pPr>
            <w:r>
              <w:rPr>
                <w:b/>
                <w:bCs/>
              </w:rPr>
              <w:t>Company</w:t>
            </w:r>
          </w:p>
        </w:tc>
        <w:tc>
          <w:tcPr>
            <w:tcW w:w="1777" w:type="dxa"/>
            <w:shd w:val="clear" w:color="auto" w:fill="C5E0B3" w:themeFill="accent6" w:themeFillTint="66"/>
          </w:tcPr>
          <w:p w14:paraId="521CE66B" w14:textId="126E1130" w:rsidR="003324B4" w:rsidRDefault="003324B4" w:rsidP="00400FE1">
            <w:pPr>
              <w:rPr>
                <w:b/>
                <w:bCs/>
              </w:rPr>
            </w:pPr>
            <w:r>
              <w:rPr>
                <w:b/>
                <w:bCs/>
              </w:rPr>
              <w:t>Supported Proposal/Answer</w:t>
            </w:r>
          </w:p>
        </w:tc>
        <w:tc>
          <w:tcPr>
            <w:tcW w:w="6375" w:type="dxa"/>
            <w:shd w:val="clear" w:color="auto" w:fill="C5E0B3" w:themeFill="accent6" w:themeFillTint="66"/>
          </w:tcPr>
          <w:p w14:paraId="39C0652C" w14:textId="77777777" w:rsidR="003324B4" w:rsidRDefault="003324B4" w:rsidP="00400FE1">
            <w:pPr>
              <w:rPr>
                <w:b/>
                <w:bCs/>
              </w:rPr>
            </w:pPr>
            <w:r>
              <w:rPr>
                <w:b/>
                <w:bCs/>
              </w:rPr>
              <w:t>Comments</w:t>
            </w:r>
          </w:p>
        </w:tc>
      </w:tr>
      <w:tr w:rsidR="003324B4" w14:paraId="3091D9E4" w14:textId="77777777" w:rsidTr="003324B4">
        <w:trPr>
          <w:trHeight w:val="261"/>
        </w:trPr>
        <w:tc>
          <w:tcPr>
            <w:tcW w:w="1479" w:type="dxa"/>
            <w:shd w:val="clear" w:color="auto" w:fill="auto"/>
          </w:tcPr>
          <w:p w14:paraId="1091B69D" w14:textId="4020B5EC" w:rsidR="003324B4" w:rsidRPr="0043285A" w:rsidRDefault="0043285A" w:rsidP="00400FE1">
            <w:r>
              <w:rPr>
                <w:rFonts w:hint="eastAsia"/>
              </w:rPr>
              <w:t>S</w:t>
            </w:r>
            <w:r>
              <w:t>amsung</w:t>
            </w:r>
          </w:p>
        </w:tc>
        <w:tc>
          <w:tcPr>
            <w:tcW w:w="1777" w:type="dxa"/>
            <w:shd w:val="clear" w:color="auto" w:fill="auto"/>
          </w:tcPr>
          <w:p w14:paraId="41175FEE" w14:textId="60116A1A" w:rsidR="003324B4" w:rsidRPr="0043285A" w:rsidRDefault="0043285A" w:rsidP="00400FE1">
            <w:r>
              <w:rPr>
                <w:rFonts w:hint="eastAsia"/>
              </w:rPr>
              <w:t>A</w:t>
            </w:r>
            <w:r>
              <w:t>nswer 3</w:t>
            </w:r>
          </w:p>
        </w:tc>
        <w:tc>
          <w:tcPr>
            <w:tcW w:w="6375" w:type="dxa"/>
            <w:shd w:val="clear" w:color="auto" w:fill="auto"/>
          </w:tcPr>
          <w:p w14:paraId="53139040" w14:textId="4D0E8654" w:rsidR="003324B4" w:rsidRPr="0043285A" w:rsidRDefault="003A6548" w:rsidP="00400FE1">
            <w:r>
              <w:t>F</w:t>
            </w:r>
            <w:r w:rsidR="0043285A">
              <w:t xml:space="preserve">or the purpose of CQI calculation, </w:t>
            </w:r>
            <w:r w:rsidR="006C3AD6">
              <w:t xml:space="preserve">the </w:t>
            </w:r>
            <w:r w:rsidR="006C3AD6">
              <w:rPr>
                <w:rFonts w:hint="eastAsia"/>
              </w:rPr>
              <w:t>CSI-RS</w:t>
            </w:r>
            <w:r w:rsidR="006C3AD6">
              <w:t xml:space="preserve"> </w:t>
            </w:r>
            <w:r w:rsidR="006C3AD6">
              <w:rPr>
                <w:rFonts w:hint="eastAsia"/>
              </w:rPr>
              <w:t>EPRE</w:t>
            </w:r>
            <w:r w:rsidR="006C3AD6">
              <w:t xml:space="preserve"> for each sub-configuration is calculation based on the power summation of all CSI-RS ports (regardless of port subset indication). </w:t>
            </w:r>
            <w:r w:rsidR="00F613A3">
              <w:rPr>
                <w:rFonts w:hint="eastAsia"/>
              </w:rPr>
              <w:t>With</w:t>
            </w:r>
            <w:r w:rsidR="00F613A3">
              <w:t xml:space="preserve"> this assumption, further update of the conclusion seems not needed.</w:t>
            </w:r>
          </w:p>
        </w:tc>
      </w:tr>
      <w:tr w:rsidR="003324B4" w14:paraId="304187BE" w14:textId="77777777" w:rsidTr="003324B4">
        <w:trPr>
          <w:trHeight w:val="261"/>
        </w:trPr>
        <w:tc>
          <w:tcPr>
            <w:tcW w:w="1479" w:type="dxa"/>
          </w:tcPr>
          <w:p w14:paraId="42698656" w14:textId="15C90338" w:rsidR="003324B4" w:rsidRDefault="00C8672C" w:rsidP="00400FE1">
            <w:pPr>
              <w:rPr>
                <w:rFonts w:eastAsia="Yu Mincho"/>
                <w:lang w:eastAsia="ja-JP"/>
              </w:rPr>
            </w:pPr>
            <w:r>
              <w:rPr>
                <w:rFonts w:eastAsia="Yu Mincho" w:hint="eastAsia"/>
                <w:lang w:eastAsia="ja-JP"/>
              </w:rPr>
              <w:t>Fujitsu</w:t>
            </w:r>
          </w:p>
        </w:tc>
        <w:tc>
          <w:tcPr>
            <w:tcW w:w="1777" w:type="dxa"/>
          </w:tcPr>
          <w:p w14:paraId="655371AC" w14:textId="65DE4168" w:rsidR="003324B4" w:rsidRPr="00C8672C" w:rsidRDefault="00C8672C" w:rsidP="00400FE1">
            <w:pPr>
              <w:rPr>
                <w:rFonts w:eastAsia="Yu Mincho"/>
                <w:lang w:eastAsia="ja-JP"/>
              </w:rPr>
            </w:pPr>
            <w:r>
              <w:rPr>
                <w:rFonts w:eastAsia="Yu Mincho" w:hint="eastAsia"/>
                <w:lang w:eastAsia="ja-JP"/>
              </w:rPr>
              <w:t>Answer 3</w:t>
            </w:r>
          </w:p>
        </w:tc>
        <w:tc>
          <w:tcPr>
            <w:tcW w:w="6375" w:type="dxa"/>
          </w:tcPr>
          <w:p w14:paraId="4D3CCAEB" w14:textId="6795DE16" w:rsidR="003324B4" w:rsidRDefault="00C8672C" w:rsidP="00400FE1">
            <w:pPr>
              <w:rPr>
                <w:rFonts w:eastAsia="Yu Mincho"/>
                <w:lang w:eastAsia="ja-JP"/>
              </w:rPr>
            </w:pPr>
            <w:r>
              <w:rPr>
                <w:rFonts w:eastAsia="Yu Mincho" w:hint="eastAsia"/>
                <w:lang w:eastAsia="ja-JP"/>
              </w:rPr>
              <w:t>Same view as Samsung.</w:t>
            </w:r>
          </w:p>
        </w:tc>
      </w:tr>
      <w:tr w:rsidR="00E0230D" w:rsidRPr="00096741" w14:paraId="395E2007" w14:textId="77777777" w:rsidTr="00E0230D">
        <w:trPr>
          <w:trHeight w:val="261"/>
        </w:trPr>
        <w:tc>
          <w:tcPr>
            <w:tcW w:w="1479" w:type="dxa"/>
          </w:tcPr>
          <w:p w14:paraId="171E2D71" w14:textId="77777777" w:rsidR="00E0230D" w:rsidRPr="00096741" w:rsidRDefault="00E0230D" w:rsidP="00891727">
            <w:pPr>
              <w:rPr>
                <w:rFonts w:eastAsia="Malgun Gothic"/>
                <w:lang w:eastAsia="ko-KR"/>
              </w:rPr>
            </w:pPr>
            <w:r>
              <w:rPr>
                <w:rFonts w:eastAsia="Malgun Gothic" w:hint="eastAsia"/>
                <w:lang w:eastAsia="ko-KR"/>
              </w:rPr>
              <w:t>LG Electronics</w:t>
            </w:r>
          </w:p>
        </w:tc>
        <w:tc>
          <w:tcPr>
            <w:tcW w:w="1777" w:type="dxa"/>
          </w:tcPr>
          <w:p w14:paraId="7BC209E9" w14:textId="77777777" w:rsidR="00E0230D" w:rsidRPr="00096741" w:rsidRDefault="00E0230D" w:rsidP="00891727">
            <w:pPr>
              <w:rPr>
                <w:rFonts w:eastAsia="Malgun Gothic"/>
                <w:lang w:eastAsia="ko-KR"/>
              </w:rPr>
            </w:pPr>
            <w:r>
              <w:rPr>
                <w:rFonts w:eastAsia="Malgun Gothic" w:hint="eastAsia"/>
                <w:lang w:eastAsia="ko-KR"/>
              </w:rPr>
              <w:t>Answer 2</w:t>
            </w:r>
          </w:p>
        </w:tc>
        <w:tc>
          <w:tcPr>
            <w:tcW w:w="6375" w:type="dxa"/>
          </w:tcPr>
          <w:p w14:paraId="5E0322E2" w14:textId="77777777" w:rsidR="00E0230D" w:rsidRPr="00096741" w:rsidRDefault="00E0230D" w:rsidP="00891727">
            <w:pPr>
              <w:rPr>
                <w:rFonts w:eastAsia="Malgun Gothic"/>
                <w:lang w:eastAsia="ko-KR"/>
              </w:rPr>
            </w:pPr>
            <w:r>
              <w:rPr>
                <w:rFonts w:eastAsia="Malgun Gothic" w:hint="eastAsia"/>
                <w:lang w:eastAsia="ko-KR"/>
              </w:rPr>
              <w:t>From my understanding, Samsung and Fujitsu also agree with Answer 2 but they seem to think Proposal 1 is not necessary.</w:t>
            </w:r>
          </w:p>
        </w:tc>
      </w:tr>
    </w:tbl>
    <w:p w14:paraId="0080E567" w14:textId="77777777" w:rsidR="003324B4" w:rsidRPr="00E0230D" w:rsidRDefault="003324B4" w:rsidP="00042BF4">
      <w:pPr>
        <w:spacing w:after="0" w:line="240" w:lineRule="auto"/>
        <w:jc w:val="left"/>
        <w:rPr>
          <w:rFonts w:eastAsia="宋体"/>
        </w:rPr>
      </w:pPr>
    </w:p>
    <w:p w14:paraId="39DA601B" w14:textId="77777777" w:rsidR="003324B4" w:rsidRDefault="003324B4" w:rsidP="00042BF4">
      <w:pPr>
        <w:spacing w:after="0" w:line="240" w:lineRule="auto"/>
        <w:jc w:val="left"/>
        <w:rPr>
          <w:rFonts w:eastAsia="宋体"/>
        </w:rPr>
      </w:pPr>
    </w:p>
    <w:p w14:paraId="639E1CF4" w14:textId="218030E1" w:rsidR="00042BF4" w:rsidRDefault="00042BF4" w:rsidP="00042BF4">
      <w:pPr>
        <w:spacing w:after="0" w:line="240" w:lineRule="auto"/>
        <w:jc w:val="left"/>
        <w:rPr>
          <w:rFonts w:eastAsia="宋体"/>
        </w:rPr>
      </w:pPr>
      <w:r>
        <w:rPr>
          <w:rFonts w:eastAsia="宋体" w:hint="eastAsia"/>
          <w:b/>
          <w:bCs/>
        </w:rPr>
        <w:t>P</w:t>
      </w:r>
      <w:r>
        <w:rPr>
          <w:rFonts w:eastAsia="宋体"/>
          <w:b/>
          <w:bCs/>
        </w:rPr>
        <w:t>ropsoal 2</w:t>
      </w:r>
    </w:p>
    <w:p w14:paraId="43C9B1FA" w14:textId="77777777" w:rsidR="00042BF4" w:rsidRDefault="00042BF4" w:rsidP="00042BF4">
      <w:pPr>
        <w:spacing w:after="0" w:line="240" w:lineRule="auto"/>
        <w:jc w:val="left"/>
        <w:rPr>
          <w:rFonts w:eastAsia="宋体"/>
        </w:rPr>
      </w:pPr>
      <w:r>
        <w:rPr>
          <w:rFonts w:eastAsia="宋体"/>
        </w:rPr>
        <w:t xml:space="preserve">The </w:t>
      </w:r>
      <w:r>
        <w:rPr>
          <w:rFonts w:eastAsia="宋体"/>
          <w:i/>
          <w:iCs/>
        </w:rPr>
        <w:t>powerOffset</w:t>
      </w:r>
      <w:r>
        <w:rPr>
          <w:rFonts w:eastAsia="宋体"/>
        </w:rPr>
        <w:t xml:space="preserve"> parameter is mandatory present in a sub-configuration that contains </w:t>
      </w:r>
      <w:r>
        <w:rPr>
          <w:rFonts w:eastAsia="宋体"/>
          <w:i/>
          <w:iCs/>
        </w:rPr>
        <w:t>portSubsetIndicator</w:t>
      </w:r>
      <w:r>
        <w:rPr>
          <w:rFonts w:eastAsia="宋体"/>
        </w:rPr>
        <w:t>.</w:t>
      </w:r>
    </w:p>
    <w:p w14:paraId="02FE3445" w14:textId="77777777" w:rsidR="005571BB" w:rsidRDefault="005571BB" w:rsidP="005571BB">
      <w:pPr>
        <w:spacing w:after="0" w:line="240" w:lineRule="auto"/>
        <w:jc w:val="left"/>
        <w:rPr>
          <w:rFonts w:eastAsia="宋体"/>
        </w:rPr>
      </w:pPr>
    </w:p>
    <w:p w14:paraId="6D27ECE4" w14:textId="7542DF5F" w:rsidR="005571BB" w:rsidRPr="003324B4" w:rsidRDefault="005571BB" w:rsidP="005571BB">
      <w:pPr>
        <w:spacing w:after="0" w:line="240" w:lineRule="auto"/>
        <w:jc w:val="left"/>
        <w:rPr>
          <w:rFonts w:eastAsia="宋体"/>
          <w:b/>
          <w:bCs/>
        </w:rPr>
      </w:pPr>
      <w:r w:rsidRPr="003324B4">
        <w:rPr>
          <w:rFonts w:eastAsia="宋体" w:hint="eastAsia"/>
          <w:b/>
          <w:bCs/>
        </w:rPr>
        <w:t>Q</w:t>
      </w:r>
      <w:r w:rsidRPr="003324B4">
        <w:rPr>
          <w:rFonts w:eastAsia="宋体"/>
          <w:b/>
          <w:bCs/>
        </w:rPr>
        <w:t xml:space="preserve">uestion </w:t>
      </w:r>
      <w:r>
        <w:rPr>
          <w:rFonts w:eastAsia="宋体"/>
          <w:b/>
          <w:bCs/>
        </w:rPr>
        <w:t>2</w:t>
      </w:r>
    </w:p>
    <w:p w14:paraId="2FB7DF04" w14:textId="65B8D549" w:rsidR="005571BB" w:rsidRDefault="005571BB" w:rsidP="005571BB">
      <w:pPr>
        <w:spacing w:after="0" w:line="240" w:lineRule="auto"/>
        <w:jc w:val="left"/>
        <w:rPr>
          <w:rFonts w:eastAsia="宋体"/>
        </w:rPr>
      </w:pPr>
      <w:r>
        <w:rPr>
          <w:rFonts w:eastAsia="宋体"/>
        </w:rPr>
        <w:t xml:space="preserve">For a UE supporting Type 1 SD only, not supporting PD adaptation, </w:t>
      </w:r>
    </w:p>
    <w:p w14:paraId="3BF3747F" w14:textId="1553F9AC" w:rsidR="005571BB" w:rsidRDefault="000C448C" w:rsidP="005571BB">
      <w:pPr>
        <w:pStyle w:val="affffe"/>
        <w:numPr>
          <w:ilvl w:val="0"/>
          <w:numId w:val="65"/>
        </w:numPr>
        <w:spacing w:after="0" w:line="240" w:lineRule="auto"/>
        <w:jc w:val="left"/>
        <w:rPr>
          <w:rFonts w:eastAsia="宋体"/>
        </w:rPr>
      </w:pPr>
      <w:r>
        <w:rPr>
          <w:rFonts w:eastAsia="宋体"/>
          <w:b/>
          <w:bCs/>
        </w:rPr>
        <w:t>Interpretation</w:t>
      </w:r>
      <w:r w:rsidR="005571BB" w:rsidRPr="003324B4">
        <w:rPr>
          <w:rFonts w:eastAsia="宋体"/>
          <w:b/>
          <w:bCs/>
        </w:rPr>
        <w:t xml:space="preserve"> 1</w:t>
      </w:r>
      <w:r w:rsidR="005571BB">
        <w:rPr>
          <w:rFonts w:eastAsia="宋体"/>
        </w:rPr>
        <w:t xml:space="preserve">: </w:t>
      </w:r>
      <w:r w:rsidR="00102B0C">
        <w:rPr>
          <w:rFonts w:eastAsia="宋体"/>
        </w:rPr>
        <w:t>the</w:t>
      </w:r>
      <w:r>
        <w:rPr>
          <w:rFonts w:eastAsia="宋体"/>
        </w:rPr>
        <w:t xml:space="preserve"> UE </w:t>
      </w:r>
      <w:r w:rsidR="00102B0C">
        <w:rPr>
          <w:rFonts w:eastAsia="宋体"/>
        </w:rPr>
        <w:t xml:space="preserve">would </w:t>
      </w:r>
      <w:r w:rsidRPr="00102B0C">
        <w:rPr>
          <w:rFonts w:eastAsia="宋体"/>
          <w:color w:val="FF0000"/>
        </w:rPr>
        <w:t xml:space="preserve">not </w:t>
      </w:r>
      <w:r>
        <w:rPr>
          <w:rFonts w:eastAsia="宋体"/>
        </w:rPr>
        <w:t xml:space="preserve">be able to process CSI-RS measurement or CSI calculation </w:t>
      </w:r>
      <w:r w:rsidR="00102B0C">
        <w:rPr>
          <w:rFonts w:eastAsia="宋体"/>
        </w:rPr>
        <w:t xml:space="preserve">if the resulted </w:t>
      </w:r>
      <w:r w:rsidR="00E25A16">
        <w:rPr>
          <w:rFonts w:eastAsia="宋体"/>
        </w:rPr>
        <w:t>value by</w:t>
      </w:r>
      <w:r w:rsidR="00102B0C">
        <w:rPr>
          <w:position w:val="-30"/>
        </w:rPr>
        <w:object w:dxaOrig="1615" w:dyaOrig="666" w14:anchorId="00C8698F">
          <v:shape id="_x0000_i1026" type="#_x0000_t75" style="width:80.75pt;height:33.4pt" o:ole="">
            <v:imagedata r:id="rId9" o:title=""/>
          </v:shape>
          <o:OLEObject Type="Embed" ProgID="Equation.DSMT4" ShapeID="_x0000_i1026" DrawAspect="Content" ObjectID="_1785739270" r:id="rId11"/>
        </w:object>
      </w:r>
      <w:r w:rsidR="00102B0C">
        <w:t xml:space="preserve"> </w:t>
      </w:r>
      <w:r w:rsidR="00102B0C">
        <w:fldChar w:fldCharType="begin"/>
      </w:r>
      <w:r w:rsidR="00102B0C">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rsidR="00102B0C">
        <w:instrText xml:space="preserve"> </w:instrText>
      </w:r>
      <w:r w:rsidR="00102B0C">
        <w:fldChar w:fldCharType="end"/>
      </w:r>
      <w:r w:rsidR="00E25A16">
        <w:t xml:space="preserve"> </w:t>
      </w:r>
      <w:proofErr w:type="spellStart"/>
      <w:r w:rsidR="00102B0C">
        <w:rPr>
          <w:rFonts w:eastAsia="宋体"/>
        </w:rPr>
        <w:t>varis</w:t>
      </w:r>
      <w:proofErr w:type="spellEnd"/>
      <w:r>
        <w:rPr>
          <w:rFonts w:eastAsia="宋体"/>
        </w:rPr>
        <w:t xml:space="preserve"> </w:t>
      </w:r>
      <w:r w:rsidR="00E25A16">
        <w:rPr>
          <w:rFonts w:eastAsia="宋体"/>
        </w:rPr>
        <w:t xml:space="preserve">(compared to the value configured by RRC parameter </w:t>
      </w:r>
      <w:proofErr w:type="spellStart"/>
      <w:r w:rsidR="00E25A16" w:rsidRPr="00102B0C">
        <w:rPr>
          <w:rFonts w:eastAsia="宋体"/>
          <w:i/>
          <w:iCs/>
        </w:rPr>
        <w:t>powerControlOffset</w:t>
      </w:r>
      <w:proofErr w:type="spellEnd"/>
      <w:r w:rsidR="00E25A16">
        <w:rPr>
          <w:rFonts w:eastAsia="宋体"/>
        </w:rPr>
        <w:t xml:space="preserve">) </w:t>
      </w:r>
      <w:r>
        <w:rPr>
          <w:rFonts w:eastAsia="宋体"/>
        </w:rPr>
        <w:t>across sub-configurations</w:t>
      </w:r>
    </w:p>
    <w:p w14:paraId="519DE991" w14:textId="19719FA0" w:rsidR="00BC1721" w:rsidRPr="00BC1721" w:rsidRDefault="00BC1721" w:rsidP="00BC1721">
      <w:pPr>
        <w:pStyle w:val="affffe"/>
        <w:numPr>
          <w:ilvl w:val="1"/>
          <w:numId w:val="65"/>
        </w:numPr>
        <w:spacing w:after="0" w:line="240" w:lineRule="auto"/>
        <w:jc w:val="left"/>
        <w:rPr>
          <w:rFonts w:eastAsia="宋体"/>
          <w:color w:val="00B0F0"/>
        </w:rPr>
      </w:pPr>
      <w:r w:rsidRPr="00BC1721">
        <w:rPr>
          <w:rFonts w:eastAsia="宋体"/>
          <w:color w:val="00B0F0"/>
        </w:rPr>
        <w:t>I</w:t>
      </w:r>
      <w:r w:rsidRPr="00BC1721">
        <w:rPr>
          <w:rFonts w:eastAsia="宋体" w:hint="eastAsia"/>
          <w:color w:val="00B0F0"/>
        </w:rPr>
        <w:t>n</w:t>
      </w:r>
      <w:r w:rsidRPr="00BC1721">
        <w:rPr>
          <w:rFonts w:eastAsia="宋体"/>
          <w:color w:val="00B0F0"/>
        </w:rPr>
        <w:t xml:space="preserve"> this case, Alt 1 or Alt 2 can be considered while Alt 2 needs further restriction on </w:t>
      </w:r>
      <w:proofErr w:type="spellStart"/>
      <w:r w:rsidRPr="00BC1721">
        <w:rPr>
          <w:rFonts w:eastAsia="宋体"/>
          <w:color w:val="00B0F0"/>
        </w:rPr>
        <w:t>gNB</w:t>
      </w:r>
      <w:proofErr w:type="spellEnd"/>
      <w:r w:rsidRPr="00BC1721">
        <w:rPr>
          <w:rFonts w:eastAsia="宋体"/>
          <w:color w:val="00B0F0"/>
        </w:rPr>
        <w:t xml:space="preserve"> to ensure the resulted power ratio being same as the RRC configured </w:t>
      </w:r>
      <w:proofErr w:type="spellStart"/>
      <w:r w:rsidRPr="00BC1721">
        <w:rPr>
          <w:rFonts w:eastAsia="宋体"/>
          <w:i/>
          <w:iCs/>
          <w:color w:val="00B0F0"/>
        </w:rPr>
        <w:t>powerControlOffset</w:t>
      </w:r>
      <w:proofErr w:type="spellEnd"/>
    </w:p>
    <w:p w14:paraId="37057339" w14:textId="77777777" w:rsidR="00BC1721" w:rsidRDefault="00BC1721" w:rsidP="00BC1721">
      <w:pPr>
        <w:pStyle w:val="affffe"/>
        <w:spacing w:after="0" w:line="240" w:lineRule="auto"/>
        <w:ind w:left="840"/>
        <w:jc w:val="left"/>
        <w:rPr>
          <w:rFonts w:eastAsia="宋体"/>
        </w:rPr>
      </w:pPr>
    </w:p>
    <w:p w14:paraId="05C8F007" w14:textId="7CA174FA" w:rsidR="005571BB" w:rsidRDefault="000C448C" w:rsidP="005571BB">
      <w:pPr>
        <w:pStyle w:val="affffe"/>
        <w:numPr>
          <w:ilvl w:val="0"/>
          <w:numId w:val="65"/>
        </w:numPr>
        <w:spacing w:after="0" w:line="240" w:lineRule="auto"/>
        <w:jc w:val="left"/>
        <w:rPr>
          <w:rFonts w:eastAsia="宋体"/>
        </w:rPr>
      </w:pPr>
      <w:r>
        <w:rPr>
          <w:rFonts w:eastAsia="宋体"/>
          <w:b/>
          <w:bCs/>
        </w:rPr>
        <w:t>Interpretation</w:t>
      </w:r>
      <w:r w:rsidRPr="003324B4">
        <w:rPr>
          <w:rFonts w:eastAsia="宋体"/>
          <w:b/>
          <w:bCs/>
        </w:rPr>
        <w:t xml:space="preserve"> </w:t>
      </w:r>
      <w:r w:rsidR="005571BB" w:rsidRPr="003324B4">
        <w:rPr>
          <w:rFonts w:eastAsia="宋体"/>
          <w:b/>
          <w:bCs/>
        </w:rPr>
        <w:t>2</w:t>
      </w:r>
      <w:r w:rsidR="005571BB">
        <w:rPr>
          <w:rFonts w:eastAsia="宋体"/>
        </w:rPr>
        <w:t xml:space="preserve">: </w:t>
      </w:r>
      <w:r w:rsidR="00102B0C">
        <w:rPr>
          <w:rFonts w:eastAsia="宋体"/>
        </w:rPr>
        <w:t>the</w:t>
      </w:r>
      <w:r>
        <w:rPr>
          <w:rFonts w:eastAsia="宋体"/>
        </w:rPr>
        <w:t xml:space="preserve"> UE </w:t>
      </w:r>
      <w:r w:rsidR="00102B0C">
        <w:rPr>
          <w:rFonts w:eastAsia="宋体"/>
        </w:rPr>
        <w:t>would</w:t>
      </w:r>
      <w:r>
        <w:rPr>
          <w:rFonts w:eastAsia="宋体"/>
        </w:rPr>
        <w:t xml:space="preserve"> </w:t>
      </w:r>
      <w:r w:rsidRPr="00102B0C">
        <w:rPr>
          <w:rFonts w:eastAsia="宋体"/>
          <w:color w:val="FF0000"/>
        </w:rPr>
        <w:t xml:space="preserve">not </w:t>
      </w:r>
      <w:r>
        <w:rPr>
          <w:rFonts w:eastAsia="宋体"/>
        </w:rPr>
        <w:t>be able to use</w:t>
      </w:r>
      <w:r w:rsidR="00E25A16">
        <w:rPr>
          <w:rFonts w:eastAsia="宋体"/>
        </w:rPr>
        <w:t>/realize</w:t>
      </w:r>
      <w:r>
        <w:rPr>
          <w:rFonts w:eastAsia="宋体"/>
        </w:rPr>
        <w:t xml:space="preserve"> the </w:t>
      </w:r>
      <w:r w:rsidRPr="000C448C">
        <w:rPr>
          <w:rFonts w:eastAsia="宋体"/>
          <w:i/>
          <w:iCs/>
        </w:rPr>
        <w:t>powerOffset</w:t>
      </w:r>
      <w:r>
        <w:rPr>
          <w:rFonts w:eastAsia="宋体"/>
        </w:rPr>
        <w:t xml:space="preserve"> parameter </w:t>
      </w:r>
      <w:r w:rsidR="00085FAB">
        <w:rPr>
          <w:rFonts w:eastAsia="宋体"/>
        </w:rPr>
        <w:t xml:space="preserve">for CSI calculation </w:t>
      </w:r>
      <w:r>
        <w:rPr>
          <w:rFonts w:eastAsia="宋体"/>
        </w:rPr>
        <w:t>which is originally introduced for PD adaptation</w:t>
      </w:r>
      <w:r w:rsidR="005571BB">
        <w:rPr>
          <w:rFonts w:eastAsia="宋体"/>
        </w:rPr>
        <w:t xml:space="preserve"> </w:t>
      </w:r>
    </w:p>
    <w:p w14:paraId="591192A1" w14:textId="67223117" w:rsidR="00BC1721" w:rsidRPr="00BC1721" w:rsidRDefault="00BC1721" w:rsidP="00BC1721">
      <w:pPr>
        <w:pStyle w:val="affffe"/>
        <w:numPr>
          <w:ilvl w:val="1"/>
          <w:numId w:val="65"/>
        </w:numPr>
        <w:spacing w:after="0" w:line="240" w:lineRule="auto"/>
        <w:jc w:val="left"/>
        <w:rPr>
          <w:rFonts w:eastAsia="宋体"/>
          <w:color w:val="00B0F0"/>
        </w:rPr>
      </w:pPr>
      <w:r w:rsidRPr="00BC1721">
        <w:rPr>
          <w:rFonts w:eastAsia="宋体"/>
          <w:color w:val="00B0F0"/>
        </w:rPr>
        <w:t xml:space="preserve">In this case, </w:t>
      </w:r>
      <w:r w:rsidRPr="00BC1721">
        <w:rPr>
          <w:rFonts w:eastAsia="宋体" w:hint="eastAsia"/>
          <w:color w:val="00B0F0"/>
        </w:rPr>
        <w:t>Alt</w:t>
      </w:r>
      <w:r w:rsidRPr="00BC1721">
        <w:rPr>
          <w:rFonts w:eastAsia="宋体"/>
          <w:color w:val="00B0F0"/>
        </w:rPr>
        <w:t xml:space="preserve"> 3 is sufficient while Alt 1 can also be considered to simplify the UE implementation</w:t>
      </w:r>
    </w:p>
    <w:p w14:paraId="25C221F7" w14:textId="77777777" w:rsidR="00BC1721" w:rsidRDefault="00BC1721" w:rsidP="00BC1721">
      <w:pPr>
        <w:pStyle w:val="affffe"/>
        <w:spacing w:after="0" w:line="240" w:lineRule="auto"/>
        <w:ind w:left="840"/>
        <w:jc w:val="left"/>
        <w:rPr>
          <w:rFonts w:eastAsia="宋体"/>
        </w:rPr>
      </w:pPr>
    </w:p>
    <w:p w14:paraId="039EABCC" w14:textId="56ECBAA5" w:rsidR="00102B0C" w:rsidRDefault="00102B0C" w:rsidP="00102B0C">
      <w:pPr>
        <w:pStyle w:val="affffe"/>
        <w:numPr>
          <w:ilvl w:val="0"/>
          <w:numId w:val="65"/>
        </w:numPr>
        <w:spacing w:after="0" w:line="240" w:lineRule="auto"/>
        <w:jc w:val="left"/>
        <w:rPr>
          <w:rFonts w:eastAsia="宋体"/>
        </w:rPr>
      </w:pPr>
      <w:r w:rsidRPr="00102B0C">
        <w:rPr>
          <w:rFonts w:eastAsia="宋体" w:hint="eastAsia"/>
          <w:b/>
          <w:bCs/>
        </w:rPr>
        <w:t>I</w:t>
      </w:r>
      <w:r w:rsidRPr="00102B0C">
        <w:rPr>
          <w:rFonts w:eastAsia="宋体"/>
          <w:b/>
          <w:bCs/>
        </w:rPr>
        <w:t>nterpretation 3</w:t>
      </w:r>
      <w:r>
        <w:rPr>
          <w:rFonts w:eastAsia="宋体"/>
        </w:rPr>
        <w:t xml:space="preserve">: the UE would be able to process CSI-RS measurement and CSI calculation regardless of </w:t>
      </w:r>
      <w:r w:rsidR="00E25A16">
        <w:rPr>
          <w:rFonts w:eastAsia="宋体"/>
        </w:rPr>
        <w:t>the resulted value by</w:t>
      </w:r>
      <w:r w:rsidR="00E25A16">
        <w:rPr>
          <w:position w:val="-30"/>
        </w:rPr>
        <w:object w:dxaOrig="1615" w:dyaOrig="666" w14:anchorId="7B8B9B45">
          <v:shape id="_x0000_i1027" type="#_x0000_t75" style="width:80.75pt;height:33.4pt" o:ole="">
            <v:imagedata r:id="rId9" o:title=""/>
          </v:shape>
          <o:OLEObject Type="Embed" ProgID="Equation.DSMT4" ShapeID="_x0000_i1027" DrawAspect="Content" ObjectID="_1785739271" r:id="rId12"/>
        </w:object>
      </w:r>
      <w:r w:rsidR="00E25A16">
        <w:t xml:space="preserve"> </w:t>
      </w:r>
      <w:r w:rsidR="00E25A16">
        <w:fldChar w:fldCharType="begin"/>
      </w:r>
      <w:r w:rsidR="00E25A16">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rsidR="00E25A16">
        <w:instrText xml:space="preserve"> </w:instrText>
      </w:r>
      <w:r w:rsidR="00E25A16">
        <w:fldChar w:fldCharType="end"/>
      </w:r>
      <w:r w:rsidR="00E25A16">
        <w:t xml:space="preserve"> </w:t>
      </w:r>
      <w:r w:rsidR="00E25A16">
        <w:rPr>
          <w:rFonts w:eastAsia="宋体"/>
        </w:rPr>
        <w:t xml:space="preserve">varying (compared to the value configured by RRC parameter </w:t>
      </w:r>
      <w:proofErr w:type="spellStart"/>
      <w:r w:rsidR="00E25A16" w:rsidRPr="00102B0C">
        <w:rPr>
          <w:rFonts w:eastAsia="宋体"/>
          <w:i/>
          <w:iCs/>
        </w:rPr>
        <w:t>powerControlOffset</w:t>
      </w:r>
      <w:proofErr w:type="spellEnd"/>
      <w:r w:rsidR="00E25A16">
        <w:rPr>
          <w:rFonts w:eastAsia="宋体"/>
        </w:rPr>
        <w:t>)</w:t>
      </w:r>
      <w:r>
        <w:rPr>
          <w:rFonts w:eastAsia="宋体"/>
        </w:rPr>
        <w:t xml:space="preserve"> or not</w:t>
      </w:r>
    </w:p>
    <w:p w14:paraId="52C13238" w14:textId="698E76D4" w:rsidR="00BC1721" w:rsidRPr="00BC1721" w:rsidRDefault="00BC1721" w:rsidP="00BC1721">
      <w:pPr>
        <w:pStyle w:val="affffe"/>
        <w:numPr>
          <w:ilvl w:val="1"/>
          <w:numId w:val="65"/>
        </w:numPr>
        <w:spacing w:after="0" w:line="240" w:lineRule="auto"/>
        <w:jc w:val="left"/>
        <w:rPr>
          <w:rFonts w:eastAsia="宋体"/>
          <w:color w:val="00B0F0"/>
        </w:rPr>
      </w:pPr>
      <w:r w:rsidRPr="00BC1721">
        <w:rPr>
          <w:rFonts w:eastAsia="宋体"/>
          <w:color w:val="00B0F0"/>
        </w:rPr>
        <w:lastRenderedPageBreak/>
        <w:t xml:space="preserve">In this case, Alt 3 is sufficient and Alt 2 can also work since the resulted power ratio can vary by </w:t>
      </w:r>
      <w:proofErr w:type="spellStart"/>
      <w:r w:rsidRPr="00BC1721">
        <w:rPr>
          <w:rFonts w:eastAsia="宋体"/>
          <w:color w:val="00B0F0"/>
        </w:rPr>
        <w:t>gNB</w:t>
      </w:r>
      <w:proofErr w:type="spellEnd"/>
      <w:r w:rsidRPr="00BC1721">
        <w:rPr>
          <w:rFonts w:eastAsia="宋体"/>
          <w:color w:val="00B0F0"/>
        </w:rPr>
        <w:t xml:space="preserve"> configuring different </w:t>
      </w:r>
      <w:proofErr w:type="spellStart"/>
      <w:r w:rsidRPr="00BC1721">
        <w:rPr>
          <w:rFonts w:eastAsia="宋体"/>
          <w:i/>
          <w:iCs/>
          <w:color w:val="00B0F0"/>
        </w:rPr>
        <w:t>powerOffset</w:t>
      </w:r>
      <w:proofErr w:type="spellEnd"/>
      <w:r w:rsidRPr="00BC1721">
        <w:rPr>
          <w:rFonts w:eastAsia="宋体"/>
          <w:color w:val="00B0F0"/>
        </w:rPr>
        <w:t xml:space="preserve"> values</w:t>
      </w:r>
    </w:p>
    <w:p w14:paraId="08ACDF63" w14:textId="1B9ED5DB" w:rsidR="005571BB" w:rsidRPr="00102B0C" w:rsidRDefault="005571BB" w:rsidP="00102B0C">
      <w:pPr>
        <w:spacing w:after="0" w:line="240" w:lineRule="auto"/>
        <w:jc w:val="left"/>
        <w:rPr>
          <w:rFonts w:eastAsia="宋体"/>
        </w:rPr>
      </w:pPr>
    </w:p>
    <w:p w14:paraId="6B029E32" w14:textId="77777777" w:rsidR="005571BB" w:rsidRDefault="005571BB" w:rsidP="005571BB">
      <w:pPr>
        <w:spacing w:after="0" w:line="240" w:lineRule="auto"/>
        <w:jc w:val="left"/>
        <w:rPr>
          <w:rFonts w:eastAsia="宋体"/>
        </w:rPr>
      </w:pPr>
    </w:p>
    <w:tbl>
      <w:tblPr>
        <w:tblStyle w:val="affff1"/>
        <w:tblW w:w="9631" w:type="dxa"/>
        <w:tblLayout w:type="fixed"/>
        <w:tblLook w:val="04A0" w:firstRow="1" w:lastRow="0" w:firstColumn="1" w:lastColumn="0" w:noHBand="0" w:noVBand="1"/>
      </w:tblPr>
      <w:tblGrid>
        <w:gridCol w:w="1479"/>
        <w:gridCol w:w="2202"/>
        <w:gridCol w:w="5950"/>
      </w:tblGrid>
      <w:tr w:rsidR="005571BB" w14:paraId="73B83A4B" w14:textId="77777777" w:rsidTr="00085FAB">
        <w:trPr>
          <w:trHeight w:val="261"/>
        </w:trPr>
        <w:tc>
          <w:tcPr>
            <w:tcW w:w="1479" w:type="dxa"/>
            <w:shd w:val="clear" w:color="auto" w:fill="C5E0B3" w:themeFill="accent6" w:themeFillTint="66"/>
          </w:tcPr>
          <w:p w14:paraId="5E7BDE12" w14:textId="77777777" w:rsidR="005571BB" w:rsidRDefault="005571BB" w:rsidP="00400FE1">
            <w:pPr>
              <w:rPr>
                <w:b/>
                <w:bCs/>
              </w:rPr>
            </w:pPr>
            <w:r>
              <w:rPr>
                <w:b/>
                <w:bCs/>
              </w:rPr>
              <w:t>Company</w:t>
            </w:r>
          </w:p>
        </w:tc>
        <w:tc>
          <w:tcPr>
            <w:tcW w:w="2202" w:type="dxa"/>
            <w:shd w:val="clear" w:color="auto" w:fill="C5E0B3" w:themeFill="accent6" w:themeFillTint="66"/>
          </w:tcPr>
          <w:p w14:paraId="510346C2" w14:textId="55D7B0F7" w:rsidR="005571BB" w:rsidRDefault="005571BB" w:rsidP="00400FE1">
            <w:pPr>
              <w:rPr>
                <w:b/>
                <w:bCs/>
              </w:rPr>
            </w:pPr>
            <w:r>
              <w:rPr>
                <w:b/>
                <w:bCs/>
              </w:rPr>
              <w:t>Supported Proposal/</w:t>
            </w:r>
            <w:r w:rsidR="00085FAB">
              <w:rPr>
                <w:rFonts w:eastAsia="宋体"/>
                <w:b/>
                <w:bCs/>
              </w:rPr>
              <w:t xml:space="preserve"> Interpretation</w:t>
            </w:r>
          </w:p>
        </w:tc>
        <w:tc>
          <w:tcPr>
            <w:tcW w:w="5950" w:type="dxa"/>
            <w:shd w:val="clear" w:color="auto" w:fill="C5E0B3" w:themeFill="accent6" w:themeFillTint="66"/>
          </w:tcPr>
          <w:p w14:paraId="05BE61BD" w14:textId="77777777" w:rsidR="005571BB" w:rsidRDefault="005571BB" w:rsidP="00400FE1">
            <w:pPr>
              <w:rPr>
                <w:b/>
                <w:bCs/>
              </w:rPr>
            </w:pPr>
            <w:r>
              <w:rPr>
                <w:b/>
                <w:bCs/>
              </w:rPr>
              <w:t>Comments</w:t>
            </w:r>
          </w:p>
        </w:tc>
      </w:tr>
      <w:tr w:rsidR="005571BB" w14:paraId="6C85CD99" w14:textId="77777777" w:rsidTr="00085FAB">
        <w:trPr>
          <w:trHeight w:val="261"/>
        </w:trPr>
        <w:tc>
          <w:tcPr>
            <w:tcW w:w="1479" w:type="dxa"/>
            <w:shd w:val="clear" w:color="auto" w:fill="auto"/>
          </w:tcPr>
          <w:p w14:paraId="7DA136A5" w14:textId="6EB0999E" w:rsidR="005571BB" w:rsidRPr="007D1D36" w:rsidRDefault="007D1D36" w:rsidP="00400FE1">
            <w:r>
              <w:rPr>
                <w:rFonts w:hint="eastAsia"/>
              </w:rPr>
              <w:t>S</w:t>
            </w:r>
            <w:r>
              <w:t>amsung</w:t>
            </w:r>
          </w:p>
        </w:tc>
        <w:tc>
          <w:tcPr>
            <w:tcW w:w="2202" w:type="dxa"/>
            <w:shd w:val="clear" w:color="auto" w:fill="auto"/>
          </w:tcPr>
          <w:p w14:paraId="2CBA4B42" w14:textId="3914E20D" w:rsidR="005571BB" w:rsidRPr="007D1D36" w:rsidRDefault="007D1D36" w:rsidP="00400FE1">
            <w:r>
              <w:rPr>
                <w:rFonts w:hint="eastAsia"/>
              </w:rPr>
              <w:t>I</w:t>
            </w:r>
            <w:r>
              <w:t>nterpretation 2</w:t>
            </w:r>
          </w:p>
        </w:tc>
        <w:tc>
          <w:tcPr>
            <w:tcW w:w="5950" w:type="dxa"/>
            <w:shd w:val="clear" w:color="auto" w:fill="auto"/>
          </w:tcPr>
          <w:p w14:paraId="32397E06" w14:textId="77777777" w:rsidR="005571BB" w:rsidRDefault="00B95D40" w:rsidP="00400FE1">
            <w:pPr>
              <w:rPr>
                <w:rFonts w:eastAsia="宋体"/>
              </w:rPr>
            </w:pPr>
            <w:r>
              <w:rPr>
                <w:rFonts w:hint="eastAsia"/>
              </w:rPr>
              <w:t>I</w:t>
            </w:r>
            <w:r>
              <w:t xml:space="preserve">n our understanding, the key difference between Type 1 SD only and Type 1 SD+PD is the capability of handling the RRC parameter of </w:t>
            </w:r>
            <w:r w:rsidRPr="000C448C">
              <w:rPr>
                <w:rFonts w:eastAsia="宋体"/>
                <w:i/>
                <w:iCs/>
              </w:rPr>
              <w:t>powerOffset</w:t>
            </w:r>
            <w:r w:rsidR="00DF038E">
              <w:rPr>
                <w:rFonts w:eastAsia="宋体" w:hint="eastAsia"/>
                <w:i/>
                <w:iCs/>
              </w:rPr>
              <w:t>.</w:t>
            </w:r>
            <w:r w:rsidR="00DF038E">
              <w:rPr>
                <w:rFonts w:eastAsia="宋体"/>
                <w:i/>
                <w:iCs/>
              </w:rPr>
              <w:t xml:space="preserve"> </w:t>
            </w:r>
            <w:r w:rsidR="00DF038E" w:rsidRPr="00DF038E">
              <w:rPr>
                <w:rFonts w:eastAsia="宋体"/>
              </w:rPr>
              <w:t xml:space="preserve">If a UE </w:t>
            </w:r>
            <w:r w:rsidR="00DF038E">
              <w:rPr>
                <w:rFonts w:eastAsia="宋体"/>
              </w:rPr>
              <w:t>supports</w:t>
            </w:r>
            <w:r w:rsidR="00DF038E" w:rsidRPr="00DF038E">
              <w:rPr>
                <w:rFonts w:eastAsia="宋体"/>
              </w:rPr>
              <w:t xml:space="preserve"> </w:t>
            </w:r>
            <w:r w:rsidR="00DF038E">
              <w:rPr>
                <w:rFonts w:eastAsia="宋体"/>
              </w:rPr>
              <w:t xml:space="preserve">Type 1 SD only, UE does not expect to be configured with </w:t>
            </w:r>
            <w:r w:rsidR="00DF038E" w:rsidRPr="00DF038E">
              <w:rPr>
                <w:rFonts w:eastAsia="宋体"/>
                <w:i/>
                <w:iCs/>
              </w:rPr>
              <w:t>powerOffset</w:t>
            </w:r>
            <w:r w:rsidR="00DF038E">
              <w:rPr>
                <w:rFonts w:eastAsia="宋体"/>
              </w:rPr>
              <w:t>.</w:t>
            </w:r>
          </w:p>
          <w:p w14:paraId="01E5EB70" w14:textId="1DCE4B8A" w:rsidR="00B65D22" w:rsidRPr="00B95D40" w:rsidRDefault="00B65D22" w:rsidP="00400FE1">
            <w:r>
              <w:rPr>
                <w:rFonts w:eastAsia="宋体"/>
              </w:rPr>
              <w:t>Thus, with the interpretation 2, we do not support proposal 2.</w:t>
            </w:r>
          </w:p>
        </w:tc>
      </w:tr>
      <w:tr w:rsidR="00E0230D" w14:paraId="0DC2D8A3" w14:textId="77777777" w:rsidTr="00085FAB">
        <w:trPr>
          <w:trHeight w:val="261"/>
        </w:trPr>
        <w:tc>
          <w:tcPr>
            <w:tcW w:w="1479" w:type="dxa"/>
          </w:tcPr>
          <w:p w14:paraId="642D6357" w14:textId="1357934A" w:rsidR="00E0230D" w:rsidRDefault="00E0230D" w:rsidP="00E0230D">
            <w:pPr>
              <w:rPr>
                <w:rFonts w:eastAsia="Yu Mincho"/>
                <w:lang w:eastAsia="ja-JP"/>
              </w:rPr>
            </w:pPr>
            <w:r>
              <w:rPr>
                <w:rFonts w:eastAsia="Malgun Gothic" w:hint="eastAsia"/>
                <w:lang w:eastAsia="ko-KR"/>
              </w:rPr>
              <w:t>LG Electronics</w:t>
            </w:r>
          </w:p>
        </w:tc>
        <w:tc>
          <w:tcPr>
            <w:tcW w:w="2202" w:type="dxa"/>
          </w:tcPr>
          <w:p w14:paraId="3C48DBA5" w14:textId="21BA2AB1" w:rsidR="00E0230D" w:rsidRDefault="00E0230D" w:rsidP="00E0230D">
            <w:pPr>
              <w:rPr>
                <w:rFonts w:eastAsia="Malgun Gothic"/>
                <w:lang w:eastAsia="ko-KR"/>
              </w:rPr>
            </w:pPr>
            <w:r>
              <w:rPr>
                <w:rFonts w:eastAsia="Malgun Gothic" w:hint="eastAsia"/>
                <w:lang w:eastAsia="ko-KR"/>
              </w:rPr>
              <w:t>Interpretation 2</w:t>
            </w:r>
          </w:p>
        </w:tc>
        <w:tc>
          <w:tcPr>
            <w:tcW w:w="5950" w:type="dxa"/>
          </w:tcPr>
          <w:p w14:paraId="521F1704" w14:textId="77777777" w:rsidR="00E0230D" w:rsidRDefault="00E0230D" w:rsidP="00E0230D">
            <w:pPr>
              <w:rPr>
                <w:rFonts w:eastAsia="Yu Mincho"/>
                <w:lang w:eastAsia="ja-JP"/>
              </w:rPr>
            </w:pPr>
          </w:p>
        </w:tc>
      </w:tr>
    </w:tbl>
    <w:p w14:paraId="06FD9313" w14:textId="77777777" w:rsidR="005571BB" w:rsidRPr="003324B4" w:rsidRDefault="005571BB" w:rsidP="005571BB">
      <w:pPr>
        <w:spacing w:after="0" w:line="240" w:lineRule="auto"/>
        <w:jc w:val="left"/>
        <w:rPr>
          <w:rFonts w:eastAsia="宋体"/>
        </w:rPr>
      </w:pPr>
    </w:p>
    <w:p w14:paraId="2EFAEC98" w14:textId="6B534E4B" w:rsidR="005571BB" w:rsidRDefault="005571BB" w:rsidP="00042BF4">
      <w:pPr>
        <w:spacing w:after="0" w:line="240" w:lineRule="auto"/>
        <w:jc w:val="left"/>
        <w:rPr>
          <w:rFonts w:eastAsia="宋体"/>
        </w:rPr>
      </w:pPr>
    </w:p>
    <w:p w14:paraId="75EF9398" w14:textId="77777777" w:rsidR="005571BB" w:rsidRDefault="005571BB" w:rsidP="00042BF4">
      <w:pPr>
        <w:spacing w:after="0" w:line="240" w:lineRule="auto"/>
        <w:jc w:val="left"/>
        <w:rPr>
          <w:rFonts w:eastAsia="宋体"/>
        </w:rPr>
      </w:pPr>
    </w:p>
    <w:p w14:paraId="26EB5053" w14:textId="77777777" w:rsidR="00042BF4" w:rsidRDefault="00042BF4" w:rsidP="00042BF4">
      <w:pPr>
        <w:spacing w:after="0" w:line="240" w:lineRule="auto"/>
        <w:jc w:val="left"/>
        <w:rPr>
          <w:rFonts w:eastAsia="宋体"/>
        </w:rPr>
      </w:pPr>
      <w:r>
        <w:rPr>
          <w:rFonts w:eastAsia="宋体" w:hint="eastAsia"/>
          <w:b/>
          <w:bCs/>
        </w:rPr>
        <w:t>P</w:t>
      </w:r>
      <w:r>
        <w:rPr>
          <w:rFonts w:eastAsia="宋体"/>
          <w:b/>
          <w:bCs/>
        </w:rPr>
        <w:t>ropsoal 3</w:t>
      </w:r>
      <w:r>
        <w:rPr>
          <w:rFonts w:eastAsia="宋体"/>
        </w:rPr>
        <w:t>:</w:t>
      </w:r>
    </w:p>
    <w:p w14:paraId="2C753E6B" w14:textId="503A85C8" w:rsidR="00042BF4" w:rsidRDefault="00E25A16" w:rsidP="00042BF4">
      <w:pPr>
        <w:spacing w:after="0" w:line="240" w:lineRule="auto"/>
        <w:jc w:val="left"/>
        <w:rPr>
          <w:rFonts w:eastAsia="宋体"/>
        </w:rPr>
      </w:pPr>
      <w:r>
        <w:rPr>
          <w:rFonts w:eastAsia="宋体"/>
        </w:rPr>
        <w:t xml:space="preserve">Continue the discussion on </w:t>
      </w:r>
      <w:r w:rsidR="00042BF4">
        <w:rPr>
          <w:rFonts w:eastAsia="宋体"/>
        </w:rPr>
        <w:t>whether the following restriction is needed, and if so, the spec impact (to 38.214 or 38.331):</w:t>
      </w:r>
    </w:p>
    <w:p w14:paraId="28E8668A" w14:textId="77777777" w:rsidR="00042BF4" w:rsidRDefault="00042BF4" w:rsidP="00042BF4">
      <w:pPr>
        <w:pStyle w:val="affffe"/>
        <w:numPr>
          <w:ilvl w:val="0"/>
          <w:numId w:val="62"/>
        </w:numPr>
        <w:tabs>
          <w:tab w:val="right" w:pos="9638"/>
        </w:tabs>
        <w:spacing w:after="0" w:line="240" w:lineRule="auto"/>
        <w:rPr>
          <w:rFonts w:eastAsia="宋体"/>
        </w:rPr>
      </w:pPr>
      <w:r>
        <w:rPr>
          <w:rFonts w:eastAsia="宋体"/>
        </w:rPr>
        <w:t xml:space="preserve">For Type 1 SD adaptation, the UE expects that the number of antenna ports enabled by higher layer parameter </w:t>
      </w:r>
      <w:r>
        <w:rPr>
          <w:rFonts w:eastAsia="宋体"/>
          <w:i/>
          <w:iCs/>
        </w:rPr>
        <w:t>portSubsetIndicator</w:t>
      </w:r>
      <w:r>
        <w:rPr>
          <w:rFonts w:eastAsia="宋体"/>
        </w:rPr>
        <w:t xml:space="preserve"> is the same across each CDM group where at least one antenna port is enabled by higher layer parameter </w:t>
      </w:r>
      <w:r>
        <w:rPr>
          <w:rFonts w:eastAsia="宋体"/>
          <w:i/>
          <w:iCs/>
        </w:rPr>
        <w:t>portSubsetIndicator</w:t>
      </w:r>
      <w:r>
        <w:rPr>
          <w:rFonts w:eastAsia="宋体"/>
        </w:rPr>
        <w:t>.</w:t>
      </w:r>
    </w:p>
    <w:p w14:paraId="76B28389" w14:textId="77777777" w:rsidR="00042BF4" w:rsidRDefault="00042BF4" w:rsidP="00042BF4">
      <w:pPr>
        <w:spacing w:after="0" w:line="240" w:lineRule="auto"/>
        <w:jc w:val="left"/>
        <w:rPr>
          <w:rFonts w:eastAsia="宋体"/>
        </w:rPr>
      </w:pPr>
    </w:p>
    <w:tbl>
      <w:tblPr>
        <w:tblStyle w:val="affff1"/>
        <w:tblW w:w="9631" w:type="dxa"/>
        <w:tblLayout w:type="fixed"/>
        <w:tblLook w:val="04A0" w:firstRow="1" w:lastRow="0" w:firstColumn="1" w:lastColumn="0" w:noHBand="0" w:noVBand="1"/>
      </w:tblPr>
      <w:tblGrid>
        <w:gridCol w:w="1479"/>
        <w:gridCol w:w="1493"/>
        <w:gridCol w:w="6659"/>
      </w:tblGrid>
      <w:tr w:rsidR="00042BF4" w14:paraId="1788F936" w14:textId="77777777" w:rsidTr="00400FE1">
        <w:trPr>
          <w:trHeight w:val="261"/>
        </w:trPr>
        <w:tc>
          <w:tcPr>
            <w:tcW w:w="1479" w:type="dxa"/>
            <w:shd w:val="clear" w:color="auto" w:fill="C5E0B3" w:themeFill="accent6" w:themeFillTint="66"/>
          </w:tcPr>
          <w:p w14:paraId="396D22F2" w14:textId="77777777" w:rsidR="00042BF4" w:rsidRDefault="00042BF4" w:rsidP="00400FE1">
            <w:pPr>
              <w:rPr>
                <w:b/>
                <w:bCs/>
              </w:rPr>
            </w:pPr>
            <w:r>
              <w:rPr>
                <w:b/>
                <w:bCs/>
              </w:rPr>
              <w:t>Company</w:t>
            </w:r>
          </w:p>
        </w:tc>
        <w:tc>
          <w:tcPr>
            <w:tcW w:w="1493" w:type="dxa"/>
            <w:shd w:val="clear" w:color="auto" w:fill="C5E0B3" w:themeFill="accent6" w:themeFillTint="66"/>
          </w:tcPr>
          <w:p w14:paraId="2AE26147" w14:textId="77777777" w:rsidR="00042BF4" w:rsidRDefault="00042BF4" w:rsidP="00400FE1">
            <w:pPr>
              <w:rPr>
                <w:b/>
                <w:bCs/>
              </w:rPr>
            </w:pPr>
            <w:r>
              <w:rPr>
                <w:b/>
                <w:bCs/>
              </w:rPr>
              <w:t>Supported Proposal/Alt</w:t>
            </w:r>
          </w:p>
        </w:tc>
        <w:tc>
          <w:tcPr>
            <w:tcW w:w="6659" w:type="dxa"/>
            <w:shd w:val="clear" w:color="auto" w:fill="C5E0B3" w:themeFill="accent6" w:themeFillTint="66"/>
          </w:tcPr>
          <w:p w14:paraId="49BA9F95" w14:textId="77777777" w:rsidR="00042BF4" w:rsidRDefault="00042BF4" w:rsidP="00400FE1">
            <w:pPr>
              <w:rPr>
                <w:b/>
                <w:bCs/>
              </w:rPr>
            </w:pPr>
            <w:r>
              <w:rPr>
                <w:b/>
                <w:bCs/>
              </w:rPr>
              <w:t>Comments</w:t>
            </w:r>
          </w:p>
        </w:tc>
      </w:tr>
      <w:tr w:rsidR="00E25A16" w14:paraId="777858C1" w14:textId="77777777" w:rsidTr="00400FE1">
        <w:trPr>
          <w:trHeight w:val="261"/>
        </w:trPr>
        <w:tc>
          <w:tcPr>
            <w:tcW w:w="1479" w:type="dxa"/>
            <w:shd w:val="clear" w:color="auto" w:fill="auto"/>
          </w:tcPr>
          <w:p w14:paraId="7CCD5D89" w14:textId="0C81323B" w:rsidR="00E25A16" w:rsidRPr="00023C4A" w:rsidRDefault="00023C4A" w:rsidP="00E25A16">
            <w:r>
              <w:rPr>
                <w:rFonts w:hint="eastAsia"/>
              </w:rPr>
              <w:t>S</w:t>
            </w:r>
            <w:r>
              <w:t>amsung</w:t>
            </w:r>
          </w:p>
        </w:tc>
        <w:tc>
          <w:tcPr>
            <w:tcW w:w="1493" w:type="dxa"/>
            <w:shd w:val="clear" w:color="auto" w:fill="auto"/>
          </w:tcPr>
          <w:p w14:paraId="6D8A5790" w14:textId="43819F5A" w:rsidR="00E25A16" w:rsidRDefault="00E25A16" w:rsidP="00E25A16">
            <w:pPr>
              <w:rPr>
                <w:rFonts w:eastAsia="Malgun Gothic"/>
                <w:lang w:eastAsia="ko-KR"/>
              </w:rPr>
            </w:pPr>
          </w:p>
        </w:tc>
        <w:tc>
          <w:tcPr>
            <w:tcW w:w="6659" w:type="dxa"/>
            <w:shd w:val="clear" w:color="auto" w:fill="auto"/>
          </w:tcPr>
          <w:p w14:paraId="61543B6B" w14:textId="43820515" w:rsidR="00E25A16" w:rsidRPr="00023C4A" w:rsidRDefault="00023C4A" w:rsidP="00E25A16">
            <w:r>
              <w:rPr>
                <w:rFonts w:hint="eastAsia"/>
              </w:rPr>
              <w:t>F</w:t>
            </w:r>
            <w:r>
              <w:t xml:space="preserve">ine with </w:t>
            </w:r>
            <w:r w:rsidR="001405CB">
              <w:t xml:space="preserve">restriction in </w:t>
            </w:r>
            <w:r w:rsidR="007E1D9B">
              <w:t>p</w:t>
            </w:r>
            <w:r>
              <w:t>roposal</w:t>
            </w:r>
            <w:r w:rsidR="007E1D9B">
              <w:t xml:space="preserve"> 3</w:t>
            </w:r>
            <w:r>
              <w:t>.</w:t>
            </w:r>
          </w:p>
        </w:tc>
      </w:tr>
      <w:tr w:rsidR="00E0230D" w14:paraId="0AAD536B" w14:textId="77777777" w:rsidTr="00400FE1">
        <w:trPr>
          <w:trHeight w:val="261"/>
        </w:trPr>
        <w:tc>
          <w:tcPr>
            <w:tcW w:w="1479" w:type="dxa"/>
            <w:shd w:val="clear" w:color="auto" w:fill="auto"/>
          </w:tcPr>
          <w:p w14:paraId="34377556" w14:textId="5BE0F849" w:rsidR="00E0230D" w:rsidRPr="00D4775C" w:rsidRDefault="00E0230D" w:rsidP="00E0230D">
            <w:r>
              <w:rPr>
                <w:rFonts w:eastAsia="Malgun Gothic" w:hint="eastAsia"/>
                <w:lang w:eastAsia="ko-KR"/>
              </w:rPr>
              <w:t>LG Electronics</w:t>
            </w:r>
          </w:p>
        </w:tc>
        <w:tc>
          <w:tcPr>
            <w:tcW w:w="1493" w:type="dxa"/>
            <w:shd w:val="clear" w:color="auto" w:fill="auto"/>
          </w:tcPr>
          <w:p w14:paraId="4E9D28CD" w14:textId="60A1EC06" w:rsidR="00E0230D" w:rsidRDefault="00E0230D" w:rsidP="00E0230D">
            <w:pPr>
              <w:rPr>
                <w:rFonts w:eastAsia="Malgun Gothic"/>
                <w:lang w:eastAsia="ko-KR"/>
              </w:rPr>
            </w:pPr>
            <w:r>
              <w:rPr>
                <w:rFonts w:eastAsia="Malgun Gothic" w:hint="eastAsia"/>
                <w:lang w:eastAsia="ko-KR"/>
              </w:rPr>
              <w:t>Support as proponent</w:t>
            </w:r>
          </w:p>
        </w:tc>
        <w:tc>
          <w:tcPr>
            <w:tcW w:w="6659" w:type="dxa"/>
            <w:shd w:val="clear" w:color="auto" w:fill="auto"/>
          </w:tcPr>
          <w:p w14:paraId="7E332207" w14:textId="77777777" w:rsidR="00E0230D" w:rsidRDefault="00E0230D" w:rsidP="00E0230D">
            <w:pPr>
              <w:rPr>
                <w:rFonts w:eastAsia="Yu Mincho"/>
                <w:lang w:eastAsia="ja-JP"/>
              </w:rPr>
            </w:pPr>
          </w:p>
        </w:tc>
      </w:tr>
    </w:tbl>
    <w:p w14:paraId="53519037" w14:textId="77777777" w:rsidR="00042BF4" w:rsidRDefault="00042BF4">
      <w:pPr>
        <w:spacing w:after="0" w:line="240" w:lineRule="auto"/>
        <w:jc w:val="left"/>
        <w:rPr>
          <w:rFonts w:ascii="Times" w:hAnsi="Times"/>
          <w:sz w:val="28"/>
        </w:rPr>
      </w:pPr>
    </w:p>
    <w:bookmarkEnd w:id="0"/>
    <w:bookmarkEnd w:id="1"/>
    <w:p w14:paraId="01AADCAE" w14:textId="77777777" w:rsidR="005C7A97" w:rsidRDefault="00EA498A">
      <w:pPr>
        <w:pStyle w:val="1"/>
      </w:pPr>
      <w:r>
        <w:t>Reference</w:t>
      </w:r>
    </w:p>
    <w:p w14:paraId="12E09DEF" w14:textId="77777777" w:rsidR="005C7A97" w:rsidRDefault="00EA498A">
      <w:pPr>
        <w:pStyle w:val="affffe"/>
        <w:numPr>
          <w:ilvl w:val="0"/>
          <w:numId w:val="64"/>
        </w:numPr>
        <w:rPr>
          <w:lang w:eastAsia="ko-KR"/>
        </w:rPr>
      </w:pPr>
      <w:r>
        <w:rPr>
          <w:lang w:eastAsia="ko-KR"/>
        </w:rPr>
        <w:t>R1-2406520</w:t>
      </w:r>
      <w:r>
        <w:rPr>
          <w:lang w:eastAsia="ko-KR"/>
        </w:rPr>
        <w:tab/>
        <w:t>Correction on UE assumptions for CQI/PMI/RI calculation for type 1 spatial domain adaptation</w:t>
      </w:r>
      <w:r>
        <w:rPr>
          <w:lang w:eastAsia="ko-KR"/>
        </w:rPr>
        <w:tab/>
        <w:t>Fujitsu</w:t>
      </w:r>
    </w:p>
    <w:p w14:paraId="4E179F6F" w14:textId="77777777" w:rsidR="005C7A97" w:rsidRDefault="00EA498A">
      <w:pPr>
        <w:pStyle w:val="affffe"/>
        <w:numPr>
          <w:ilvl w:val="0"/>
          <w:numId w:val="64"/>
        </w:numPr>
        <w:rPr>
          <w:lang w:eastAsia="ko-KR"/>
        </w:rPr>
      </w:pPr>
      <w:r>
        <w:rPr>
          <w:lang w:eastAsia="ko-KR"/>
        </w:rPr>
        <w:t>R1-2406601</w:t>
      </w:r>
      <w:r>
        <w:rPr>
          <w:lang w:eastAsia="ko-KR"/>
        </w:rPr>
        <w:tab/>
        <w:t>Discussion on EPRE of CSI-RS and PDSCH for NES</w:t>
      </w:r>
      <w:r>
        <w:rPr>
          <w:lang w:eastAsia="ko-KR"/>
        </w:rPr>
        <w:tab/>
        <w:t>LG Electronics</w:t>
      </w:r>
    </w:p>
    <w:p w14:paraId="7B4C4C59" w14:textId="77777777" w:rsidR="005C7A97" w:rsidRDefault="00EA498A">
      <w:pPr>
        <w:pStyle w:val="affffe"/>
        <w:numPr>
          <w:ilvl w:val="0"/>
          <w:numId w:val="64"/>
        </w:numPr>
        <w:rPr>
          <w:lang w:eastAsia="ko-KR"/>
        </w:rPr>
      </w:pPr>
      <w:r>
        <w:rPr>
          <w:lang w:eastAsia="ko-KR"/>
        </w:rPr>
        <w:t>R1-2406630</w:t>
      </w:r>
      <w:r>
        <w:rPr>
          <w:lang w:eastAsia="ko-KR"/>
        </w:rPr>
        <w:tab/>
        <w:t>Remaining issues on network energy saving</w:t>
      </w:r>
      <w:r>
        <w:rPr>
          <w:lang w:eastAsia="ko-KR"/>
        </w:rPr>
        <w:tab/>
        <w:t>Samsung</w:t>
      </w:r>
    </w:p>
    <w:p w14:paraId="3919E92B" w14:textId="77777777" w:rsidR="005C7A97" w:rsidRDefault="00EA498A">
      <w:pPr>
        <w:pStyle w:val="affffe"/>
        <w:numPr>
          <w:ilvl w:val="0"/>
          <w:numId w:val="64"/>
        </w:numPr>
        <w:rPr>
          <w:lang w:eastAsia="ko-KR"/>
        </w:rPr>
      </w:pPr>
      <w:r>
        <w:rPr>
          <w:lang w:eastAsia="ko-KR"/>
        </w:rPr>
        <w:t>R1-2406631</w:t>
      </w:r>
      <w:r>
        <w:rPr>
          <w:lang w:eastAsia="ko-KR"/>
        </w:rPr>
        <w:tab/>
        <w:t>Correction on power assumption for type 1 spatial domain adaptation</w:t>
      </w:r>
      <w:r>
        <w:rPr>
          <w:lang w:eastAsia="ko-KR"/>
        </w:rPr>
        <w:tab/>
        <w:t>Samsung</w:t>
      </w:r>
    </w:p>
    <w:p w14:paraId="3212F3C2" w14:textId="77777777" w:rsidR="005C7A97" w:rsidRDefault="00EA498A">
      <w:pPr>
        <w:pStyle w:val="affffe"/>
        <w:numPr>
          <w:ilvl w:val="0"/>
          <w:numId w:val="64"/>
        </w:numPr>
        <w:rPr>
          <w:lang w:eastAsia="ko-KR"/>
        </w:rPr>
      </w:pPr>
      <w:r>
        <w:rPr>
          <w:lang w:eastAsia="ko-KR"/>
        </w:rPr>
        <w:t>R1-2406983</w:t>
      </w:r>
      <w:r>
        <w:rPr>
          <w:lang w:eastAsia="ko-KR"/>
        </w:rPr>
        <w:tab/>
        <w:t>Discussion on CSI-RS EPRE for type 1 spatial domain adaptation</w:t>
      </w:r>
      <w:r>
        <w:rPr>
          <w:lang w:eastAsia="ko-KR"/>
        </w:rPr>
        <w:tab/>
        <w:t>Huawei, HiSilicon</w:t>
      </w:r>
    </w:p>
    <w:p w14:paraId="1C1E2ADA" w14:textId="77777777" w:rsidR="005C7A97" w:rsidRDefault="00EA498A">
      <w:pPr>
        <w:pStyle w:val="affffe"/>
        <w:numPr>
          <w:ilvl w:val="0"/>
          <w:numId w:val="64"/>
        </w:numPr>
        <w:rPr>
          <w:lang w:eastAsia="ko-KR"/>
        </w:rPr>
      </w:pPr>
      <w:r>
        <w:rPr>
          <w:lang w:eastAsia="ko-KR"/>
        </w:rPr>
        <w:t>R1-2407054</w:t>
      </w:r>
      <w:r>
        <w:rPr>
          <w:lang w:eastAsia="ko-KR"/>
        </w:rPr>
        <w:tab/>
        <w:t>Discussion on power offset for spatial domain adaptation for Rel-18 NES</w:t>
      </w:r>
      <w:r>
        <w:rPr>
          <w:lang w:eastAsia="ko-KR"/>
        </w:rPr>
        <w:tab/>
        <w:t>Ericsson</w:t>
      </w:r>
    </w:p>
    <w:p w14:paraId="4C5EAAB6" w14:textId="77777777" w:rsidR="005C7A97" w:rsidRDefault="00EA498A">
      <w:pPr>
        <w:pStyle w:val="1"/>
      </w:pPr>
      <w:r>
        <w:t>Appendix for TP</w:t>
      </w:r>
    </w:p>
    <w:p w14:paraId="66C7E6D3" w14:textId="77777777" w:rsidR="005C7A97" w:rsidRDefault="00EA498A">
      <w:pPr>
        <w:outlineLvl w:val="1"/>
        <w:rPr>
          <w:b/>
          <w:lang w:eastAsia="en-US"/>
        </w:rPr>
      </w:pPr>
      <w:r>
        <w:rPr>
          <w:b/>
          <w:lang w:eastAsia="en-US"/>
        </w:rPr>
        <w:t>TP from [1] (Fujitsu)</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C7A97" w14:paraId="0FEB6A92" w14:textId="77777777">
        <w:tc>
          <w:tcPr>
            <w:tcW w:w="2694" w:type="dxa"/>
            <w:tcBorders>
              <w:top w:val="single" w:sz="4" w:space="0" w:color="auto"/>
              <w:left w:val="single" w:sz="4" w:space="0" w:color="auto"/>
            </w:tcBorders>
          </w:tcPr>
          <w:p w14:paraId="1DEF1D46" w14:textId="77777777" w:rsidR="005C7A97" w:rsidRDefault="00EA498A">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942BA21" w14:textId="77777777" w:rsidR="005C7A97" w:rsidRDefault="00EA498A">
            <w:pPr>
              <w:pStyle w:val="CRCoverPage"/>
              <w:spacing w:after="0"/>
              <w:ind w:left="100"/>
              <w:jc w:val="both"/>
              <w:rPr>
                <w:rFonts w:ascii="Times New Roman" w:hAnsi="Times New Roman"/>
              </w:rPr>
            </w:pPr>
            <w:r>
              <w:rPr>
                <w:rFonts w:ascii="Times New Roman" w:hAnsi="Times New Roman"/>
              </w:rPr>
              <w:t xml:space="preserve">For type 1 SD adaptation where a sub-configuration indicates a CSI-RS antenna port subset without indicating a power offset, the assumed ratio between PDSCH EPRE and NZP CSI-RS EPRE for </w:t>
            </w:r>
            <w:r>
              <w:rPr>
                <w:rFonts w:ascii="Times New Roman" w:hAnsi="Times New Roman" w:hint="eastAsia"/>
                <w:lang w:eastAsia="ja-JP"/>
              </w:rPr>
              <w:t>a</w:t>
            </w:r>
            <w:r>
              <w:rPr>
                <w:rFonts w:ascii="Times New Roman" w:hAnsi="Times New Roman"/>
              </w:rPr>
              <w:t xml:space="preserve"> sub-configuration may not be the value configured </w:t>
            </w:r>
            <w:r>
              <w:rPr>
                <w:rFonts w:ascii="Times New Roman" w:hAnsi="Times New Roman"/>
                <w:i/>
                <w:iCs/>
              </w:rPr>
              <w:t>powerControlOffset</w:t>
            </w:r>
            <w:r>
              <w:rPr>
                <w:rFonts w:ascii="Times New Roman" w:hAnsi="Times New Roman"/>
              </w:rPr>
              <w:t xml:space="preserve"> in the NZP CSI-RS resource configuration. </w:t>
            </w:r>
          </w:p>
        </w:tc>
      </w:tr>
      <w:tr w:rsidR="005C7A97" w14:paraId="6BC35D19" w14:textId="77777777">
        <w:tc>
          <w:tcPr>
            <w:tcW w:w="2694" w:type="dxa"/>
            <w:tcBorders>
              <w:left w:val="single" w:sz="4" w:space="0" w:color="auto"/>
            </w:tcBorders>
          </w:tcPr>
          <w:p w14:paraId="556409C7" w14:textId="77777777" w:rsidR="005C7A97" w:rsidRDefault="005C7A97">
            <w:pPr>
              <w:pStyle w:val="CRCoverPage"/>
              <w:spacing w:after="0"/>
              <w:rPr>
                <w:b/>
                <w:i/>
                <w:sz w:val="8"/>
                <w:szCs w:val="8"/>
              </w:rPr>
            </w:pPr>
          </w:p>
        </w:tc>
        <w:tc>
          <w:tcPr>
            <w:tcW w:w="6946" w:type="dxa"/>
            <w:tcBorders>
              <w:right w:val="single" w:sz="4" w:space="0" w:color="auto"/>
            </w:tcBorders>
          </w:tcPr>
          <w:p w14:paraId="79D7ED9B" w14:textId="77777777" w:rsidR="005C7A97" w:rsidRDefault="005C7A97">
            <w:pPr>
              <w:pStyle w:val="CRCoverPage"/>
              <w:spacing w:after="0"/>
              <w:jc w:val="both"/>
              <w:rPr>
                <w:sz w:val="8"/>
                <w:szCs w:val="8"/>
              </w:rPr>
            </w:pPr>
          </w:p>
        </w:tc>
      </w:tr>
      <w:tr w:rsidR="005C7A97" w14:paraId="17A698E1" w14:textId="77777777">
        <w:tc>
          <w:tcPr>
            <w:tcW w:w="2694" w:type="dxa"/>
            <w:tcBorders>
              <w:left w:val="single" w:sz="4" w:space="0" w:color="auto"/>
            </w:tcBorders>
          </w:tcPr>
          <w:p w14:paraId="40D789C8" w14:textId="77777777" w:rsidR="005C7A97" w:rsidRDefault="00EA498A">
            <w:pPr>
              <w:pStyle w:val="CRCoverPage"/>
              <w:tabs>
                <w:tab w:val="right" w:pos="2184"/>
              </w:tabs>
              <w:spacing w:after="0"/>
              <w:rPr>
                <w:b/>
                <w:i/>
              </w:rPr>
            </w:pPr>
            <w:r>
              <w:rPr>
                <w:b/>
                <w:i/>
              </w:rPr>
              <w:lastRenderedPageBreak/>
              <w:t>Summary of change:</w:t>
            </w:r>
          </w:p>
        </w:tc>
        <w:tc>
          <w:tcPr>
            <w:tcW w:w="6946" w:type="dxa"/>
            <w:tcBorders>
              <w:right w:val="single" w:sz="4" w:space="0" w:color="auto"/>
            </w:tcBorders>
            <w:shd w:val="pct30" w:color="FFFF00" w:fill="auto"/>
          </w:tcPr>
          <w:p w14:paraId="27CDA7AE" w14:textId="77777777" w:rsidR="005C7A97" w:rsidRDefault="00EA498A">
            <w:pPr>
              <w:pStyle w:val="CRCoverPage"/>
              <w:spacing w:after="0"/>
              <w:ind w:left="100"/>
              <w:jc w:val="both"/>
              <w:rPr>
                <w:rFonts w:ascii="Times New Roman" w:hAnsi="Times New Roman"/>
              </w:rPr>
            </w:pPr>
            <w:r>
              <w:rPr>
                <w:rFonts w:ascii="Times New Roman" w:hAnsi="Times New Roman"/>
              </w:rPr>
              <w:t xml:space="preserve">For type 1 SD adaptation where a sub-configuration indicates a CSI-RS antenna port subset without indicating a power offset, </w:t>
            </w:r>
            <w:r>
              <w:rPr>
                <w:rFonts w:ascii="Times New Roman" w:hAnsi="Times New Roman" w:hint="eastAsia"/>
                <w:lang w:eastAsia="ja-JP"/>
              </w:rPr>
              <w:t>t</w:t>
            </w:r>
            <w:r>
              <w:rPr>
                <w:rFonts w:ascii="Times New Roman" w:hAnsi="Times New Roman"/>
              </w:rPr>
              <w:t xml:space="preserve">he assumed ratio between PDSCH EPRE and NZP CSI-RS EPRE for the sub-configuration is the summation of the value provided by </w:t>
            </w:r>
            <w:r>
              <w:rPr>
                <w:rFonts w:ascii="Times New Roman" w:hAnsi="Times New Roman"/>
                <w:i/>
                <w:iCs/>
              </w:rPr>
              <w:t>powerControlOffset</w:t>
            </w:r>
            <w:r>
              <w:rPr>
                <w:rFonts w:ascii="Times New Roman" w:hAnsi="Times New Roman"/>
              </w:rPr>
              <w:t xml:space="preserve"> and a scaling factor derived from the indicated antenna port subset.</w:t>
            </w:r>
          </w:p>
        </w:tc>
      </w:tr>
      <w:tr w:rsidR="005C7A97" w14:paraId="0636CE17" w14:textId="77777777">
        <w:tc>
          <w:tcPr>
            <w:tcW w:w="2694" w:type="dxa"/>
            <w:tcBorders>
              <w:left w:val="single" w:sz="4" w:space="0" w:color="auto"/>
            </w:tcBorders>
          </w:tcPr>
          <w:p w14:paraId="6D439AF8" w14:textId="77777777" w:rsidR="005C7A97" w:rsidRDefault="005C7A97">
            <w:pPr>
              <w:pStyle w:val="CRCoverPage"/>
              <w:spacing w:after="0"/>
              <w:rPr>
                <w:b/>
                <w:i/>
                <w:sz w:val="8"/>
                <w:szCs w:val="8"/>
              </w:rPr>
            </w:pPr>
          </w:p>
        </w:tc>
        <w:tc>
          <w:tcPr>
            <w:tcW w:w="6946" w:type="dxa"/>
            <w:tcBorders>
              <w:right w:val="single" w:sz="4" w:space="0" w:color="auto"/>
            </w:tcBorders>
          </w:tcPr>
          <w:p w14:paraId="559D14E1" w14:textId="77777777" w:rsidR="005C7A97" w:rsidRDefault="005C7A97">
            <w:pPr>
              <w:pStyle w:val="CRCoverPage"/>
              <w:spacing w:after="0"/>
              <w:rPr>
                <w:sz w:val="8"/>
                <w:szCs w:val="8"/>
              </w:rPr>
            </w:pPr>
          </w:p>
        </w:tc>
      </w:tr>
      <w:tr w:rsidR="005C7A97" w14:paraId="7B47B349" w14:textId="77777777">
        <w:tc>
          <w:tcPr>
            <w:tcW w:w="2694" w:type="dxa"/>
            <w:tcBorders>
              <w:left w:val="single" w:sz="4" w:space="0" w:color="auto"/>
              <w:bottom w:val="single" w:sz="4" w:space="0" w:color="auto"/>
            </w:tcBorders>
          </w:tcPr>
          <w:p w14:paraId="7F8CED5E" w14:textId="77777777" w:rsidR="005C7A97" w:rsidRDefault="00EA498A">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C7B2502" w14:textId="77777777" w:rsidR="005C7A97" w:rsidRDefault="00EA498A">
            <w:pPr>
              <w:pStyle w:val="CRCoverPage"/>
              <w:spacing w:after="0"/>
              <w:ind w:left="100"/>
            </w:pPr>
            <w:r>
              <w:rPr>
                <w:rFonts w:ascii="Times New Roman" w:hAnsi="Times New Roman" w:hint="eastAsia"/>
                <w:lang w:eastAsia="ja-JP"/>
              </w:rPr>
              <w:t>I</w:t>
            </w:r>
            <w:r>
              <w:rPr>
                <w:rFonts w:ascii="Times New Roman" w:hAnsi="Times New Roman"/>
              </w:rPr>
              <w:t>naccurate ratio between PDSCH EPRE and CSI-RS EPRE assumed for a sub-configuration that indicates a CSI-RS antenna port subset without indicating a power offset.</w:t>
            </w:r>
          </w:p>
        </w:tc>
      </w:tr>
    </w:tbl>
    <w:p w14:paraId="08B5F780" w14:textId="77777777" w:rsidR="005C7A97" w:rsidRDefault="005C7A97">
      <w:pPr>
        <w:rPr>
          <w:color w:val="000000"/>
        </w:rPr>
      </w:pPr>
    </w:p>
    <w:tbl>
      <w:tblPr>
        <w:tblStyle w:val="affff1"/>
        <w:tblW w:w="0" w:type="auto"/>
        <w:tblLook w:val="04A0" w:firstRow="1" w:lastRow="0" w:firstColumn="1" w:lastColumn="0" w:noHBand="0" w:noVBand="1"/>
      </w:tblPr>
      <w:tblGrid>
        <w:gridCol w:w="9629"/>
      </w:tblGrid>
      <w:tr w:rsidR="005C7A97" w14:paraId="4E82D4D3" w14:textId="77777777">
        <w:tc>
          <w:tcPr>
            <w:tcW w:w="9629" w:type="dxa"/>
          </w:tcPr>
          <w:p w14:paraId="47E4A644" w14:textId="77777777" w:rsidR="005C7A97" w:rsidRDefault="00EA498A">
            <w:pPr>
              <w:jc w:val="center"/>
              <w:rPr>
                <w:color w:val="000000"/>
                <w:szCs w:val="22"/>
              </w:rPr>
            </w:pPr>
            <w:r>
              <w:rPr>
                <w:color w:val="000000"/>
                <w:szCs w:val="22"/>
              </w:rPr>
              <w:t>====================================&lt;start of changes&gt;====================================</w:t>
            </w:r>
          </w:p>
          <w:p w14:paraId="29CB6475" w14:textId="77777777" w:rsidR="005C7A97" w:rsidRDefault="00EA498A">
            <w:pPr>
              <w:pStyle w:val="51"/>
              <w:rPr>
                <w:color w:val="000000"/>
              </w:rPr>
            </w:pPr>
            <w:bookmarkStart w:id="2" w:name="_Toc162184939"/>
            <w:r>
              <w:t>5.2.2.5.1</w:t>
            </w:r>
            <w:r>
              <w:tab/>
              <w:t>UE assumptions for CQI/PMI/RI calculation</w:t>
            </w:r>
            <w:bookmarkEnd w:id="2"/>
          </w:p>
          <w:p w14:paraId="7AD9A99A" w14:textId="77777777" w:rsidR="005C7A97" w:rsidRDefault="00EA498A">
            <w:pPr>
              <w:jc w:val="center"/>
              <w:rPr>
                <w:color w:val="000000"/>
                <w:szCs w:val="22"/>
              </w:rPr>
            </w:pPr>
            <w:r>
              <w:rPr>
                <w:color w:val="000000"/>
                <w:szCs w:val="22"/>
              </w:rPr>
              <w:t>=========================&lt;Unchanged parts omitted&gt;=========================</w:t>
            </w:r>
          </w:p>
          <w:p w14:paraId="0B4C75A1" w14:textId="77777777" w:rsidR="005C7A97" w:rsidRDefault="00EA498A">
            <w:pPr>
              <w:pStyle w:val="B1"/>
              <w:rPr>
                <w:color w:val="000000"/>
              </w:rPr>
            </w:pPr>
            <w:r>
              <w:t>-</w:t>
            </w:r>
            <w:r>
              <w:tab/>
              <w:t xml:space="preserve">For a UE configured with a </w:t>
            </w:r>
            <w:r>
              <w:rPr>
                <w:i/>
              </w:rPr>
              <w:t>CSI-ReportConfig</w:t>
            </w:r>
            <w:r>
              <w:t xml:space="preserve"> that contains a list of sub-configurations </w:t>
            </w:r>
            <w:r>
              <w:rPr>
                <w:color w:val="000000"/>
              </w:rPr>
              <w:t>provided by  [</w:t>
            </w:r>
            <w:r>
              <w:rPr>
                <w:i/>
                <w:iCs/>
                <w:color w:val="000000"/>
              </w:rPr>
              <w:t>csi-ReportSubConfigList</w:t>
            </w:r>
            <w:r>
              <w:rPr>
                <w:color w:val="000000"/>
              </w:rPr>
              <w:t>],</w:t>
            </w:r>
          </w:p>
          <w:p w14:paraId="0F495E8F" w14:textId="77777777" w:rsidR="005C7A97" w:rsidRDefault="00EA498A">
            <w:pPr>
              <w:pStyle w:val="B2"/>
            </w:pPr>
            <w:r>
              <w:t>-</w:t>
            </w:r>
            <w:r>
              <w:tab/>
              <w:t>if a sub-configuration indicates a CSI-RS antenna port subset using the higher layer bitmap parameter [</w:t>
            </w:r>
            <w:r>
              <w:rPr>
                <w:i/>
                <w:iCs/>
              </w:rPr>
              <w:t>port-subsetIndicator</w:t>
            </w:r>
            <w:r>
              <w:t>], as described in clause 5.2.1.4.2, for CQI calculation, antenna ports corresponding to all bits with value of 1 in [</w:t>
            </w:r>
            <w:r>
              <w:rPr>
                <w:i/>
                <w:iCs/>
              </w:rPr>
              <w:t>port-subsetIndicator</w:t>
            </w:r>
            <w:r>
              <w:t>] are mapped to consecutive antenna ports starting at CSI-RS antenna port 3000 in increasing order of the bit position in [</w:t>
            </w:r>
            <w:r>
              <w:rPr>
                <w:i/>
                <w:iCs/>
              </w:rPr>
              <w:t>port-subsetIndicator</w:t>
            </w:r>
            <w:r>
              <w:t>]. The UE should assume that PDSCH signals on antenna ports in the set [1000,…, 1000+ν-1] for ν layers would result in signals equivalent to corresponding symbols transmitted on antenna ports [3000, …, 3000+P-1]</w:t>
            </w:r>
            <w:r>
              <w:rPr>
                <w:i/>
                <w:iCs/>
                <w:vertAlign w:val="superscript"/>
              </w:rPr>
              <w:t xml:space="preserve"> T</w:t>
            </w:r>
            <w:r>
              <w:t>, as given by</w:t>
            </w:r>
          </w:p>
          <w:p w14:paraId="0CBD48DA" w14:textId="77777777" w:rsidR="005C7A97" w:rsidRDefault="003D4070">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54A08FD0" w14:textId="77777777" w:rsidR="005C7A97" w:rsidRDefault="00EA498A">
            <w:pPr>
              <w:pStyle w:val="B2"/>
              <w:ind w:firstLine="0"/>
            </w:pPr>
            <w:r>
              <w:t xml:space="preserve">where </w:t>
            </w:r>
            <w:r>
              <w:rPr>
                <w:i/>
                <w:iCs/>
              </w:rPr>
              <w:t xml:space="preserve">P </w:t>
            </w:r>
            <w:r>
              <w:t>corresponds to the number of bits with value 1 in the bitmap</w:t>
            </w:r>
            <w:r>
              <w:rPr>
                <w:i/>
                <w:iCs/>
              </w:rPr>
              <w:t xml:space="preserve"> [port-subsetIndicator]</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w:t>
            </w:r>
            <w:r>
              <w:rPr>
                <w:color w:val="FF0000"/>
                <w:u w:val="single"/>
              </w:rPr>
              <w:t>is the summation of the ratio</w:t>
            </w:r>
            <w:r>
              <w:t xml:space="preserve"> as previously defined in this Clause</w:t>
            </w:r>
            <w:r>
              <w:rPr>
                <w:color w:val="FF0000"/>
                <w:u w:val="single"/>
              </w:rPr>
              <w:t xml:space="preserve"> and </w:t>
            </w:r>
            <m:oMath>
              <m:r>
                <w:rPr>
                  <w:rFonts w:ascii="Cambria Math" w:eastAsia="微软雅黑" w:hAnsi="Cambria Math"/>
                  <w:color w:val="FF0000"/>
                  <w:u w:val="single"/>
                </w:rPr>
                <m:t>10∙</m:t>
              </m:r>
              <m:sSub>
                <m:sSubPr>
                  <m:ctrlPr>
                    <w:rPr>
                      <w:rFonts w:ascii="Cambria Math" w:eastAsia="微软雅黑" w:hAnsi="Cambria Math"/>
                      <w:i/>
                      <w:iCs/>
                      <w:color w:val="FF0000"/>
                      <w:u w:val="single"/>
                    </w:rPr>
                  </m:ctrlPr>
                </m:sSubPr>
                <m:e>
                  <m:r>
                    <w:rPr>
                      <w:rFonts w:ascii="Cambria Math" w:eastAsia="微软雅黑" w:hAnsi="Cambria Math"/>
                      <w:color w:val="FF0000"/>
                      <w:u w:val="single"/>
                    </w:rPr>
                    <m:t>log</m:t>
                  </m:r>
                </m:e>
                <m:sub>
                  <m:r>
                    <w:rPr>
                      <w:rFonts w:ascii="Cambria Math" w:eastAsia="微软雅黑" w:hAnsi="Cambria Math"/>
                      <w:color w:val="FF0000"/>
                      <w:u w:val="single"/>
                    </w:rPr>
                    <m:t>10</m:t>
                  </m:r>
                </m:sub>
              </m:sSub>
              <m:d>
                <m:dPr>
                  <m:ctrlPr>
                    <w:rPr>
                      <w:rFonts w:ascii="Cambria Math" w:eastAsia="微软雅黑" w:hAnsi="Cambria Math"/>
                      <w:i/>
                      <w:iCs/>
                      <w:color w:val="FF0000"/>
                      <w:u w:val="single"/>
                    </w:rPr>
                  </m:ctrlPr>
                </m:dPr>
                <m:e>
                  <m:f>
                    <m:fPr>
                      <m:ctrlPr>
                        <w:rPr>
                          <w:rFonts w:ascii="Cambria Math" w:eastAsia="微软雅黑" w:hAnsi="Cambria Math"/>
                          <w:i/>
                          <w:iCs/>
                          <w:color w:val="FF0000"/>
                          <w:u w:val="single"/>
                        </w:rPr>
                      </m:ctrlPr>
                    </m:fPr>
                    <m:num>
                      <m:r>
                        <w:rPr>
                          <w:rFonts w:ascii="Cambria Math" w:eastAsia="微软雅黑" w:hAnsi="Cambria Math"/>
                          <w:color w:val="FF0000"/>
                          <w:u w:val="single"/>
                        </w:rPr>
                        <m:t>P</m:t>
                      </m:r>
                    </m:num>
                    <m:den>
                      <m:sSup>
                        <m:sSupPr>
                          <m:ctrlPr>
                            <w:rPr>
                              <w:rFonts w:ascii="Cambria Math" w:eastAsia="微软雅黑" w:hAnsi="Cambria Math"/>
                              <w:i/>
                              <w:iCs/>
                              <w:color w:val="FF0000"/>
                              <w:u w:val="single"/>
                            </w:rPr>
                          </m:ctrlPr>
                        </m:sSupPr>
                        <m:e>
                          <m:r>
                            <w:rPr>
                              <w:rFonts w:ascii="Cambria Math" w:eastAsia="微软雅黑" w:hAnsi="Cambria Math"/>
                              <w:color w:val="FF0000"/>
                              <w:u w:val="single"/>
                            </w:rPr>
                            <m:t>P</m:t>
                          </m:r>
                        </m:e>
                        <m:sup>
                          <m:r>
                            <w:rPr>
                              <w:rFonts w:ascii="Cambria Math" w:eastAsia="微软雅黑" w:hAnsi="Cambria Math"/>
                              <w:color w:val="FF0000"/>
                              <w:u w:val="single"/>
                            </w:rPr>
                            <m:t>'</m:t>
                          </m:r>
                        </m:sup>
                      </m:sSup>
                    </m:den>
                  </m:f>
                </m:e>
              </m:d>
            </m:oMath>
            <w:r>
              <w:rPr>
                <w:rFonts w:eastAsia="MS Mincho"/>
                <w:lang w:eastAsia="ja-JP"/>
              </w:rPr>
              <w:t xml:space="preserve"> </w:t>
            </w:r>
            <w:r>
              <w:t xml:space="preserve">if the sub-configuration does not indicate a power offset </w:t>
            </w:r>
            <w:r>
              <w:rPr>
                <w:rFonts w:eastAsia="微软雅黑"/>
                <w:i/>
                <w:iCs/>
              </w:rPr>
              <w:t>[powerOffset]</w:t>
            </w:r>
            <w:r>
              <w:rPr>
                <w:rFonts w:eastAsia="MS Mincho"/>
                <w:lang w:eastAsia="ja-JP"/>
              </w:rPr>
              <w:t xml:space="preserve"> </w:t>
            </w:r>
            <w:r>
              <w:rPr>
                <w:rFonts w:asciiTheme="minorEastAsia" w:eastAsia="MS Mincho" w:hAnsiTheme="minorEastAsia" w:hint="eastAsia"/>
                <w:color w:val="FF0000"/>
                <w:u w:val="single"/>
                <w:lang w:eastAsia="ja-JP"/>
              </w:rPr>
              <w:t>,</w:t>
            </w:r>
            <w:r>
              <w:rPr>
                <w:rFonts w:eastAsia="MS Mincho"/>
                <w:color w:val="FF0000"/>
                <w:u w:val="single"/>
                <w:lang w:eastAsia="ja-JP"/>
              </w:rPr>
              <w:t xml:space="preserve">where </w:t>
            </w:r>
            <m:oMath>
              <m:sSup>
                <m:sSupPr>
                  <m:ctrlPr>
                    <w:rPr>
                      <w:rFonts w:ascii="Cambria Math" w:eastAsia="MS Mincho" w:hAnsi="Cambria Math"/>
                      <w:i/>
                      <w:color w:val="FF0000"/>
                      <w:u w:val="single"/>
                      <w:lang w:eastAsia="ja-JP"/>
                    </w:rPr>
                  </m:ctrlPr>
                </m:sSupPr>
                <m:e>
                  <m:r>
                    <w:rPr>
                      <w:rFonts w:ascii="Cambria Math" w:eastAsia="MS Mincho" w:hAnsi="Cambria Math"/>
                      <w:color w:val="FF0000"/>
                      <w:u w:val="single"/>
                      <w:lang w:eastAsia="ja-JP"/>
                    </w:rPr>
                    <m:t>P</m:t>
                  </m:r>
                </m:e>
                <m:sup>
                  <m:r>
                    <w:rPr>
                      <w:rFonts w:ascii="Cambria Math" w:eastAsia="MS Mincho" w:hAnsi="Cambria Math"/>
                      <w:color w:val="FF0000"/>
                      <w:u w:val="single"/>
                      <w:lang w:eastAsia="ja-JP"/>
                    </w:rPr>
                    <m:t>'</m:t>
                  </m:r>
                </m:sup>
              </m:sSup>
            </m:oMath>
            <w:r>
              <w:rPr>
                <w:rFonts w:eastAsia="MS Mincho" w:hint="eastAsia"/>
                <w:color w:val="FF0000"/>
                <w:u w:val="single"/>
                <w:lang w:eastAsia="ja-JP"/>
              </w:rPr>
              <w:t xml:space="preserve"> </w:t>
            </w:r>
            <w:r>
              <w:rPr>
                <w:rFonts w:eastAsia="MS Mincho"/>
                <w:color w:val="FF0000"/>
                <w:u w:val="single"/>
                <w:lang w:eastAsia="ja-JP"/>
              </w:rPr>
              <w:t>is the number of CSI-RS ports given in clause 5.2.2.3.1</w:t>
            </w:r>
            <w:r>
              <w:rPr>
                <w:rFonts w:eastAsia="MS Mincho"/>
                <w:lang w:eastAsia="ja-JP"/>
              </w:rPr>
              <w:t>.</w:t>
            </w:r>
          </w:p>
          <w:p w14:paraId="2EB9F661" w14:textId="77777777" w:rsidR="005C7A97" w:rsidRDefault="00EA498A">
            <w:pPr>
              <w:pStyle w:val="B2"/>
              <w:rPr>
                <w:color w:val="000000"/>
              </w:rPr>
            </w:pPr>
            <w:r>
              <w:rPr>
                <w:color w:val="000000"/>
              </w:rPr>
              <w:t>-</w:t>
            </w:r>
            <w:r>
              <w:rPr>
                <w:color w:val="000000"/>
              </w:rPr>
              <w:tab/>
              <w:t>if a sub-configuration indicates</w:t>
            </w:r>
            <w:r>
              <w:rPr>
                <w:iCs/>
                <w:color w:val="000000"/>
              </w:rPr>
              <w:t xml:space="preserve"> a list of </w:t>
            </w:r>
            <w:r>
              <w:rPr>
                <w:color w:val="000000"/>
              </w:rPr>
              <w:t>NZP CSI-RS resources, provided by [</w:t>
            </w:r>
            <w:r>
              <w:rPr>
                <w:i/>
                <w:iCs/>
                <w:color w:val="000000"/>
              </w:rPr>
              <w:t>nzp-CSI-RS-resourceList</w:t>
            </w:r>
            <w:r>
              <w:rPr>
                <w:color w:val="000000"/>
              </w:rPr>
              <w:t>] and does not indicate a</w:t>
            </w:r>
            <w:r>
              <w:t xml:space="preserve"> power offset </w:t>
            </w:r>
            <w:r>
              <w:rPr>
                <w:rFonts w:eastAsia="微软雅黑"/>
                <w:i/>
                <w:iCs/>
              </w:rPr>
              <w:t>[powerOffset]</w:t>
            </w:r>
            <w:r>
              <w:rPr>
                <w:color w:val="000000"/>
              </w:rPr>
              <w:t xml:space="preserve">, for CQI calculation for the sub-configuration the UE follows the procedure previously described in this Clause. </w:t>
            </w:r>
          </w:p>
          <w:p w14:paraId="2F2DBC95" w14:textId="77777777" w:rsidR="005C7A97" w:rsidRDefault="00EA498A">
            <w:pPr>
              <w:pStyle w:val="B2"/>
              <w:rPr>
                <w:color w:val="000000"/>
              </w:rPr>
            </w:pPr>
            <w:r>
              <w:rPr>
                <w:color w:val="000000"/>
              </w:rPr>
              <w:t xml:space="preserve">-    if a sub-configuration indicates a power offset </w:t>
            </w:r>
            <w:r>
              <w:rPr>
                <w:i/>
                <w:iCs/>
                <w:color w:val="000000"/>
              </w:rPr>
              <w:t>[powerOffset]</w:t>
            </w:r>
            <w:r>
              <w:rPr>
                <w:color w:val="000000"/>
              </w:rPr>
              <w:t xml:space="preserve">, for CQI calculation, the UE shall assume the corresponding PDSCH signals transmitted on the antenna ports of a CSI-RS resource would have a ratio of EPRE to CSI-RS EPRE equal to the difference between </w:t>
            </w:r>
            <w:r>
              <w:rPr>
                <w:i/>
                <w:iCs/>
                <w:color w:val="000000"/>
              </w:rPr>
              <w:t>powerControlOffset</w:t>
            </w:r>
            <w:r>
              <w:rPr>
                <w:color w:val="000000"/>
              </w:rPr>
              <w:t xml:space="preserve"> of the CSI-RS resource, given in Clause 5.2.2.3.1, and </w:t>
            </w:r>
            <w:r>
              <w:rPr>
                <w:i/>
                <w:iCs/>
                <w:color w:val="000000"/>
              </w:rPr>
              <w:t>[powerOffset]</w:t>
            </w:r>
            <w:r>
              <w:rPr>
                <w:color w:val="000000"/>
              </w:rPr>
              <w:t xml:space="preserve">, where the difference is expected to take one of the values that can be configured for </w:t>
            </w:r>
            <w:r>
              <w:rPr>
                <w:i/>
                <w:iCs/>
                <w:color w:val="000000"/>
              </w:rPr>
              <w:t>powerControlOffset</w:t>
            </w:r>
            <w:r>
              <w:rPr>
                <w:color w:val="000000"/>
              </w:rPr>
              <w:t xml:space="preserve"> of the CSI-RS resource, given in Clause 5.2.2.3.1, and is also expected to take a value that is no larger than the value of </w:t>
            </w:r>
            <w:r>
              <w:rPr>
                <w:i/>
                <w:iCs/>
                <w:color w:val="000000"/>
              </w:rPr>
              <w:t>powerControlOffset</w:t>
            </w:r>
            <w:r>
              <w:rPr>
                <w:color w:val="000000"/>
              </w:rPr>
              <w:t>.</w:t>
            </w:r>
          </w:p>
          <w:p w14:paraId="08A875B3" w14:textId="77777777" w:rsidR="005C7A97" w:rsidRDefault="00EA498A">
            <w:pPr>
              <w:jc w:val="center"/>
              <w:rPr>
                <w:color w:val="000000"/>
                <w:szCs w:val="22"/>
              </w:rPr>
            </w:pPr>
            <w:r>
              <w:rPr>
                <w:color w:val="000000"/>
                <w:szCs w:val="22"/>
              </w:rPr>
              <w:t>=========================&lt;Unchanged parts omitted&gt;=========================</w:t>
            </w:r>
          </w:p>
          <w:p w14:paraId="41B81823" w14:textId="77777777" w:rsidR="005C7A97" w:rsidRDefault="00EA498A">
            <w:pPr>
              <w:jc w:val="center"/>
              <w:rPr>
                <w:color w:val="000000"/>
                <w:szCs w:val="22"/>
              </w:rPr>
            </w:pPr>
            <w:r>
              <w:rPr>
                <w:color w:val="000000"/>
                <w:szCs w:val="22"/>
              </w:rPr>
              <w:t>====================================&lt;end of changes&gt;====================================</w:t>
            </w:r>
          </w:p>
        </w:tc>
      </w:tr>
    </w:tbl>
    <w:p w14:paraId="0C2B81E4" w14:textId="77777777" w:rsidR="005C7A97" w:rsidRDefault="005C7A97">
      <w:pPr>
        <w:rPr>
          <w:lang w:eastAsia="en-US"/>
        </w:rPr>
      </w:pPr>
    </w:p>
    <w:p w14:paraId="7C22B621" w14:textId="77777777" w:rsidR="005C7A97" w:rsidRDefault="00EA498A">
      <w:pPr>
        <w:outlineLvl w:val="1"/>
        <w:rPr>
          <w:b/>
          <w:lang w:eastAsia="en-US"/>
        </w:rPr>
      </w:pPr>
      <w:r>
        <w:rPr>
          <w:b/>
          <w:lang w:eastAsia="en-US"/>
        </w:rPr>
        <w:t>TP from [3][4] (Samsung)</w:t>
      </w:r>
    </w:p>
    <w:tbl>
      <w:tblPr>
        <w:tblStyle w:val="affff1"/>
        <w:tblW w:w="0" w:type="auto"/>
        <w:tblLook w:val="04A0" w:firstRow="1" w:lastRow="0" w:firstColumn="1" w:lastColumn="0" w:noHBand="0" w:noVBand="1"/>
      </w:tblPr>
      <w:tblGrid>
        <w:gridCol w:w="9629"/>
      </w:tblGrid>
      <w:tr w:rsidR="005C7A97" w14:paraId="11B0A722" w14:textId="77777777">
        <w:tc>
          <w:tcPr>
            <w:tcW w:w="9629" w:type="dxa"/>
          </w:tcPr>
          <w:p w14:paraId="5AB219EE" w14:textId="77777777" w:rsidR="005C7A97" w:rsidRDefault="00EA498A">
            <w:pPr>
              <w:spacing w:line="288" w:lineRule="auto"/>
            </w:pPr>
            <w:r>
              <w:rPr>
                <w:b/>
                <w:bCs/>
              </w:rPr>
              <w:t xml:space="preserve">Reason for change: </w:t>
            </w:r>
            <w:r>
              <w:rPr>
                <w:rFonts w:ascii="Times" w:hAnsi="Times" w:cs="Times"/>
              </w:rPr>
              <w:t xml:space="preserve">The UE assumption of EPRE ratio between PDSCH and CSI-RS for CQI calculation is incorrect when the port subset indicated by </w:t>
            </w:r>
            <w:r>
              <w:rPr>
                <w:rFonts w:ascii="Times" w:hAnsi="Times" w:cs="Times"/>
                <w:i/>
                <w:iCs/>
              </w:rPr>
              <w:t>portSubsetIndicator</w:t>
            </w:r>
            <w:r>
              <w:rPr>
                <w:rFonts w:ascii="Times" w:hAnsi="Times" w:cs="Times"/>
              </w:rPr>
              <w:t xml:space="preserve"> and </w:t>
            </w:r>
            <w:r>
              <w:rPr>
                <w:rFonts w:ascii="Times" w:hAnsi="Times" w:cs="Times"/>
                <w:i/>
                <w:iCs/>
              </w:rPr>
              <w:t>powerOffset</w:t>
            </w:r>
            <w:r>
              <w:rPr>
                <w:rFonts w:ascii="Times" w:hAnsi="Times" w:cs="Times"/>
              </w:rPr>
              <w:t xml:space="preserve"> is not indicated for the sub-configuration.</w:t>
            </w:r>
          </w:p>
          <w:p w14:paraId="7D99A8BB" w14:textId="77777777" w:rsidR="005C7A97" w:rsidRDefault="00EA498A">
            <w:pPr>
              <w:spacing w:line="288" w:lineRule="auto"/>
              <w:rPr>
                <w:b/>
                <w:bCs/>
              </w:rPr>
            </w:pPr>
            <w:r>
              <w:rPr>
                <w:b/>
                <w:bCs/>
              </w:rPr>
              <w:lastRenderedPageBreak/>
              <w:t xml:space="preserve">Summary of change: </w:t>
            </w:r>
            <w:r>
              <w:rPr>
                <w:rFonts w:ascii="Times" w:hAnsi="Times" w:cs="Times"/>
              </w:rPr>
              <w:t xml:space="preserve">The UE assumption of EPRE ratio between PDSCH and CSI-RS for CQI calculation scales with the number of ports within indicated port subset when the port subset is indicated by </w:t>
            </w:r>
            <w:r>
              <w:rPr>
                <w:rFonts w:ascii="Times" w:hAnsi="Times" w:cs="Times"/>
                <w:i/>
                <w:iCs/>
              </w:rPr>
              <w:t>portSubsetIndicator</w:t>
            </w:r>
            <w:r>
              <w:rPr>
                <w:rFonts w:ascii="Times" w:hAnsi="Times" w:cs="Times"/>
              </w:rPr>
              <w:t xml:space="preserve"> and </w:t>
            </w:r>
            <w:r>
              <w:rPr>
                <w:rFonts w:ascii="Times" w:hAnsi="Times" w:cs="Times"/>
                <w:i/>
                <w:iCs/>
              </w:rPr>
              <w:t>powerOffset</w:t>
            </w:r>
            <w:r>
              <w:rPr>
                <w:rFonts w:ascii="Times" w:hAnsi="Times" w:cs="Times"/>
              </w:rPr>
              <w:t xml:space="preserve"> is not indicated for the sub-configuration.</w:t>
            </w:r>
          </w:p>
          <w:p w14:paraId="0AEB1602" w14:textId="77777777" w:rsidR="005C7A97" w:rsidRDefault="00EA498A">
            <w:pPr>
              <w:rPr>
                <w:rFonts w:ascii="Times" w:hAnsi="Times" w:cs="Times"/>
              </w:rPr>
            </w:pPr>
            <w:r>
              <w:rPr>
                <w:b/>
                <w:iCs/>
              </w:rPr>
              <w:t>Consequences if not approved:</w:t>
            </w:r>
            <w:r>
              <w:rPr>
                <w:rFonts w:ascii="Times" w:hAnsi="Times" w:cs="Times"/>
              </w:rPr>
              <w:t xml:space="preserve"> Incorrect UE assumption of EPRE ratio between PDSCH and CSI-RS for CQI calculation when the port subset indicated by </w:t>
            </w:r>
            <w:r>
              <w:rPr>
                <w:rFonts w:ascii="Times" w:hAnsi="Times" w:cs="Times"/>
                <w:i/>
                <w:iCs/>
              </w:rPr>
              <w:t>portSubsetIndicator</w:t>
            </w:r>
            <w:r>
              <w:rPr>
                <w:rFonts w:ascii="Times" w:hAnsi="Times" w:cs="Times"/>
              </w:rPr>
              <w:t xml:space="preserve"> and </w:t>
            </w:r>
            <w:r>
              <w:rPr>
                <w:rFonts w:ascii="Times" w:hAnsi="Times" w:cs="Times"/>
                <w:i/>
                <w:iCs/>
              </w:rPr>
              <w:t>powerOffset</w:t>
            </w:r>
            <w:r>
              <w:rPr>
                <w:rFonts w:ascii="Times" w:hAnsi="Times" w:cs="Times"/>
              </w:rPr>
              <w:t xml:space="preserve"> is not indicated for the sub-configuration.</w:t>
            </w:r>
          </w:p>
          <w:p w14:paraId="77B7F8CE" w14:textId="77777777" w:rsidR="005C7A97" w:rsidRDefault="005C7A97">
            <w:pPr>
              <w:rPr>
                <w:rFonts w:ascii="Times" w:hAnsi="Times" w:cs="Times"/>
              </w:rPr>
            </w:pPr>
          </w:p>
          <w:p w14:paraId="67D0EBDF" w14:textId="77777777" w:rsidR="005C7A97" w:rsidRDefault="00EA498A">
            <w:pPr>
              <w:spacing w:before="120"/>
              <w:rPr>
                <w:rFonts w:eastAsia="宋体"/>
                <w:b/>
                <w:bCs/>
                <w:color w:val="000000"/>
              </w:rPr>
            </w:pPr>
            <w:r>
              <w:rPr>
                <w:rFonts w:eastAsia="宋体"/>
                <w:b/>
                <w:bCs/>
                <w:color w:val="000000"/>
              </w:rPr>
              <w:t xml:space="preserve">TP for </w:t>
            </w:r>
            <w:r>
              <w:rPr>
                <w:rFonts w:eastAsia="宋体" w:hint="eastAsia"/>
                <w:b/>
                <w:bCs/>
                <w:color w:val="000000"/>
              </w:rPr>
              <w:t>T</w:t>
            </w:r>
            <w:r>
              <w:rPr>
                <w:rFonts w:eastAsia="宋体"/>
                <w:b/>
                <w:bCs/>
                <w:color w:val="000000"/>
              </w:rPr>
              <w:t>S 38.214 Clause 5.2.2.5.1 UE assumptions for CQI/PMI/RI calculation</w:t>
            </w:r>
          </w:p>
          <w:p w14:paraId="54F5BFB9" w14:textId="77777777" w:rsidR="005C7A97" w:rsidRDefault="00EA498A">
            <w:pPr>
              <w:rPr>
                <w:rFonts w:eastAsia="宋体"/>
                <w:color w:val="C00000"/>
              </w:rPr>
            </w:pPr>
            <w:r>
              <w:rPr>
                <w:rFonts w:eastAsia="宋体" w:hint="eastAsia"/>
                <w:color w:val="C00000"/>
              </w:rPr>
              <w:t>&lt;</w:t>
            </w:r>
            <w:r>
              <w:rPr>
                <w:rFonts w:eastAsia="宋体"/>
                <w:color w:val="C00000"/>
              </w:rPr>
              <w:t>omitted texts&gt;</w:t>
            </w:r>
          </w:p>
          <w:p w14:paraId="72C903C1" w14:textId="77777777" w:rsidR="005C7A97" w:rsidRDefault="00EA498A">
            <w:pPr>
              <w:pStyle w:val="B1"/>
              <w:rPr>
                <w:color w:val="000000"/>
              </w:rPr>
            </w:pPr>
            <w:r>
              <w:t>-</w:t>
            </w:r>
            <w:r>
              <w:tab/>
              <w:t xml:space="preserve">For a UE configured with a </w:t>
            </w:r>
            <w:r>
              <w:rPr>
                <w:i/>
              </w:rPr>
              <w:t>CSI-ReportConfig</w:t>
            </w:r>
            <w:r>
              <w:t xml:space="preserve"> that contains a list of sub-configurations </w:t>
            </w:r>
            <w:r>
              <w:rPr>
                <w:color w:val="000000"/>
              </w:rPr>
              <w:t>provided by  [</w:t>
            </w:r>
            <w:r>
              <w:rPr>
                <w:i/>
                <w:iCs/>
                <w:color w:val="000000"/>
              </w:rPr>
              <w:t>csi-ReportSubConfigList</w:t>
            </w:r>
            <w:r>
              <w:rPr>
                <w:color w:val="000000"/>
              </w:rPr>
              <w:t>],</w:t>
            </w:r>
          </w:p>
          <w:p w14:paraId="24A2045E" w14:textId="77777777" w:rsidR="005C7A97" w:rsidRDefault="00EA498A">
            <w:pPr>
              <w:pStyle w:val="B2"/>
            </w:pPr>
            <w:r>
              <w:t>-</w:t>
            </w:r>
            <w:r>
              <w:tab/>
              <w:t>if a sub-configuration indicates a CSI-RS antenna port subset using the higher layer bitmap parameter [</w:t>
            </w:r>
            <w:r>
              <w:rPr>
                <w:i/>
                <w:iCs/>
              </w:rPr>
              <w:t>port-subsetIndicator</w:t>
            </w:r>
            <w:r>
              <w:t>], as described in clause 5.2.1.4.2, for CQI calculation, antenna ports corresponding to all bits with value of 1 in [</w:t>
            </w:r>
            <w:r>
              <w:rPr>
                <w:i/>
                <w:iCs/>
              </w:rPr>
              <w:t>port-subsetIndicator</w:t>
            </w:r>
            <w:r>
              <w:t>] are mapped to consecutive antenna ports starting at CSI-RS antenna port 3000 in increasing order of the bit position in [</w:t>
            </w:r>
            <w:r>
              <w:rPr>
                <w:i/>
                <w:iCs/>
              </w:rPr>
              <w:t>port-subsetIndicator</w:t>
            </w:r>
            <w:r>
              <w:t>]. The UE should assume that PDSCH signals on antenna ports in the set [1000,…, 1000+ν-1] for ν layers would result in signals equivalent to corresponding symbols transmitted on antenna ports [3000, …, 3000+P-1]</w:t>
            </w:r>
            <w:r>
              <w:rPr>
                <w:i/>
                <w:iCs/>
                <w:vertAlign w:val="superscript"/>
              </w:rPr>
              <w:t xml:space="preserve"> T</w:t>
            </w:r>
            <w:r>
              <w:t>, as given by</w:t>
            </w:r>
          </w:p>
          <w:p w14:paraId="768E4A5C" w14:textId="77777777" w:rsidR="005C7A97" w:rsidRDefault="003D4070">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4BC79ED0" w14:textId="77777777" w:rsidR="005C7A97" w:rsidRDefault="00EA498A">
            <w:pPr>
              <w:pStyle w:val="B2"/>
              <w:ind w:firstLine="0"/>
            </w:pPr>
            <w:r>
              <w:t xml:space="preserve">where </w:t>
            </w:r>
            <w:r>
              <w:rPr>
                <w:i/>
                <w:iCs/>
              </w:rPr>
              <w:t xml:space="preserve">P </w:t>
            </w:r>
            <w:r>
              <w:t>corresponds to the number of bits with value 1 in the bitmap</w:t>
            </w:r>
            <w:r>
              <w:rPr>
                <w:i/>
                <w:iCs/>
              </w:rPr>
              <w:t xml:space="preserve"> [port-subsetIndicator]</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are as previously described in this Clause</w:t>
            </w:r>
            <w:r>
              <w:rPr>
                <w:strike/>
                <w:color w:val="C00000"/>
              </w:rPr>
              <w:t xml:space="preserve">, and the corresponding PDSCH EPRE to CSI-RS EPRE is as previously defined in this Clause if the sub-configuration does not indicate a power offset </w:t>
            </w:r>
            <w:r>
              <w:rPr>
                <w:rFonts w:eastAsia="微软雅黑"/>
                <w:i/>
                <w:iCs/>
                <w:strike/>
                <w:color w:val="C00000"/>
              </w:rPr>
              <w:t>[powerOffset]</w:t>
            </w:r>
            <w:r>
              <w:t>.</w:t>
            </w:r>
          </w:p>
          <w:p w14:paraId="442460E9" w14:textId="77777777" w:rsidR="005C7A97" w:rsidRDefault="00EA498A">
            <w:pPr>
              <w:pStyle w:val="B2"/>
              <w:rPr>
                <w:color w:val="000000"/>
              </w:rPr>
            </w:pPr>
            <w:r>
              <w:rPr>
                <w:color w:val="000000"/>
              </w:rPr>
              <w:t>-</w:t>
            </w:r>
            <w:r>
              <w:rPr>
                <w:color w:val="000000"/>
              </w:rPr>
              <w:tab/>
              <w:t>if a sub-configuration indicates</w:t>
            </w:r>
            <w:r>
              <w:rPr>
                <w:iCs/>
                <w:color w:val="000000"/>
              </w:rPr>
              <w:t xml:space="preserve"> a list of </w:t>
            </w:r>
            <w:r>
              <w:rPr>
                <w:color w:val="000000"/>
              </w:rPr>
              <w:t>NZP CSI-RS resources, provided by [</w:t>
            </w:r>
            <w:r>
              <w:rPr>
                <w:i/>
                <w:iCs/>
                <w:color w:val="000000"/>
              </w:rPr>
              <w:t>nzp-CSI-RS-resourceList</w:t>
            </w:r>
            <w:r>
              <w:rPr>
                <w:color w:val="000000"/>
              </w:rPr>
              <w:t>] and does not indicate a</w:t>
            </w:r>
            <w:r>
              <w:t xml:space="preserve"> power offset </w:t>
            </w:r>
            <w:r>
              <w:rPr>
                <w:rFonts w:eastAsia="微软雅黑"/>
                <w:i/>
                <w:iCs/>
              </w:rPr>
              <w:t>[powerOffset]</w:t>
            </w:r>
            <w:r>
              <w:rPr>
                <w:color w:val="000000"/>
              </w:rPr>
              <w:t>, for CQI calculation</w:t>
            </w:r>
            <w:r>
              <w:t xml:space="preserve"> for the sub-configuration the UE follows the procedure previously described in this Clause</w:t>
            </w:r>
            <w:r>
              <w:rPr>
                <w:color w:val="000000"/>
              </w:rPr>
              <w:t>.</w:t>
            </w:r>
          </w:p>
          <w:p w14:paraId="42A6B232" w14:textId="77777777" w:rsidR="005C7A97" w:rsidRDefault="00EA498A">
            <w:pPr>
              <w:pStyle w:val="B2"/>
              <w:rPr>
                <w:color w:val="000000"/>
              </w:rPr>
            </w:pPr>
            <w:r>
              <w:t>-</w:t>
            </w:r>
            <w:r>
              <w:tab/>
            </w:r>
            <w:r>
              <w:rPr>
                <w:color w:val="C00000"/>
              </w:rPr>
              <w:t xml:space="preserve">if a sub-configuration indicates a CSI-RS antenna port subset using the higher layer bitmap parameter </w:t>
            </w:r>
            <w:r>
              <w:rPr>
                <w:i/>
                <w:iCs/>
                <w:color w:val="C00000"/>
              </w:rPr>
              <w:t>port-subsetIndicator</w:t>
            </w:r>
            <w:r>
              <w:rPr>
                <w:color w:val="C00000"/>
              </w:rPr>
              <w:t xml:space="preserve"> and does not indicate a power offset </w:t>
            </w:r>
            <w:r>
              <w:rPr>
                <w:rFonts w:eastAsia="微软雅黑"/>
                <w:i/>
                <w:iCs/>
                <w:color w:val="C00000"/>
              </w:rPr>
              <w:t>powerOffset</w:t>
            </w:r>
            <w:r>
              <w:rPr>
                <w:rFonts w:eastAsia="微软雅黑"/>
                <w:color w:val="C00000"/>
              </w:rPr>
              <w:t>,</w:t>
            </w:r>
            <w:r>
              <w:rPr>
                <w:rFonts w:eastAsia="微软雅黑"/>
                <w:i/>
                <w:iCs/>
                <w:color w:val="C00000"/>
              </w:rPr>
              <w:t xml:space="preserve"> </w:t>
            </w:r>
            <w:r>
              <w:rPr>
                <w:color w:val="C00000"/>
              </w:rPr>
              <w:t>for CQI calculation for the sub-configuration, the UE shall assume the corresponding PDSCH signals transmitted on the antenna ports of a CSI-RS resource would have a ratio of EPRE to CSI-RS EPRE equal to</w:t>
            </w:r>
            <w:r>
              <w:rPr>
                <w:rFonts w:eastAsia="微软雅黑"/>
                <w:color w:val="C00000"/>
              </w:rPr>
              <w:t xml:space="preserve"> the summation of</w:t>
            </w:r>
            <w:r>
              <w:rPr>
                <w:i/>
                <w:iCs/>
                <w:color w:val="C00000"/>
              </w:rPr>
              <w:t xml:space="preserve"> </w:t>
            </w:r>
            <w:bookmarkStart w:id="3" w:name="_Hlk160525062"/>
            <w:r>
              <w:rPr>
                <w:i/>
                <w:iCs/>
                <w:color w:val="C00000"/>
              </w:rPr>
              <w:t>powerControlOffset</w:t>
            </w:r>
            <w:bookmarkEnd w:id="3"/>
            <w:r>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Pr>
                <w:color w:val="C00000"/>
              </w:rPr>
              <w:t xml:space="preserve">, where </w:t>
            </w:r>
            <w:r>
              <w:rPr>
                <w:i/>
                <w:iCs/>
                <w:color w:val="C00000"/>
              </w:rPr>
              <w:t>P</w:t>
            </w:r>
            <w:r>
              <w:rPr>
                <w:color w:val="C00000"/>
              </w:rPr>
              <w:t xml:space="preserve"> is the number of antenna ports corresponding to all bits with value of 1 in </w:t>
            </w:r>
            <w:r>
              <w:rPr>
                <w:rFonts w:hint="eastAsia"/>
                <w:color w:val="C00000"/>
              </w:rPr>
              <w:t>the</w:t>
            </w:r>
            <w:r>
              <w:rPr>
                <w:color w:val="C00000"/>
              </w:rPr>
              <w:t xml:space="preserve"> </w:t>
            </w:r>
            <w:r>
              <w:rPr>
                <w:i/>
                <w:iCs/>
                <w:color w:val="C00000"/>
              </w:rPr>
              <w:t>port-subsetIndicator</w:t>
            </w:r>
            <w:r>
              <w:rPr>
                <w:color w:val="C00000"/>
              </w:rPr>
              <w:t xml:space="preserve">, </w:t>
            </w:r>
            <w:r>
              <w:rPr>
                <w:i/>
                <w:iCs/>
                <w:color w:val="C00000"/>
              </w:rPr>
              <w:t>P</w:t>
            </w:r>
            <w:r>
              <w:rPr>
                <w:color w:val="C00000"/>
                <w:vertAlign w:val="subscript"/>
              </w:rPr>
              <w:t>0</w:t>
            </w:r>
            <w:r>
              <w:rPr>
                <w:color w:val="C00000"/>
              </w:rPr>
              <w:t xml:space="preserve"> is the number of ports configured by </w:t>
            </w:r>
            <w:r>
              <w:rPr>
                <w:i/>
                <w:iCs/>
                <w:color w:val="C00000"/>
              </w:rPr>
              <w:t>nrofPorts</w:t>
            </w:r>
            <w:r>
              <w:rPr>
                <w:color w:val="C00000"/>
              </w:rPr>
              <w:t xml:space="preserve"> </w:t>
            </w:r>
            <w:r>
              <w:rPr>
                <w:rFonts w:hint="eastAsia"/>
                <w:color w:val="C00000"/>
              </w:rPr>
              <w:t>of</w:t>
            </w:r>
            <w:r>
              <w:rPr>
                <w:color w:val="C00000"/>
              </w:rPr>
              <w:t xml:space="preserve"> the CSI-</w:t>
            </w:r>
            <w:r>
              <w:rPr>
                <w:rFonts w:hint="eastAsia"/>
                <w:color w:val="C00000"/>
              </w:rPr>
              <w:t>RS</w:t>
            </w:r>
            <w:r>
              <w:rPr>
                <w:color w:val="C00000"/>
              </w:rPr>
              <w:t xml:space="preserve"> r</w:t>
            </w:r>
            <w:r>
              <w:rPr>
                <w:rFonts w:hint="eastAsia"/>
                <w:color w:val="C00000"/>
              </w:rPr>
              <w:t>esource</w:t>
            </w:r>
            <w:r>
              <w:rPr>
                <w:color w:val="C00000"/>
              </w:rPr>
              <w:t>.</w:t>
            </w:r>
          </w:p>
          <w:p w14:paraId="100F030E" w14:textId="77777777" w:rsidR="005C7A97" w:rsidRDefault="00EA498A">
            <w:pPr>
              <w:pStyle w:val="B2"/>
              <w:rPr>
                <w:rFonts w:eastAsia="微软雅黑"/>
                <w:i/>
                <w:iCs/>
              </w:rPr>
            </w:pPr>
            <w:r>
              <w:t>-</w:t>
            </w:r>
            <w: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powerControlOffset</w:t>
            </w:r>
            <w:r>
              <w:rPr>
                <w:rFonts w:eastAsia="微软雅黑"/>
                <w:color w:val="FF0000"/>
              </w:rPr>
              <w:t xml:space="preserve"> </w:t>
            </w:r>
            <w: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14:paraId="2AF4F03A" w14:textId="77777777" w:rsidR="005C7A97" w:rsidRDefault="00EA498A">
            <w:r>
              <w:rPr>
                <w:rFonts w:eastAsia="宋体" w:hint="eastAsia"/>
                <w:color w:val="C00000"/>
              </w:rPr>
              <w:t>&lt;</w:t>
            </w:r>
            <w:r>
              <w:rPr>
                <w:rFonts w:eastAsia="宋体"/>
                <w:color w:val="C00000"/>
              </w:rPr>
              <w:t>omitted texts&gt;</w:t>
            </w:r>
          </w:p>
        </w:tc>
      </w:tr>
    </w:tbl>
    <w:p w14:paraId="41087075" w14:textId="77777777" w:rsidR="005C7A97" w:rsidRDefault="005C7A97"/>
    <w:p w14:paraId="7BCF1FAD" w14:textId="77777777" w:rsidR="005C7A97" w:rsidRDefault="00EA498A">
      <w:pPr>
        <w:outlineLvl w:val="1"/>
        <w:rPr>
          <w:b/>
          <w:lang w:eastAsia="en-US"/>
        </w:rPr>
      </w:pPr>
      <w:r>
        <w:rPr>
          <w:rFonts w:hint="eastAsia"/>
          <w:b/>
          <w:lang w:eastAsia="en-US"/>
        </w:rPr>
        <w:t>T</w:t>
      </w:r>
      <w:r>
        <w:rPr>
          <w:b/>
          <w:lang w:eastAsia="en-US"/>
        </w:rPr>
        <w:t>P from [5] (Huawei/HiSilicon)</w:t>
      </w:r>
    </w:p>
    <w:tbl>
      <w:tblPr>
        <w:tblStyle w:val="affff1"/>
        <w:tblW w:w="0" w:type="auto"/>
        <w:tblLook w:val="04A0" w:firstRow="1" w:lastRow="0" w:firstColumn="1" w:lastColumn="0" w:noHBand="0" w:noVBand="1"/>
      </w:tblPr>
      <w:tblGrid>
        <w:gridCol w:w="9629"/>
      </w:tblGrid>
      <w:tr w:rsidR="005C7A97" w14:paraId="31DC9090" w14:textId="77777777">
        <w:tc>
          <w:tcPr>
            <w:tcW w:w="9629" w:type="dxa"/>
          </w:tcPr>
          <w:p w14:paraId="53FF349F" w14:textId="77777777" w:rsidR="005C7A97" w:rsidRDefault="00EA498A">
            <w:pPr>
              <w:autoSpaceDE w:val="0"/>
              <w:autoSpaceDN w:val="0"/>
              <w:adjustRightInd w:val="0"/>
              <w:snapToGrid w:val="0"/>
              <w:jc w:val="center"/>
              <w:rPr>
                <w:rFonts w:eastAsia="宋体"/>
                <w:color w:val="FF0000"/>
                <w:sz w:val="22"/>
              </w:rPr>
            </w:pPr>
            <w:r>
              <w:rPr>
                <w:rFonts w:eastAsia="宋体"/>
                <w:color w:val="FF0000"/>
                <w:sz w:val="22"/>
              </w:rPr>
              <w:t>---------------------------- Start of Text Proposal for TS 38.214 -----------------------------</w:t>
            </w:r>
          </w:p>
          <w:p w14:paraId="00928C83" w14:textId="77777777" w:rsidR="005C7A97" w:rsidRPr="00042BF4" w:rsidRDefault="00EA498A">
            <w:pPr>
              <w:jc w:val="center"/>
              <w:rPr>
                <w:color w:val="FF0000"/>
                <w:sz w:val="24"/>
                <w:szCs w:val="24"/>
              </w:rPr>
            </w:pPr>
            <w:r w:rsidRPr="00042BF4">
              <w:rPr>
                <w:rFonts w:eastAsia="MS Mincho"/>
                <w:color w:val="FF0000"/>
                <w:sz w:val="22"/>
              </w:rPr>
              <w:lastRenderedPageBreak/>
              <w:t>&lt; Unchanged parts are omitted &gt;</w:t>
            </w:r>
          </w:p>
          <w:p w14:paraId="11251B6A" w14:textId="77777777" w:rsidR="005C7A97" w:rsidRDefault="00EA498A">
            <w:pPr>
              <w:rPr>
                <w:rFonts w:ascii="Arial" w:hAnsi="Arial"/>
                <w:sz w:val="28"/>
                <w:szCs w:val="28"/>
              </w:rPr>
            </w:pPr>
            <w:r>
              <w:rPr>
                <w:rFonts w:ascii="Arial" w:hAnsi="Arial"/>
                <w:sz w:val="28"/>
                <w:szCs w:val="28"/>
              </w:rPr>
              <w:t>5.2.2.5.1</w:t>
            </w:r>
            <w:r>
              <w:rPr>
                <w:rFonts w:ascii="Arial" w:hAnsi="Arial"/>
                <w:sz w:val="28"/>
                <w:szCs w:val="28"/>
              </w:rPr>
              <w:tab/>
              <w:t>UE assumptions for CQI/PMI/RI calculation</w:t>
            </w:r>
          </w:p>
          <w:p w14:paraId="57997039" w14:textId="77777777" w:rsidR="005C7A97" w:rsidRDefault="00EA498A">
            <w:pPr>
              <w:rPr>
                <w:rFonts w:cs="Batang"/>
              </w:rPr>
            </w:pPr>
            <w:r>
              <w:rPr>
                <w:rFonts w:cs="Batang"/>
              </w:rPr>
              <w:t>If configured to report CQI index, in the CSI reference resource, or in each of the slot(s) associated with a CQI in the predicted CSI, as defined in Clause 5.2.1.4.2, the UE shall assume the following for the purpose of deriving the CQI index, and if also configured, for deriving PMI and RI:</w:t>
            </w:r>
          </w:p>
          <w:p w14:paraId="34732153" w14:textId="77777777" w:rsidR="005C7A97" w:rsidRDefault="00EA498A">
            <w:pPr>
              <w:autoSpaceDE w:val="0"/>
              <w:autoSpaceDN w:val="0"/>
              <w:adjustRightInd w:val="0"/>
              <w:snapToGrid w:val="0"/>
              <w:spacing w:after="120"/>
              <w:jc w:val="center"/>
              <w:rPr>
                <w:rFonts w:eastAsia="宋体"/>
                <w:color w:val="FF0000"/>
                <w:sz w:val="22"/>
              </w:rPr>
            </w:pPr>
            <w:r>
              <w:rPr>
                <w:rFonts w:eastAsia="宋体"/>
                <w:color w:val="FF0000"/>
                <w:sz w:val="22"/>
              </w:rPr>
              <w:t>&lt; Unchanged parts are omitted &gt;</w:t>
            </w:r>
          </w:p>
          <w:p w14:paraId="3FD22A72" w14:textId="77777777" w:rsidR="005C7A97" w:rsidRDefault="00EA498A">
            <w:pPr>
              <w:pStyle w:val="B1"/>
              <w:rPr>
                <w:color w:val="000000"/>
              </w:rPr>
            </w:pPr>
            <w:r>
              <w:t>-</w:t>
            </w:r>
            <w:r>
              <w:tab/>
              <w:t xml:space="preserve">For a UE configured with a </w:t>
            </w:r>
            <w:r>
              <w:rPr>
                <w:i/>
              </w:rPr>
              <w:t>CSI-ReportConfig</w:t>
            </w:r>
            <w:r>
              <w:t xml:space="preserve"> that contains a list of sub-configurations </w:t>
            </w:r>
            <w:r>
              <w:rPr>
                <w:color w:val="000000"/>
              </w:rPr>
              <w:t>provided by  [</w:t>
            </w:r>
            <w:r>
              <w:rPr>
                <w:i/>
                <w:iCs/>
                <w:color w:val="000000"/>
              </w:rPr>
              <w:t>csi-ReportSubConfigList</w:t>
            </w:r>
            <w:r>
              <w:rPr>
                <w:color w:val="000000"/>
              </w:rPr>
              <w:t>],</w:t>
            </w:r>
          </w:p>
          <w:p w14:paraId="7CB32137" w14:textId="77777777" w:rsidR="005C7A97" w:rsidRDefault="00EA498A">
            <w:pPr>
              <w:pStyle w:val="B2"/>
            </w:pPr>
            <w:r>
              <w:t>-</w:t>
            </w:r>
            <w:r>
              <w:tab/>
              <w:t>if a sub-configuration indicates a CSI-RS antenna port subset using the higher layer bitmap parameter [</w:t>
            </w:r>
            <w:r>
              <w:rPr>
                <w:i/>
                <w:iCs/>
              </w:rPr>
              <w:t>port-subsetIndicator</w:t>
            </w:r>
            <w:r>
              <w:t>], as described in clause 5.2.1.4.2, for CQI calculation, antenna ports corresponding to all bits with value of 1 in [</w:t>
            </w:r>
            <w:r>
              <w:rPr>
                <w:i/>
                <w:iCs/>
              </w:rPr>
              <w:t>port-subsetIndicator</w:t>
            </w:r>
            <w:r>
              <w:t>] are mapped to consecutive antenna ports starting at CSI-RS antenna port 3000 in increasing order of the bit position in [</w:t>
            </w:r>
            <w:r>
              <w:rPr>
                <w:i/>
                <w:iCs/>
              </w:rPr>
              <w:t>port-subsetIndicator</w:t>
            </w:r>
            <w:r>
              <w:t>]. The UE should assume that PDSCH signals on antenna ports in the set [1000,…, 1000+ν-1] for ν layers would result in signals equivalent to corresponding symbols transmitted on antenna ports [3000, …, 3000+P-1]</w:t>
            </w:r>
            <w:r>
              <w:rPr>
                <w:i/>
                <w:iCs/>
                <w:vertAlign w:val="superscript"/>
              </w:rPr>
              <w:t xml:space="preserve"> T</w:t>
            </w:r>
            <w:r>
              <w:t>, as given by</w:t>
            </w:r>
          </w:p>
          <w:p w14:paraId="7F0E37F5" w14:textId="77777777" w:rsidR="005C7A97" w:rsidRDefault="003D4070">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5F85B14E" w14:textId="77777777" w:rsidR="005C7A97" w:rsidRDefault="00EA498A">
            <w:pPr>
              <w:pStyle w:val="B2"/>
              <w:ind w:firstLine="0"/>
            </w:pPr>
            <w:r>
              <w:t xml:space="preserve">where </w:t>
            </w:r>
            <w:r>
              <w:rPr>
                <w:i/>
                <w:iCs/>
              </w:rPr>
              <w:t xml:space="preserve">P </w:t>
            </w:r>
            <w:r>
              <w:t>corresponds to the number of bits with value 1 in the bitmap</w:t>
            </w:r>
            <w:r>
              <w:rPr>
                <w:i/>
                <w:iCs/>
              </w:rPr>
              <w:t xml:space="preserve"> [port-subsetIndicator]</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are as previously described in this Clause</w:t>
            </w:r>
            <w:r>
              <w:rPr>
                <w:strike/>
                <w:color w:val="FF0000"/>
              </w:rPr>
              <w:t xml:space="preserve">, and the corresponding PDSCH EPRE to CSI-RS EPRE is as previously defined in this Clause if the sub-configuration does not indicate a power offset </w:t>
            </w:r>
            <w:r>
              <w:rPr>
                <w:rFonts w:eastAsia="微软雅黑"/>
                <w:i/>
                <w:iCs/>
                <w:strike/>
                <w:color w:val="FF0000"/>
              </w:rPr>
              <w:t>[powerOffset]</w:t>
            </w:r>
            <w:r>
              <w:t>.</w:t>
            </w:r>
          </w:p>
          <w:p w14:paraId="26EFEE8E" w14:textId="77777777" w:rsidR="005C7A97" w:rsidRDefault="00EA498A">
            <w:pPr>
              <w:pStyle w:val="B2"/>
              <w:rPr>
                <w:color w:val="000000"/>
              </w:rPr>
            </w:pPr>
            <w:r>
              <w:rPr>
                <w:color w:val="000000"/>
              </w:rPr>
              <w:t>-</w:t>
            </w:r>
            <w:r>
              <w:rPr>
                <w:color w:val="000000"/>
              </w:rPr>
              <w:tab/>
              <w:t>if a sub-configuration indicates</w:t>
            </w:r>
            <w:r>
              <w:rPr>
                <w:iCs/>
                <w:color w:val="000000"/>
              </w:rPr>
              <w:t xml:space="preserve"> a list of </w:t>
            </w:r>
            <w:r>
              <w:rPr>
                <w:color w:val="000000"/>
              </w:rPr>
              <w:t>NZP CSI-RS resources, provided by [</w:t>
            </w:r>
            <w:r>
              <w:rPr>
                <w:i/>
                <w:iCs/>
                <w:color w:val="000000"/>
              </w:rPr>
              <w:t>nzp-CSI-RS-resourceList</w:t>
            </w:r>
            <w:r>
              <w:rPr>
                <w:color w:val="000000"/>
              </w:rPr>
              <w:t>] and does not indicate a</w:t>
            </w:r>
            <w:r>
              <w:t xml:space="preserve"> power offset </w:t>
            </w:r>
            <w:r>
              <w:rPr>
                <w:rFonts w:eastAsia="微软雅黑"/>
                <w:i/>
                <w:iCs/>
              </w:rPr>
              <w:t>[powerOffset]</w:t>
            </w:r>
            <w:r>
              <w:rPr>
                <w:color w:val="000000"/>
              </w:rPr>
              <w:t xml:space="preserve">, for CQI calculation for the sub-configuration the UE follows the procedure previously described in this Clause. </w:t>
            </w:r>
          </w:p>
          <w:p w14:paraId="5D9F82AB" w14:textId="77777777" w:rsidR="005C7A97" w:rsidRDefault="00EA498A">
            <w:pPr>
              <w:pStyle w:val="B2"/>
            </w:pPr>
            <w:r>
              <w:t>-</w:t>
            </w:r>
            <w: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 xml:space="preserve">powerControlOffset </w:t>
            </w:r>
            <w: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14:paraId="4B64C618" w14:textId="77777777" w:rsidR="005C7A97" w:rsidRDefault="00EA498A">
            <w:pPr>
              <w:pStyle w:val="0Maintext"/>
              <w:adjustRightInd w:val="0"/>
              <w:snapToGrid w:val="0"/>
              <w:spacing w:beforeLines="100" w:before="240" w:line="240" w:lineRule="auto"/>
              <w:ind w:firstLine="0"/>
              <w:jc w:val="center"/>
              <w:rPr>
                <w:rFonts w:eastAsiaTheme="minorEastAsia"/>
                <w:sz w:val="22"/>
                <w:lang w:eastAsia="zh-CN"/>
              </w:rPr>
            </w:pPr>
            <w:r>
              <w:rPr>
                <w:rFonts w:eastAsia="宋体" w:cs="Times New Roman"/>
                <w:color w:val="FF0000"/>
                <w:sz w:val="22"/>
              </w:rPr>
              <w:t>&lt; Unchanged parts are omitted &gt;</w:t>
            </w:r>
          </w:p>
          <w:p w14:paraId="741056BD" w14:textId="77777777" w:rsidR="005C7A97" w:rsidRDefault="00EA498A">
            <w:pPr>
              <w:autoSpaceDE w:val="0"/>
              <w:autoSpaceDN w:val="0"/>
              <w:adjustRightInd w:val="0"/>
              <w:snapToGrid w:val="0"/>
              <w:spacing w:after="120"/>
              <w:jc w:val="center"/>
              <w:rPr>
                <w:rFonts w:eastAsia="宋体"/>
                <w:color w:val="FF0000"/>
                <w:sz w:val="22"/>
              </w:rPr>
            </w:pPr>
            <w:r>
              <w:rPr>
                <w:rFonts w:eastAsia="宋体"/>
                <w:color w:val="FF0000"/>
                <w:sz w:val="22"/>
              </w:rPr>
              <w:t>--------------------------------------- End of Text Proposal ----------------------------------</w:t>
            </w:r>
          </w:p>
        </w:tc>
      </w:tr>
    </w:tbl>
    <w:p w14:paraId="75A2C08C" w14:textId="77777777" w:rsidR="005C7A97" w:rsidRDefault="005C7A97"/>
    <w:p w14:paraId="7FC1ABB3" w14:textId="77777777" w:rsidR="005C7A97" w:rsidRDefault="00EA498A">
      <w:pPr>
        <w:outlineLvl w:val="1"/>
      </w:pPr>
      <w:r>
        <w:rPr>
          <w:rFonts w:hint="eastAsia"/>
        </w:rPr>
        <w:t>T</w:t>
      </w:r>
      <w:r>
        <w:t>P from [6] (Ericsson)</w:t>
      </w:r>
    </w:p>
    <w:tbl>
      <w:tblPr>
        <w:tblStyle w:val="affff1"/>
        <w:tblW w:w="0" w:type="auto"/>
        <w:tblLook w:val="04A0" w:firstRow="1" w:lastRow="0" w:firstColumn="1" w:lastColumn="0" w:noHBand="0" w:noVBand="1"/>
      </w:tblPr>
      <w:tblGrid>
        <w:gridCol w:w="9629"/>
      </w:tblGrid>
      <w:tr w:rsidR="005C7A97" w14:paraId="50641FD6" w14:textId="77777777">
        <w:tc>
          <w:tcPr>
            <w:tcW w:w="9629" w:type="dxa"/>
          </w:tcPr>
          <w:p w14:paraId="43E4E125" w14:textId="77777777" w:rsidR="005C7A97" w:rsidRDefault="00EA498A">
            <w:pPr>
              <w:jc w:val="center"/>
              <w:rPr>
                <w:color w:val="FF0000"/>
              </w:rPr>
            </w:pPr>
            <w:r>
              <w:rPr>
                <w:color w:val="FF0000"/>
              </w:rPr>
              <w:t>&lt;begin TP1 for 38.214, subclause 5.2.2.5.1&gt;</w:t>
            </w:r>
          </w:p>
          <w:p w14:paraId="3E9E30AB" w14:textId="77777777" w:rsidR="005C7A97" w:rsidRDefault="00EA498A">
            <w:pPr>
              <w:keepNext/>
              <w:keepLines/>
              <w:spacing w:before="120" w:line="240" w:lineRule="auto"/>
              <w:outlineLvl w:val="4"/>
              <w:rPr>
                <w:rFonts w:ascii="Arial" w:eastAsia="宋体" w:hAnsi="Arial"/>
                <w:color w:val="000000"/>
              </w:rPr>
            </w:pPr>
            <w:bookmarkStart w:id="4" w:name="_Toc169793768"/>
            <w:r w:rsidRPr="00042BF4">
              <w:rPr>
                <w:rFonts w:ascii="Arial" w:eastAsia="宋体" w:hAnsi="Arial"/>
              </w:rPr>
              <w:t>5.2.2.5.1</w:t>
            </w:r>
            <w:r w:rsidRPr="00042BF4">
              <w:rPr>
                <w:rFonts w:ascii="Arial" w:eastAsia="宋体" w:hAnsi="Arial"/>
              </w:rPr>
              <w:tab/>
              <w:t>UE assumptions for CQI/PMI/RI calculation</w:t>
            </w:r>
            <w:bookmarkEnd w:id="4"/>
          </w:p>
          <w:p w14:paraId="55BDDCFF" w14:textId="77777777" w:rsidR="005C7A97" w:rsidRDefault="00EA498A">
            <w:pPr>
              <w:spacing w:line="240" w:lineRule="auto"/>
              <w:rPr>
                <w:rFonts w:eastAsia="宋体"/>
                <w:color w:val="000000"/>
              </w:rPr>
            </w:pPr>
            <w:r>
              <w:rPr>
                <w:rFonts w:eastAsia="宋体"/>
                <w:color w:val="000000"/>
              </w:rPr>
              <w:t xml:space="preserve">If configured to report CQI index, in the CSI reference resource, or </w:t>
            </w:r>
            <w:r>
              <w:rPr>
                <w:rFonts w:eastAsia="微软雅黑"/>
                <w:iCs/>
              </w:rPr>
              <w:t xml:space="preserve">in </w:t>
            </w:r>
            <w:r>
              <w:rPr>
                <w:rFonts w:eastAsia="宋体"/>
              </w:rPr>
              <w:t xml:space="preserve">each of the slot(s) associated with a CQI in the predicted CSI, as defined in Clause 5.2.1.4.2, </w:t>
            </w:r>
            <w:r>
              <w:rPr>
                <w:rFonts w:eastAsia="宋体"/>
                <w:color w:val="000000"/>
              </w:rPr>
              <w:t>the UE shall assume the following for the purpose of deriving the CQI index, and if also configured, for deriving PMI and RI:</w:t>
            </w:r>
          </w:p>
          <w:p w14:paraId="6FD40A69" w14:textId="77777777" w:rsidR="005C7A97" w:rsidRDefault="00EA498A">
            <w:pPr>
              <w:spacing w:line="240" w:lineRule="auto"/>
              <w:ind w:left="568" w:hanging="284"/>
              <w:rPr>
                <w:rFonts w:eastAsia="宋体"/>
                <w:color w:val="000000"/>
              </w:rPr>
            </w:pPr>
            <w:r>
              <w:rPr>
                <w:rFonts w:eastAsia="宋体"/>
                <w:color w:val="000000"/>
              </w:rPr>
              <w:t>-</w:t>
            </w:r>
            <w:r>
              <w:rPr>
                <w:rFonts w:eastAsia="宋体"/>
                <w:color w:val="000000"/>
              </w:rPr>
              <w:tab/>
              <w:t>The first 2 OFDM symbols are occupied by control signaling.</w:t>
            </w:r>
          </w:p>
          <w:p w14:paraId="34A04DF0" w14:textId="77777777" w:rsidR="005C7A97" w:rsidRDefault="00EA498A">
            <w:pPr>
              <w:spacing w:line="240" w:lineRule="auto"/>
              <w:ind w:left="568" w:hanging="284"/>
              <w:rPr>
                <w:rFonts w:eastAsia="宋体"/>
                <w:color w:val="000000"/>
              </w:rPr>
            </w:pPr>
            <w:r>
              <w:rPr>
                <w:rFonts w:eastAsia="宋体"/>
                <w:color w:val="000000"/>
              </w:rPr>
              <w:t>-</w:t>
            </w:r>
            <w:r>
              <w:rPr>
                <w:rFonts w:eastAsia="宋体"/>
                <w:color w:val="000000"/>
              </w:rPr>
              <w:tab/>
              <w:t>The number of PDSCH and DM-RS symbols is equal to 12.</w:t>
            </w:r>
          </w:p>
          <w:p w14:paraId="04DACA55" w14:textId="77777777" w:rsidR="005C7A97" w:rsidRDefault="00EA498A">
            <w:pPr>
              <w:spacing w:line="240" w:lineRule="auto"/>
              <w:ind w:left="568" w:hanging="284"/>
              <w:rPr>
                <w:rFonts w:eastAsia="宋体"/>
                <w:color w:val="000000"/>
              </w:rPr>
            </w:pPr>
            <w:r>
              <w:rPr>
                <w:rFonts w:eastAsia="宋体"/>
                <w:color w:val="000000"/>
              </w:rPr>
              <w:t>-</w:t>
            </w:r>
            <w:r>
              <w:rPr>
                <w:rFonts w:eastAsia="宋体"/>
                <w:color w:val="000000"/>
              </w:rPr>
              <w:tab/>
              <w:t>The same bandwidth part subcarrier spacing configured as for the PDSCH reception</w:t>
            </w:r>
          </w:p>
          <w:p w14:paraId="5890BFB2" w14:textId="77777777" w:rsidR="005C7A97" w:rsidRDefault="00EA498A">
            <w:pPr>
              <w:spacing w:line="240" w:lineRule="auto"/>
              <w:ind w:left="568" w:hanging="284"/>
              <w:rPr>
                <w:rFonts w:eastAsia="Malgun Gothic"/>
                <w:color w:val="000000"/>
              </w:rPr>
            </w:pPr>
            <w:r>
              <w:rPr>
                <w:rFonts w:eastAsia="宋体"/>
                <w:color w:val="000000"/>
              </w:rPr>
              <w:lastRenderedPageBreak/>
              <w:t>-</w:t>
            </w:r>
            <w:r>
              <w:rPr>
                <w:rFonts w:eastAsia="宋体"/>
                <w:color w:val="000000"/>
              </w:rPr>
              <w:tab/>
              <w:t>The bandwidth as configured for the corresponding CQI report.</w:t>
            </w:r>
          </w:p>
          <w:p w14:paraId="4416FEEF" w14:textId="77777777" w:rsidR="005C7A97" w:rsidRDefault="00EA498A">
            <w:pPr>
              <w:spacing w:line="240" w:lineRule="auto"/>
              <w:ind w:left="851" w:hanging="284"/>
              <w:rPr>
                <w:rFonts w:eastAsia="宋体"/>
              </w:rPr>
            </w:pPr>
            <w:r>
              <w:rPr>
                <w:rFonts w:eastAsia="宋体"/>
              </w:rPr>
              <w:t>-</w:t>
            </w:r>
            <w:r>
              <w:rPr>
                <w:rFonts w:eastAsia="宋体"/>
              </w:rPr>
              <w:tab/>
            </w:r>
            <w:r w:rsidRPr="00042BF4">
              <w:rPr>
                <w:rFonts w:eastAsia="宋体"/>
              </w:rPr>
              <w:t>The IAB-MT shall only assume the frequency resources as indicated by the DL TX power adjustment MAC CE, if indicated for the slot of the CSI reference resource by DL Tx Power Adjustment MAC CE as described in [10, TS 38.321].</w:t>
            </w:r>
          </w:p>
          <w:p w14:paraId="413EE68C" w14:textId="77777777" w:rsidR="005C7A97" w:rsidRDefault="00EA498A">
            <w:pPr>
              <w:spacing w:line="240" w:lineRule="auto"/>
              <w:ind w:left="568" w:hanging="284"/>
              <w:rPr>
                <w:rFonts w:eastAsia="宋体"/>
                <w:color w:val="000000"/>
              </w:rPr>
            </w:pPr>
            <w:r>
              <w:rPr>
                <w:rFonts w:eastAsia="宋体"/>
                <w:color w:val="000000"/>
              </w:rPr>
              <w:t>-</w:t>
            </w:r>
            <w:r>
              <w:rPr>
                <w:rFonts w:eastAsia="宋体"/>
                <w:color w:val="000000"/>
              </w:rPr>
              <w:tab/>
              <w:t xml:space="preserve">The reference resource uses the CP length and subcarrier spacing configured for PDSCH reception </w:t>
            </w:r>
          </w:p>
          <w:p w14:paraId="251F6CE4" w14:textId="77777777" w:rsidR="005C7A97" w:rsidRDefault="00EA498A">
            <w:pPr>
              <w:spacing w:line="240" w:lineRule="auto"/>
              <w:ind w:left="568" w:hanging="284"/>
              <w:rPr>
                <w:rFonts w:eastAsia="宋体"/>
                <w:color w:val="000000"/>
              </w:rPr>
            </w:pPr>
            <w:r>
              <w:rPr>
                <w:rFonts w:eastAsia="宋体"/>
                <w:color w:val="000000"/>
              </w:rPr>
              <w:t>-</w:t>
            </w:r>
            <w:r>
              <w:rPr>
                <w:rFonts w:eastAsia="宋体"/>
                <w:color w:val="000000"/>
              </w:rPr>
              <w:tab/>
              <w:t>No resource elements used by primary or secondary synchronization signals or PBCH.</w:t>
            </w:r>
          </w:p>
          <w:p w14:paraId="41A12D1C" w14:textId="77777777" w:rsidR="005C7A97" w:rsidRDefault="00EA498A">
            <w:pPr>
              <w:spacing w:line="240" w:lineRule="auto"/>
              <w:ind w:left="568" w:hanging="284"/>
              <w:rPr>
                <w:rFonts w:eastAsia="宋体"/>
                <w:color w:val="000000"/>
              </w:rPr>
            </w:pPr>
            <w:r>
              <w:rPr>
                <w:rFonts w:eastAsia="宋体"/>
                <w:color w:val="000000"/>
              </w:rPr>
              <w:t>-</w:t>
            </w:r>
            <w:r>
              <w:rPr>
                <w:rFonts w:eastAsia="宋体"/>
                <w:color w:val="000000"/>
              </w:rPr>
              <w:tab/>
              <w:t>Redundancy Version 0.</w:t>
            </w:r>
          </w:p>
          <w:p w14:paraId="5F4C738C" w14:textId="77777777" w:rsidR="005C7A97" w:rsidRDefault="00EA498A">
            <w:pPr>
              <w:spacing w:line="240" w:lineRule="auto"/>
              <w:ind w:left="568" w:hanging="284"/>
              <w:rPr>
                <w:rFonts w:eastAsia="宋体"/>
                <w:color w:val="000000"/>
              </w:rPr>
            </w:pPr>
            <w:r>
              <w:rPr>
                <w:rFonts w:eastAsia="宋体"/>
                <w:color w:val="000000"/>
              </w:rPr>
              <w:t>-</w:t>
            </w:r>
            <w:r>
              <w:rPr>
                <w:rFonts w:eastAsia="宋体"/>
                <w:color w:val="000000"/>
              </w:rPr>
              <w:tab/>
              <w:t>The ratio of PDSCH EPRE to CSI-RS EPRE is as given in Clause 5.2.2.3.1.</w:t>
            </w:r>
          </w:p>
          <w:p w14:paraId="12F99CAD" w14:textId="77777777" w:rsidR="005C7A97" w:rsidRDefault="00EA498A">
            <w:pPr>
              <w:spacing w:line="240" w:lineRule="auto"/>
              <w:ind w:left="851" w:hanging="284"/>
              <w:rPr>
                <w:rFonts w:eastAsia="宋体"/>
              </w:rPr>
            </w:pPr>
            <w:r>
              <w:rPr>
                <w:rFonts w:eastAsia="宋体"/>
              </w:rPr>
              <w:t>-</w:t>
            </w:r>
            <w:r>
              <w:rPr>
                <w:rFonts w:eastAsia="宋体"/>
              </w:rPr>
              <w:tab/>
            </w:r>
            <w:r w:rsidRPr="00042BF4">
              <w:rPr>
                <w:rFonts w:eastAsia="宋体"/>
              </w:rPr>
              <w:t>In addition, the IAB-MT shall apply the provided DL TX power adjustment, if indicated for the slot of the CSI reference resource by DL Tx Power Adjustment MAC CE as described in [10, TS 38.321].</w:t>
            </w:r>
          </w:p>
          <w:p w14:paraId="0CFC5205" w14:textId="77777777" w:rsidR="005C7A97" w:rsidRDefault="00EA498A">
            <w:pPr>
              <w:spacing w:line="240" w:lineRule="auto"/>
              <w:ind w:left="568" w:hanging="284"/>
              <w:rPr>
                <w:rFonts w:eastAsia="宋体"/>
                <w:color w:val="000000"/>
              </w:rPr>
            </w:pPr>
            <w:r>
              <w:rPr>
                <w:rFonts w:eastAsia="宋体"/>
                <w:color w:val="000000"/>
              </w:rPr>
              <w:t>-</w:t>
            </w:r>
            <w:r>
              <w:rPr>
                <w:rFonts w:eastAsia="宋体"/>
                <w:color w:val="000000"/>
              </w:rPr>
              <w:tab/>
              <w:t>Assume no REs allocated for NZP CSI-RS and ZP CSI-RS.</w:t>
            </w:r>
          </w:p>
          <w:p w14:paraId="46E353FF" w14:textId="77777777" w:rsidR="005C7A97" w:rsidRDefault="00EA498A">
            <w:pPr>
              <w:spacing w:line="240" w:lineRule="auto"/>
              <w:ind w:left="568" w:hanging="284"/>
              <w:rPr>
                <w:rFonts w:eastAsia="宋体"/>
                <w:color w:val="000000"/>
              </w:rPr>
            </w:pPr>
            <w:r>
              <w:rPr>
                <w:rFonts w:eastAsia="宋体"/>
                <w:color w:val="000000"/>
              </w:rPr>
              <w:t>-</w:t>
            </w:r>
            <w:r>
              <w:rPr>
                <w:rFonts w:eastAsia="宋体"/>
                <w:color w:val="000000"/>
              </w:rPr>
              <w:tab/>
              <w:t>Assume the same number of front-loaded DM-RS symbols as the maximum front-loaded symbols configured by the higher layer parameter</w:t>
            </w:r>
            <w:r>
              <w:rPr>
                <w:rFonts w:eastAsia="宋体"/>
                <w:i/>
                <w:color w:val="000000"/>
              </w:rPr>
              <w:t xml:space="preserve"> </w:t>
            </w:r>
            <w:r w:rsidRPr="00042BF4">
              <w:rPr>
                <w:rFonts w:eastAsia="宋体"/>
                <w:i/>
              </w:rPr>
              <w:t>maxLength</w:t>
            </w:r>
            <w:r>
              <w:rPr>
                <w:rFonts w:eastAsia="宋体"/>
                <w:i/>
              </w:rPr>
              <w:t xml:space="preserve"> </w:t>
            </w:r>
            <w:r>
              <w:rPr>
                <w:rFonts w:eastAsia="宋体"/>
              </w:rPr>
              <w:t>in</w:t>
            </w:r>
            <w:r>
              <w:rPr>
                <w:rFonts w:eastAsia="宋体"/>
                <w:i/>
              </w:rPr>
              <w:t xml:space="preserve"> </w:t>
            </w:r>
            <w:r w:rsidRPr="00042BF4">
              <w:rPr>
                <w:rFonts w:eastAsia="宋体"/>
                <w:i/>
              </w:rPr>
              <w:t>DMRS-DownlinkConfig</w:t>
            </w:r>
            <w:r>
              <w:rPr>
                <w:rFonts w:eastAsia="宋体"/>
                <w:i/>
                <w:color w:val="000000"/>
              </w:rPr>
              <w:t>.</w:t>
            </w:r>
            <w:r>
              <w:rPr>
                <w:rFonts w:eastAsia="宋体"/>
                <w:color w:val="000000"/>
              </w:rPr>
              <w:t xml:space="preserve"> </w:t>
            </w:r>
          </w:p>
          <w:p w14:paraId="1A1A30BC" w14:textId="77777777" w:rsidR="005C7A97" w:rsidRDefault="00EA498A">
            <w:pPr>
              <w:spacing w:line="240" w:lineRule="auto"/>
              <w:ind w:left="568" w:hanging="284"/>
              <w:rPr>
                <w:rFonts w:eastAsia="宋体"/>
                <w:color w:val="000000"/>
              </w:rPr>
            </w:pPr>
            <w:r>
              <w:rPr>
                <w:rFonts w:eastAsia="宋体"/>
                <w:color w:val="000000"/>
              </w:rPr>
              <w:t>-</w:t>
            </w:r>
            <w:r>
              <w:rPr>
                <w:rFonts w:eastAsia="宋体"/>
                <w:color w:val="000000"/>
              </w:rPr>
              <w:tab/>
              <w:t xml:space="preserve">Assume the same number of additional DM-RS symbols as the additional symbols configured by the higher layer parameter </w:t>
            </w:r>
            <w:r w:rsidRPr="00042BF4">
              <w:rPr>
                <w:rFonts w:eastAsia="宋体"/>
                <w:i/>
                <w:color w:val="000000"/>
              </w:rPr>
              <w:t>dmrs-AdditionalPosition</w:t>
            </w:r>
            <w:r>
              <w:rPr>
                <w:rFonts w:eastAsia="宋体"/>
                <w:color w:val="000000"/>
              </w:rPr>
              <w:t>.</w:t>
            </w:r>
          </w:p>
          <w:p w14:paraId="79CC60A1" w14:textId="77777777" w:rsidR="005C7A97" w:rsidRDefault="00EA498A">
            <w:pPr>
              <w:spacing w:line="240" w:lineRule="auto"/>
              <w:ind w:left="568" w:hanging="284"/>
              <w:rPr>
                <w:rFonts w:eastAsia="宋体"/>
                <w:color w:val="000000"/>
              </w:rPr>
            </w:pPr>
            <w:r>
              <w:rPr>
                <w:rFonts w:eastAsia="宋体"/>
                <w:color w:val="000000"/>
              </w:rPr>
              <w:t>-</w:t>
            </w:r>
            <w:r>
              <w:rPr>
                <w:rFonts w:eastAsia="宋体"/>
                <w:color w:val="000000"/>
              </w:rPr>
              <w:tab/>
              <w:t>Assume the PDSCH symbols are not containing DM-RS.</w:t>
            </w:r>
          </w:p>
          <w:p w14:paraId="30A3F381" w14:textId="77777777" w:rsidR="005C7A97" w:rsidRDefault="00EA498A">
            <w:pPr>
              <w:spacing w:line="240" w:lineRule="auto"/>
              <w:ind w:left="568" w:hanging="284"/>
              <w:rPr>
                <w:rFonts w:eastAsia="宋体"/>
                <w:color w:val="000000"/>
              </w:rPr>
            </w:pPr>
            <w:r>
              <w:rPr>
                <w:rFonts w:eastAsia="宋体"/>
                <w:color w:val="000000"/>
              </w:rPr>
              <w:t>-</w:t>
            </w:r>
            <w:r>
              <w:rPr>
                <w:rFonts w:eastAsia="宋体"/>
                <w:color w:val="000000"/>
              </w:rPr>
              <w:tab/>
              <w:t>Assume PRB bundling size of 2 PRBs.</w:t>
            </w:r>
          </w:p>
          <w:p w14:paraId="1CC16ED0" w14:textId="77777777" w:rsidR="005C7A97" w:rsidRDefault="00EA498A">
            <w:pPr>
              <w:spacing w:line="240" w:lineRule="auto"/>
              <w:ind w:left="568" w:hanging="284"/>
              <w:rPr>
                <w:rFonts w:eastAsia="宋体"/>
              </w:rPr>
            </w:pPr>
            <w:r>
              <w:rPr>
                <w:rFonts w:eastAsia="宋体"/>
              </w:rPr>
              <w:t>-</w:t>
            </w:r>
            <w:r>
              <w:rPr>
                <w:rFonts w:eastAsia="宋体"/>
              </w:rPr>
              <w:tab/>
              <w:t>The PDSCH transmission scheme where the UE may assume that PDSCH transmission would be performed with up to 8 transmission layers as defined in Clause 7.3.1.4 of [4, TS 38.211].</w:t>
            </w:r>
            <w:r>
              <w:rPr>
                <w:rFonts w:eastAsia="宋体" w:hint="eastAsia"/>
              </w:rPr>
              <w:t xml:space="preserve"> </w:t>
            </w:r>
            <w:r>
              <w:rPr>
                <w:rFonts w:eastAsia="宋体"/>
              </w:rPr>
              <w:t>For CQI calculation, the UE should assume that PDSCH signals on antenna ports in the set [1000,…, 1000+ν-1] for ν layers would result in signals equivalent to corresponding symbols transmitted on antenna ports [3000,…, 3000+</w:t>
            </w:r>
            <w:r>
              <w:rPr>
                <w:rFonts w:eastAsia="宋体"/>
                <w:i/>
              </w:rPr>
              <w:t>P</w:t>
            </w:r>
            <w:r>
              <w:rPr>
                <w:rFonts w:eastAsia="宋体"/>
              </w:rPr>
              <w:t>-1], as given by</w:t>
            </w:r>
          </w:p>
          <w:p w14:paraId="43C4D7F6" w14:textId="77777777" w:rsidR="005C7A97" w:rsidRDefault="00EA498A">
            <w:pPr>
              <w:keepLines/>
              <w:tabs>
                <w:tab w:val="center" w:pos="4536"/>
                <w:tab w:val="right" w:pos="9072"/>
              </w:tabs>
              <w:spacing w:line="240" w:lineRule="auto"/>
              <w:rPr>
                <w:rFonts w:eastAsia="宋体"/>
              </w:rPr>
            </w:pPr>
            <w:r>
              <w:rPr>
                <w:rFonts w:eastAsia="宋体"/>
              </w:rPr>
              <w:tab/>
            </w:r>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rPr>
                                <m:t>P</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r>
                <m:rPr>
                  <m:sty m:val="p"/>
                </m:rPr>
                <w:rPr>
                  <w:rFonts w:ascii="Cambria Math" w:eastAsia="宋体" w:hAnsi="Cambria Math"/>
                </w:rPr>
                <m:t>=</m:t>
              </m:r>
              <m:r>
                <w:rPr>
                  <w:rFonts w:ascii="Cambria Math" w:eastAsia="宋体" w:hAnsi="Cambria Math"/>
                </w:rPr>
                <m:t>W</m:t>
              </m:r>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oMath>
          </w:p>
          <w:p w14:paraId="719DCD42" w14:textId="77777777" w:rsidR="005C7A97" w:rsidRDefault="00EA498A">
            <w:pPr>
              <w:spacing w:line="240" w:lineRule="auto"/>
              <w:ind w:left="568" w:hanging="284"/>
              <w:rPr>
                <w:rFonts w:eastAsia="宋体"/>
              </w:rPr>
            </w:pPr>
            <w:r>
              <w:rPr>
                <w:rFonts w:eastAsia="宋体"/>
                <w:lang w:val="zh-CN"/>
              </w:rPr>
              <w:tab/>
            </w:r>
            <w:r w:rsidRPr="00042BF4">
              <w:rPr>
                <w:rFonts w:eastAsia="宋体"/>
              </w:rPr>
              <w:t xml:space="preserve">where </w:t>
            </w:r>
            <w:r>
              <w:rPr>
                <w:rFonts w:eastAsia="宋体"/>
                <w:position w:val="-10"/>
                <w:lang w:val="zh-CN"/>
              </w:rPr>
              <w:object w:dxaOrig="2056" w:dyaOrig="408" w14:anchorId="48F68727">
                <v:shape id="_x0000_i1028" type="#_x0000_t75" style="width:102.8pt;height:20.45pt" o:ole="">
                  <v:imagedata r:id="rId13" o:title=""/>
                </v:shape>
                <o:OLEObject Type="Embed" ProgID="Equation.3" ShapeID="_x0000_i1028" DrawAspect="Content" ObjectID="_1785739272" r:id="rId14"/>
              </w:object>
            </w:r>
            <w:r w:rsidRPr="00042BF4">
              <w:rPr>
                <w:rFonts w:eastAsia="宋体"/>
              </w:rPr>
              <w:t xml:space="preserve"> is a vector of PDSCH symbols from the layer mapping defined in Clause 7.3.1.4 of [4, TS 38.211], </w:t>
            </w:r>
            <w:r>
              <w:rPr>
                <w:rFonts w:eastAsia="宋体"/>
                <w:position w:val="-8"/>
                <w:lang w:val="zh-CN"/>
              </w:rPr>
              <w:object w:dxaOrig="2064" w:dyaOrig="308" w14:anchorId="34ABBD75">
                <v:shape id="_x0000_i1029" type="#_x0000_t75" style="width:103.15pt;height:15.25pt" o:ole="">
                  <v:imagedata r:id="rId15" o:title=""/>
                </v:shape>
                <o:OLEObject Type="Embed" ProgID="Equation.3" ShapeID="_x0000_i1029" DrawAspect="Content" ObjectID="_1785739273" r:id="rId16"/>
              </w:object>
            </w:r>
            <w:r w:rsidRPr="00042BF4">
              <w:rPr>
                <w:rFonts w:eastAsia="宋体"/>
              </w:rPr>
              <w:t xml:space="preserve"> is the number of CSI-RS ports. If only one CSI-RS port is configured, </w:t>
            </w:r>
            <w:r w:rsidRPr="00042BF4">
              <w:rPr>
                <w:rFonts w:eastAsia="宋体"/>
                <w:i/>
              </w:rPr>
              <w:t>W(i)</w:t>
            </w:r>
            <w:r w:rsidRPr="00042BF4">
              <w:rPr>
                <w:rFonts w:eastAsia="宋体"/>
              </w:rPr>
              <w:t xml:space="preserve"> is 1</w:t>
            </w:r>
            <w:r>
              <w:rPr>
                <w:rFonts w:eastAsia="宋体"/>
              </w:rPr>
              <w:t>.</w:t>
            </w:r>
            <w:r w:rsidRPr="00042BF4">
              <w:rPr>
                <w:rFonts w:eastAsia="宋体"/>
              </w:rPr>
              <w:t xml:space="preserve"> </w:t>
            </w:r>
            <w:r w:rsidRPr="00042BF4">
              <w:rPr>
                <w:rFonts w:eastAsia="宋体"/>
                <w:color w:val="000000"/>
              </w:rPr>
              <w:t xml:space="preserve">If the higher layer parameter </w:t>
            </w:r>
            <w:r w:rsidRPr="00042BF4">
              <w:rPr>
                <w:rFonts w:eastAsia="宋体"/>
                <w:i/>
                <w:color w:val="000000"/>
              </w:rPr>
              <w:t>reportQuantity</w:t>
            </w:r>
            <w:r w:rsidRPr="00042BF4">
              <w:rPr>
                <w:rFonts w:eastAsia="宋体"/>
                <w:color w:val="000000"/>
              </w:rPr>
              <w:t xml:space="preserve"> </w:t>
            </w:r>
            <w:r>
              <w:rPr>
                <w:rFonts w:eastAsia="宋体"/>
                <w:color w:val="000000"/>
              </w:rPr>
              <w:t>in</w:t>
            </w:r>
            <w:r w:rsidRPr="00042BF4">
              <w:rPr>
                <w:rFonts w:eastAsia="宋体"/>
                <w:color w:val="000000"/>
              </w:rPr>
              <w:t xml:space="preserve"> </w:t>
            </w:r>
            <w:r w:rsidRPr="00042BF4">
              <w:rPr>
                <w:rFonts w:eastAsia="宋体"/>
                <w:i/>
                <w:color w:val="000000"/>
              </w:rPr>
              <w:t>CSI-ReportConfig</w:t>
            </w:r>
            <w:r w:rsidRPr="00042BF4">
              <w:rPr>
                <w:rFonts w:eastAsia="宋体"/>
                <w:color w:val="000000"/>
              </w:rPr>
              <w:t xml:space="preserve"> for which the CQI is reported is set to either </w:t>
            </w:r>
            <w:r w:rsidRPr="00042BF4">
              <w:rPr>
                <w:rFonts w:eastAsia="MS Mincho"/>
                <w:color w:val="000000"/>
              </w:rPr>
              <w:t>'</w:t>
            </w:r>
            <w:r>
              <w:rPr>
                <w:rFonts w:eastAsia="MS Mincho"/>
                <w:color w:val="000000"/>
              </w:rPr>
              <w:t>cri-RI-PMI-CQI</w:t>
            </w:r>
            <w:r w:rsidRPr="00042BF4">
              <w:rPr>
                <w:rFonts w:eastAsia="MS Mincho"/>
                <w:color w:val="000000"/>
              </w:rPr>
              <w:t>' or '</w:t>
            </w:r>
            <w:r>
              <w:rPr>
                <w:rFonts w:eastAsia="MS Mincho"/>
                <w:color w:val="000000"/>
              </w:rPr>
              <w:t>cri-RI-LI-PMI-CQI</w:t>
            </w:r>
            <w:r w:rsidRPr="00042BF4">
              <w:rPr>
                <w:rFonts w:eastAsia="MS Mincho"/>
                <w:color w:val="000000"/>
              </w:rPr>
              <w:t>'</w:t>
            </w:r>
            <w:r>
              <w:rPr>
                <w:rFonts w:eastAsia="MS Mincho"/>
                <w:color w:val="000000"/>
              </w:rPr>
              <w:t xml:space="preserve">, </w:t>
            </w:r>
            <w:r w:rsidRPr="00042BF4">
              <w:rPr>
                <w:rFonts w:eastAsia="宋体"/>
                <w:i/>
                <w:color w:val="000000"/>
              </w:rPr>
              <w:t xml:space="preserve">W(i) </w:t>
            </w:r>
            <w:r w:rsidRPr="00042BF4">
              <w:rPr>
                <w:rFonts w:eastAsia="宋体"/>
                <w:color w:val="000000"/>
              </w:rPr>
              <w:t xml:space="preserve">is the precoding matrix corresponding to the reported PMI applicable to </w:t>
            </w:r>
            <w:r w:rsidRPr="00042BF4">
              <w:rPr>
                <w:rFonts w:eastAsia="宋体"/>
                <w:i/>
                <w:color w:val="000000"/>
              </w:rPr>
              <w:t>x(i)</w:t>
            </w:r>
            <w:r w:rsidRPr="00042BF4">
              <w:rPr>
                <w:rFonts w:eastAsia="宋体"/>
                <w:color w:val="000000"/>
              </w:rPr>
              <w:t xml:space="preserve">. If the higher layer parameter </w:t>
            </w:r>
            <w:r w:rsidRPr="00042BF4">
              <w:rPr>
                <w:rFonts w:eastAsia="宋体"/>
                <w:i/>
                <w:color w:val="000000"/>
              </w:rPr>
              <w:t>reportQuantity</w:t>
            </w:r>
            <w:r w:rsidRPr="00042BF4">
              <w:rPr>
                <w:rFonts w:eastAsia="宋体"/>
                <w:color w:val="000000"/>
              </w:rPr>
              <w:t xml:space="preserve"> </w:t>
            </w:r>
            <w:r>
              <w:rPr>
                <w:rFonts w:eastAsia="宋体"/>
                <w:color w:val="000000"/>
              </w:rPr>
              <w:t>in</w:t>
            </w:r>
            <w:r w:rsidRPr="00042BF4">
              <w:rPr>
                <w:rFonts w:eastAsia="宋体"/>
                <w:color w:val="000000"/>
              </w:rPr>
              <w:t xml:space="preserve"> </w:t>
            </w:r>
            <w:r w:rsidRPr="00042BF4">
              <w:rPr>
                <w:rFonts w:eastAsia="宋体"/>
                <w:i/>
                <w:color w:val="000000"/>
              </w:rPr>
              <w:t>CSI-ReportConfig</w:t>
            </w:r>
            <w:r w:rsidRPr="00042BF4">
              <w:rPr>
                <w:rFonts w:eastAsia="宋体"/>
                <w:color w:val="000000"/>
              </w:rPr>
              <w:t xml:space="preserve"> for which the CQI is reported is set to '</w:t>
            </w:r>
            <w:r>
              <w:rPr>
                <w:rFonts w:eastAsia="宋体"/>
                <w:color w:val="000000"/>
              </w:rPr>
              <w:t>cri-RI-CQI</w:t>
            </w:r>
            <w:r w:rsidRPr="00042BF4">
              <w:rPr>
                <w:rFonts w:eastAsia="宋体"/>
                <w:color w:val="000000"/>
              </w:rPr>
              <w:t>',</w:t>
            </w:r>
            <w:r>
              <w:rPr>
                <w:rFonts w:eastAsia="宋体"/>
                <w:color w:val="000000"/>
              </w:rPr>
              <w:t xml:space="preserve"> </w:t>
            </w:r>
            <w:r w:rsidRPr="00042BF4">
              <w:rPr>
                <w:rFonts w:eastAsia="宋体"/>
                <w:i/>
                <w:color w:val="000000"/>
              </w:rPr>
              <w:t xml:space="preserve">W(i) </w:t>
            </w:r>
            <w:r w:rsidRPr="00042BF4">
              <w:rPr>
                <w:rFonts w:eastAsia="宋体"/>
                <w:color w:val="000000"/>
              </w:rPr>
              <w:t xml:space="preserve">is the precoding matrix corresponding to the procedure described in Clause 5.2.1.4.2. If the higher layer parameter </w:t>
            </w:r>
            <w:r w:rsidRPr="00042BF4">
              <w:rPr>
                <w:rFonts w:eastAsia="宋体"/>
                <w:i/>
                <w:color w:val="000000"/>
              </w:rPr>
              <w:t>reportQuantity</w:t>
            </w:r>
            <w:r w:rsidRPr="00042BF4">
              <w:rPr>
                <w:rFonts w:eastAsia="宋体"/>
                <w:color w:val="000000"/>
              </w:rPr>
              <w:t xml:space="preserve"> </w:t>
            </w:r>
            <w:r>
              <w:rPr>
                <w:rFonts w:eastAsia="宋体"/>
                <w:color w:val="000000"/>
              </w:rPr>
              <w:t>in</w:t>
            </w:r>
            <w:r w:rsidRPr="00042BF4">
              <w:rPr>
                <w:rFonts w:eastAsia="宋体"/>
                <w:color w:val="000000"/>
              </w:rPr>
              <w:t xml:space="preserve"> </w:t>
            </w:r>
            <w:r w:rsidRPr="00042BF4">
              <w:rPr>
                <w:rFonts w:eastAsia="宋体"/>
                <w:i/>
                <w:color w:val="000000"/>
              </w:rPr>
              <w:t>CSI-ReportConfig</w:t>
            </w:r>
            <w:r w:rsidRPr="00042BF4">
              <w:rPr>
                <w:rFonts w:eastAsia="宋体"/>
                <w:color w:val="000000"/>
              </w:rPr>
              <w:t xml:space="preserve"> for which the CQI is reported is set to '</w:t>
            </w:r>
            <w:r>
              <w:rPr>
                <w:rFonts w:eastAsia="宋体"/>
                <w:color w:val="000000"/>
              </w:rPr>
              <w:t>cri-RI-i1-CQI</w:t>
            </w:r>
            <w:r w:rsidRPr="00042BF4">
              <w:rPr>
                <w:rFonts w:eastAsia="宋体"/>
                <w:color w:val="000000"/>
              </w:rPr>
              <w:t xml:space="preserve">', </w:t>
            </w:r>
            <w:r w:rsidRPr="00042BF4">
              <w:rPr>
                <w:rFonts w:eastAsia="宋体"/>
                <w:i/>
                <w:color w:val="000000"/>
              </w:rPr>
              <w:t xml:space="preserve">W(i) </w:t>
            </w:r>
            <w:r w:rsidRPr="00042BF4">
              <w:rPr>
                <w:rFonts w:eastAsia="宋体"/>
                <w:color w:val="000000"/>
              </w:rPr>
              <w:t>is the precoding matrix corresponding to the reported i1 according to the procedure described in Clause 5.2.1.4</w:t>
            </w:r>
            <w:r>
              <w:rPr>
                <w:rFonts w:eastAsia="宋体"/>
                <w:color w:val="000000"/>
              </w:rPr>
              <w:t>.2</w:t>
            </w:r>
            <w:r w:rsidRPr="00042BF4">
              <w:rPr>
                <w:rFonts w:eastAsia="宋体"/>
                <w:iCs/>
              </w:rPr>
              <w:t>.</w:t>
            </w:r>
            <w:r>
              <w:rPr>
                <w:rFonts w:eastAsia="宋体"/>
                <w:iCs/>
              </w:rPr>
              <w:t xml:space="preserve"> </w:t>
            </w:r>
            <w:r w:rsidRPr="00042BF4">
              <w:rPr>
                <w:rFonts w:eastAsia="宋体"/>
              </w:rPr>
              <w:t>The corresponding PDSCH signals transmitted on antenna ports [3000,</w:t>
            </w:r>
            <w:r>
              <w:rPr>
                <w:rFonts w:eastAsia="宋体"/>
              </w:rPr>
              <w:t>…,</w:t>
            </w:r>
            <w:r w:rsidRPr="00042BF4">
              <w:rPr>
                <w:rFonts w:eastAsia="宋体"/>
              </w:rPr>
              <w:t xml:space="preserve">3000 + </w:t>
            </w:r>
            <w:r w:rsidRPr="00042BF4">
              <w:rPr>
                <w:rFonts w:eastAsia="宋体"/>
                <w:i/>
              </w:rPr>
              <w:t>P</w:t>
            </w:r>
            <w:r w:rsidRPr="00042BF4">
              <w:rPr>
                <w:rFonts w:eastAsia="宋体"/>
              </w:rPr>
              <w:t xml:space="preserve"> - 1] would have a ratio of EPRE to CSI-RS EPRE equal to the ratio given in Clause 5.2.2.3.1.</w:t>
            </w:r>
            <w:r>
              <w:rPr>
                <w:rFonts w:eastAsia="宋体"/>
              </w:rPr>
              <w:t xml:space="preserve"> </w:t>
            </w:r>
          </w:p>
          <w:p w14:paraId="4DD85576" w14:textId="77777777" w:rsidR="005C7A97" w:rsidRDefault="00EA498A">
            <w:pPr>
              <w:spacing w:line="240" w:lineRule="auto"/>
              <w:ind w:left="568" w:hanging="284"/>
              <w:rPr>
                <w:rFonts w:eastAsia="宋体"/>
                <w:color w:val="000000"/>
              </w:rPr>
            </w:pPr>
            <w:r>
              <w:rPr>
                <w:rFonts w:eastAsia="宋体"/>
              </w:rPr>
              <w:t>-</w:t>
            </w:r>
            <w:r>
              <w:rPr>
                <w:rFonts w:eastAsia="宋体"/>
              </w:rPr>
              <w:tab/>
              <w:t>For</w:t>
            </w:r>
            <w:r w:rsidRPr="00042BF4">
              <w:rPr>
                <w:rFonts w:eastAsia="宋体"/>
              </w:rPr>
              <w:t xml:space="preserve"> a UE configured with a </w:t>
            </w:r>
            <w:r w:rsidRPr="00042BF4">
              <w:rPr>
                <w:rFonts w:eastAsia="宋体"/>
                <w:i/>
              </w:rPr>
              <w:t>CSI-ReportConfig</w:t>
            </w:r>
            <w:r w:rsidRPr="00042BF4">
              <w:rPr>
                <w:rFonts w:eastAsia="宋体"/>
              </w:rPr>
              <w:t xml:space="preserve"> that </w:t>
            </w:r>
            <w:r>
              <w:rPr>
                <w:rFonts w:eastAsia="宋体"/>
              </w:rPr>
              <w:t>contains</w:t>
            </w:r>
            <w:r w:rsidRPr="00042BF4">
              <w:rPr>
                <w:rFonts w:eastAsia="宋体"/>
              </w:rPr>
              <w:t xml:space="preserve"> </w:t>
            </w:r>
            <w:r>
              <w:rPr>
                <w:rFonts w:eastAsia="宋体"/>
              </w:rPr>
              <w:t>a list of</w:t>
            </w:r>
            <w:r w:rsidRPr="00042BF4">
              <w:rPr>
                <w:rFonts w:eastAsia="宋体"/>
              </w:rPr>
              <w:t xml:space="preserve"> sub-configurations </w:t>
            </w:r>
            <w:r w:rsidRPr="00042BF4">
              <w:rPr>
                <w:rFonts w:eastAsia="宋体"/>
                <w:color w:val="000000"/>
              </w:rPr>
              <w:t>provided by  [</w:t>
            </w:r>
            <w:r w:rsidRPr="00042BF4">
              <w:rPr>
                <w:rFonts w:eastAsia="宋体"/>
                <w:i/>
                <w:iCs/>
                <w:color w:val="000000"/>
              </w:rPr>
              <w:t>csi-ReportSubConfigList</w:t>
            </w:r>
            <w:r w:rsidRPr="00042BF4">
              <w:rPr>
                <w:rFonts w:eastAsia="宋体"/>
                <w:color w:val="000000"/>
              </w:rPr>
              <w:t>]</w:t>
            </w:r>
            <w:r>
              <w:rPr>
                <w:rFonts w:eastAsia="宋体"/>
                <w:color w:val="000000"/>
              </w:rPr>
              <w:t>,</w:t>
            </w:r>
          </w:p>
          <w:p w14:paraId="7F536CB3" w14:textId="77777777" w:rsidR="005C7A97" w:rsidRDefault="00EA498A">
            <w:pPr>
              <w:spacing w:line="240" w:lineRule="auto"/>
              <w:ind w:left="851" w:hanging="284"/>
              <w:rPr>
                <w:rFonts w:eastAsia="宋体"/>
              </w:rPr>
            </w:pPr>
            <w:r w:rsidRPr="00042BF4">
              <w:rPr>
                <w:rFonts w:eastAsia="宋体"/>
              </w:rPr>
              <w:t>-</w:t>
            </w:r>
            <w:r w:rsidRPr="00042BF4">
              <w:rPr>
                <w:rFonts w:eastAsia="宋体"/>
              </w:rPr>
              <w:tab/>
            </w:r>
            <w:r>
              <w:rPr>
                <w:rFonts w:eastAsia="宋体"/>
              </w:rPr>
              <w:t>if</w:t>
            </w:r>
            <w:r w:rsidRPr="00042BF4">
              <w:rPr>
                <w:rFonts w:eastAsia="宋体"/>
              </w:rPr>
              <w:t xml:space="preserve"> </w:t>
            </w:r>
            <w:r>
              <w:rPr>
                <w:rFonts w:eastAsia="宋体"/>
              </w:rPr>
              <w:t>a</w:t>
            </w:r>
            <w:r w:rsidRPr="00042BF4">
              <w:rPr>
                <w:rFonts w:eastAsia="宋体"/>
              </w:rPr>
              <w:t xml:space="preserve"> sub-configuration indicates a CSI-RS antenna port subset </w:t>
            </w:r>
            <w:r>
              <w:rPr>
                <w:rFonts w:eastAsia="宋体"/>
              </w:rPr>
              <w:t>using</w:t>
            </w:r>
            <w:r w:rsidRPr="00042BF4">
              <w:rPr>
                <w:rFonts w:eastAsia="宋体"/>
              </w:rPr>
              <w:t xml:space="preserve"> </w:t>
            </w:r>
            <w:r>
              <w:rPr>
                <w:rFonts w:eastAsia="宋体"/>
              </w:rPr>
              <w:t xml:space="preserve">the higher layer </w:t>
            </w:r>
            <w:r w:rsidRPr="00042BF4">
              <w:rPr>
                <w:rFonts w:eastAsia="宋体"/>
              </w:rPr>
              <w:t xml:space="preserve">bitmap parameter </w:t>
            </w:r>
            <w:r>
              <w:rPr>
                <w:rFonts w:eastAsia="宋体"/>
              </w:rPr>
              <w:t>[</w:t>
            </w:r>
            <w:r>
              <w:rPr>
                <w:rFonts w:eastAsia="宋体"/>
                <w:i/>
                <w:iCs/>
              </w:rPr>
              <w:t>port-</w:t>
            </w:r>
            <w:r w:rsidRPr="00042BF4">
              <w:rPr>
                <w:rFonts w:eastAsia="宋体"/>
                <w:i/>
                <w:iCs/>
              </w:rPr>
              <w:t>subsetIndicator</w:t>
            </w:r>
            <w:r w:rsidRPr="00042BF4">
              <w:rPr>
                <w:rFonts w:eastAsia="宋体"/>
              </w:rPr>
              <w:t>]</w:t>
            </w:r>
            <w:r>
              <w:rPr>
                <w:rFonts w:eastAsia="宋体"/>
              </w:rPr>
              <w:t xml:space="preserve">, </w:t>
            </w:r>
            <w:r w:rsidRPr="00042BF4">
              <w:rPr>
                <w:rFonts w:eastAsia="宋体"/>
              </w:rPr>
              <w:t>as described in clause 5.2.1.4.2, for CQI calculation, antenna ports corresponding to all bits with value of 1 in [</w:t>
            </w:r>
            <w:r w:rsidRPr="00042BF4">
              <w:rPr>
                <w:rFonts w:eastAsia="宋体"/>
                <w:i/>
                <w:iCs/>
              </w:rPr>
              <w:t>port-subsetIndicator</w:t>
            </w:r>
            <w:r w:rsidRPr="00042BF4">
              <w:rPr>
                <w:rFonts w:eastAsia="宋体"/>
              </w:rPr>
              <w:t>] are mapped to consecutive antenna ports starting at CSI-RS antenna port 3000 in increasing order of the bit position in [</w:t>
            </w:r>
            <w:r w:rsidRPr="00042BF4">
              <w:rPr>
                <w:rFonts w:eastAsia="宋体"/>
                <w:i/>
                <w:iCs/>
              </w:rPr>
              <w:t>port-subsetIndicator</w:t>
            </w:r>
            <w:r w:rsidRPr="00042BF4">
              <w:rPr>
                <w:rFonts w:eastAsia="宋体"/>
              </w:rPr>
              <w:t>]. The UE should assume that</w:t>
            </w:r>
            <w:r>
              <w:rPr>
                <w:rFonts w:eastAsia="宋体"/>
              </w:rPr>
              <w:t xml:space="preserve"> </w:t>
            </w:r>
            <w:r w:rsidRPr="00042BF4">
              <w:rPr>
                <w:rFonts w:eastAsia="宋体"/>
              </w:rPr>
              <w:t>PDSCH signals on antenna ports in the set [1000,…, 1000+</w:t>
            </w:r>
            <w:r>
              <w:rPr>
                <w:rFonts w:eastAsia="宋体"/>
                <w:lang w:val="zh-CN"/>
              </w:rPr>
              <w:t>ν</w:t>
            </w:r>
            <w:r w:rsidRPr="00042BF4">
              <w:rPr>
                <w:rFonts w:eastAsia="宋体"/>
              </w:rPr>
              <w:t xml:space="preserve">-1] for </w:t>
            </w:r>
            <w:r>
              <w:rPr>
                <w:rFonts w:eastAsia="宋体"/>
                <w:lang w:val="zh-CN"/>
              </w:rPr>
              <w:t>ν</w:t>
            </w:r>
            <w:r w:rsidRPr="00042BF4">
              <w:rPr>
                <w:rFonts w:eastAsia="宋体"/>
              </w:rPr>
              <w:t xml:space="preserve"> layers would result in signals equivalent to corresponding symbols transmitted on antenna ports [</w:t>
            </w:r>
            <w:r>
              <w:rPr>
                <w:rFonts w:eastAsia="宋体"/>
              </w:rPr>
              <w:t>3000,</w:t>
            </w:r>
            <w:r w:rsidRPr="00042BF4">
              <w:rPr>
                <w:rFonts w:eastAsia="宋体"/>
              </w:rPr>
              <w:t xml:space="preserve"> …, </w:t>
            </w:r>
            <w:r>
              <w:rPr>
                <w:rFonts w:eastAsia="宋体"/>
              </w:rPr>
              <w:t>3000</w:t>
            </w:r>
            <w:r w:rsidRPr="00042BF4">
              <w:rPr>
                <w:rFonts w:eastAsia="宋体"/>
              </w:rPr>
              <w:t>+P-1</w:t>
            </w:r>
            <w:r>
              <w:rPr>
                <w:rFonts w:eastAsia="宋体"/>
              </w:rPr>
              <w:t>]</w:t>
            </w:r>
            <w:r>
              <w:rPr>
                <w:rFonts w:eastAsia="宋体"/>
                <w:i/>
                <w:iCs/>
                <w:vertAlign w:val="superscript"/>
              </w:rPr>
              <w:t xml:space="preserve"> T</w:t>
            </w:r>
            <w:r w:rsidRPr="00042BF4">
              <w:rPr>
                <w:rFonts w:eastAsia="宋体"/>
              </w:rPr>
              <w:t>, as given by</w:t>
            </w:r>
          </w:p>
          <w:p w14:paraId="3E7E1141" w14:textId="77777777" w:rsidR="005C7A97" w:rsidRDefault="003D4070">
            <w:pPr>
              <w:keepLines/>
              <w:tabs>
                <w:tab w:val="center" w:pos="4536"/>
                <w:tab w:val="right" w:pos="9072"/>
              </w:tabs>
              <w:spacing w:line="240" w:lineRule="auto"/>
              <w:rPr>
                <w:rFonts w:eastAsia="宋体"/>
              </w:rPr>
            </w:pPr>
            <m:oMathPara>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3000+P-1</m:t>
                                </m:r>
                              </m:e>
                            </m:d>
                          </m:sup>
                        </m:sSup>
                        <m:d>
                          <m:dPr>
                            <m:ctrlPr>
                              <w:rPr>
                                <w:rFonts w:ascii="Cambria Math" w:eastAsia="宋体" w:hAnsi="Cambria Math"/>
                              </w:rPr>
                            </m:ctrlPr>
                          </m:dPr>
                          <m:e>
                            <m:r>
                              <w:rPr>
                                <w:rFonts w:ascii="Cambria Math" w:eastAsia="宋体" w:hAnsi="Cambria Math"/>
                              </w:rPr>
                              <m:t>i</m:t>
                            </m:r>
                          </m:e>
                        </m:d>
                      </m:e>
                    </m:eqArr>
                  </m:e>
                </m:d>
                <m:r>
                  <m:rPr>
                    <m:sty m:val="p"/>
                  </m:rPr>
                  <w:rPr>
                    <w:rFonts w:ascii="Cambria Math" w:eastAsia="宋体" w:hAnsi="Cambria Math"/>
                  </w:rPr>
                  <m:t>=</m:t>
                </m:r>
                <m:r>
                  <w:rPr>
                    <w:rFonts w:ascii="Cambria Math" w:eastAsia="宋体" w:hAnsi="Cambria Math"/>
                  </w:rPr>
                  <m:t>W</m:t>
                </m:r>
                <m:d>
                  <m:dPr>
                    <m:ctrlPr>
                      <w:rPr>
                        <w:rFonts w:ascii="Cambria Math" w:eastAsia="宋体" w:hAnsi="Cambria Math"/>
                      </w:rPr>
                    </m:ctrlPr>
                  </m:dPr>
                  <m:e>
                    <m:r>
                      <w:rPr>
                        <w:rFonts w:ascii="Cambria Math" w:eastAsia="宋体" w:hAnsi="Cambria Math"/>
                      </w:rPr>
                      <m:t>i</m:t>
                    </m:r>
                  </m:e>
                </m:d>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e>
                    </m:eqArr>
                  </m:e>
                </m:d>
              </m:oMath>
            </m:oMathPara>
          </w:p>
          <w:p w14:paraId="0568B8C4" w14:textId="77777777" w:rsidR="005C7A97" w:rsidRPr="00042BF4" w:rsidRDefault="00EA498A">
            <w:pPr>
              <w:spacing w:line="240" w:lineRule="auto"/>
              <w:ind w:left="851"/>
              <w:rPr>
                <w:rFonts w:eastAsia="宋体"/>
              </w:rPr>
            </w:pPr>
            <w:r w:rsidRPr="00042BF4">
              <w:rPr>
                <w:rFonts w:eastAsia="宋体"/>
              </w:rPr>
              <w:lastRenderedPageBreak/>
              <w:t xml:space="preserve">where </w:t>
            </w:r>
            <w:r w:rsidRPr="00042BF4">
              <w:rPr>
                <w:rFonts w:eastAsia="宋体"/>
                <w:i/>
                <w:iCs/>
              </w:rPr>
              <w:t xml:space="preserve">P </w:t>
            </w:r>
            <w:r w:rsidRPr="00042BF4">
              <w:rPr>
                <w:rFonts w:eastAsia="宋体"/>
              </w:rPr>
              <w:t>corresponds to the number of bits with value 1 in the bitmap</w:t>
            </w:r>
            <w:r w:rsidRPr="00042BF4">
              <w:rPr>
                <w:rFonts w:eastAsia="宋体"/>
                <w:i/>
                <w:iCs/>
              </w:rPr>
              <w:t xml:space="preserve"> [port-subsetIndicator]</w:t>
            </w:r>
            <w:r w:rsidRPr="00042BF4">
              <w:rPr>
                <w:rFonts w:eastAsia="宋体"/>
              </w:rPr>
              <w:t xml:space="preserve"> and </w:t>
            </w:r>
            <m:oMath>
              <m:r>
                <w:rPr>
                  <w:rFonts w:ascii="Cambria Math" w:eastAsia="宋体" w:hAnsi="Cambria Math"/>
                  <w:lang w:val="zh-CN"/>
                </w:rPr>
                <m:t>x</m:t>
              </m:r>
              <m:d>
                <m:dPr>
                  <m:ctrlPr>
                    <w:rPr>
                      <w:rFonts w:ascii="Cambria Math" w:eastAsia="宋体" w:hAnsi="Cambria Math"/>
                      <w:i/>
                      <w:lang w:val="zh-CN"/>
                    </w:rPr>
                  </m:ctrlPr>
                </m:dPr>
                <m:e>
                  <m:r>
                    <w:rPr>
                      <w:rFonts w:ascii="Cambria Math" w:eastAsia="宋体" w:hAnsi="Cambria Math"/>
                      <w:lang w:val="zh-CN"/>
                    </w:rPr>
                    <m:t>i</m:t>
                  </m:r>
                </m:e>
              </m:d>
              <m:r>
                <w:rPr>
                  <w:rFonts w:ascii="Cambria Math" w:eastAsia="宋体" w:hAnsi="Cambria Math"/>
                </w:rPr>
                <m:t>=[</m:t>
              </m:r>
              <m:sSup>
                <m:sSupPr>
                  <m:ctrlPr>
                    <w:rPr>
                      <w:rFonts w:ascii="Cambria Math" w:eastAsia="宋体" w:hAnsi="Cambria Math"/>
                      <w:lang w:val="zh-CN"/>
                    </w:rPr>
                  </m:ctrlPr>
                </m:sSupPr>
                <m:e>
                  <m:r>
                    <w:rPr>
                      <w:rFonts w:ascii="Cambria Math" w:eastAsia="宋体" w:hAnsi="Cambria Math"/>
                      <w:lang w:val="zh-CN"/>
                    </w:rPr>
                    <m:t>x</m:t>
                  </m:r>
                </m:e>
                <m:sup>
                  <m:d>
                    <m:dPr>
                      <m:ctrlPr>
                        <w:rPr>
                          <w:rFonts w:ascii="Cambria Math" w:eastAsia="宋体" w:hAnsi="Cambria Math"/>
                          <w:i/>
                          <w:lang w:val="zh-CN"/>
                        </w:rPr>
                      </m:ctrlPr>
                    </m:dPr>
                    <m:e>
                      <m:r>
                        <w:rPr>
                          <w:rFonts w:ascii="Cambria Math" w:eastAsia="宋体" w:hAnsi="Cambria Math"/>
                        </w:rPr>
                        <m:t>0</m:t>
                      </m:r>
                    </m:e>
                  </m:d>
                </m:sup>
              </m:sSup>
              <m:d>
                <m:dPr>
                  <m:ctrlPr>
                    <w:rPr>
                      <w:rFonts w:ascii="Cambria Math" w:eastAsia="宋体" w:hAnsi="Cambria Math"/>
                      <w:lang w:val="zh-CN"/>
                    </w:rPr>
                  </m:ctrlPr>
                </m:dPr>
                <m:e>
                  <m:r>
                    <w:rPr>
                      <w:rFonts w:ascii="Cambria Math" w:eastAsia="宋体" w:hAnsi="Cambria Math"/>
                      <w:lang w:val="zh-CN"/>
                    </w:rPr>
                    <m:t>i</m:t>
                  </m:r>
                </m:e>
              </m:d>
              <m:r>
                <w:rPr>
                  <w:rFonts w:ascii="Cambria Math" w:eastAsia="宋体" w:hAnsi="Cambria Math"/>
                </w:rPr>
                <m:t>…</m:t>
              </m:r>
              <m:sSup>
                <m:sSupPr>
                  <m:ctrlPr>
                    <w:rPr>
                      <w:rFonts w:ascii="Cambria Math" w:eastAsia="宋体" w:hAnsi="Cambria Math"/>
                      <w:lang w:val="zh-CN"/>
                    </w:rPr>
                  </m:ctrlPr>
                </m:sSupPr>
                <m:e>
                  <m:r>
                    <w:rPr>
                      <w:rFonts w:ascii="Cambria Math" w:eastAsia="宋体" w:hAnsi="Cambria Math"/>
                      <w:lang w:val="zh-CN"/>
                    </w:rPr>
                    <m:t>x</m:t>
                  </m:r>
                </m:e>
                <m:sup>
                  <m:d>
                    <m:dPr>
                      <m:ctrlPr>
                        <w:rPr>
                          <w:rFonts w:ascii="Cambria Math" w:eastAsia="宋体" w:hAnsi="Cambria Math"/>
                          <w:i/>
                          <w:lang w:val="zh-CN"/>
                        </w:rPr>
                      </m:ctrlPr>
                    </m:dPr>
                    <m:e>
                      <m:r>
                        <w:rPr>
                          <w:rFonts w:ascii="Cambria Math" w:eastAsia="宋体" w:hAnsi="Cambria Math"/>
                          <w:lang w:val="zh-CN"/>
                        </w:rPr>
                        <m:t>ν</m:t>
                      </m:r>
                      <m:r>
                        <m:rPr>
                          <m:sty m:val="p"/>
                        </m:rPr>
                        <w:rPr>
                          <w:rFonts w:ascii="Cambria Math" w:eastAsia="宋体" w:hAnsi="Cambria Math"/>
                        </w:rPr>
                        <m:t>-1</m:t>
                      </m:r>
                    </m:e>
                  </m:d>
                </m:sup>
              </m:sSup>
              <m:d>
                <m:dPr>
                  <m:ctrlPr>
                    <w:rPr>
                      <w:rFonts w:ascii="Cambria Math" w:eastAsia="宋体" w:hAnsi="Cambria Math"/>
                      <w:lang w:val="zh-CN"/>
                    </w:rPr>
                  </m:ctrlPr>
                </m:dPr>
                <m:e>
                  <m:r>
                    <w:rPr>
                      <w:rFonts w:ascii="Cambria Math" w:eastAsia="宋体" w:hAnsi="Cambria Math"/>
                      <w:lang w:val="zh-CN"/>
                    </w:rPr>
                    <m:t>i</m:t>
                  </m:r>
                </m:e>
              </m:d>
              <m:r>
                <w:rPr>
                  <w:rFonts w:ascii="Cambria Math" w:eastAsia="宋体" w:hAnsi="Cambria Math"/>
                </w:rPr>
                <m:t>]</m:t>
              </m:r>
            </m:oMath>
            <w:r w:rsidRPr="00042BF4">
              <w:rPr>
                <w:rFonts w:eastAsia="宋体"/>
                <w:i/>
                <w:iCs/>
                <w:vertAlign w:val="superscript"/>
              </w:rPr>
              <w:t>T</w:t>
            </w:r>
            <w:r w:rsidRPr="00042BF4">
              <w:rPr>
                <w:rFonts w:eastAsia="宋体"/>
              </w:rPr>
              <w:t xml:space="preserve"> , and </w:t>
            </w:r>
            <m:oMath>
              <m:r>
                <w:rPr>
                  <w:rFonts w:ascii="Cambria Math" w:eastAsia="宋体" w:hAnsi="Cambria Math"/>
                  <w:lang w:val="zh-CN"/>
                </w:rPr>
                <m:t>W</m:t>
              </m:r>
              <m:d>
                <m:dPr>
                  <m:ctrlPr>
                    <w:rPr>
                      <w:rFonts w:ascii="Cambria Math" w:eastAsia="宋体" w:hAnsi="Cambria Math"/>
                      <w:i/>
                      <w:lang w:val="zh-CN"/>
                    </w:rPr>
                  </m:ctrlPr>
                </m:dPr>
                <m:e>
                  <m:r>
                    <w:rPr>
                      <w:rFonts w:ascii="Cambria Math" w:eastAsia="宋体" w:hAnsi="Cambria Math"/>
                      <w:lang w:val="zh-CN"/>
                    </w:rPr>
                    <m:t>i</m:t>
                  </m:r>
                </m:e>
              </m:d>
            </m:oMath>
            <w:r w:rsidRPr="00042BF4">
              <w:rPr>
                <w:rFonts w:eastAsia="宋体"/>
                <w:i/>
                <w:iCs/>
              </w:rPr>
              <w:t xml:space="preserve"> </w:t>
            </w:r>
            <w:r w:rsidRPr="00042BF4">
              <w:rPr>
                <w:rFonts w:eastAsia="宋体"/>
              </w:rPr>
              <w:t>are as previously described in this Clause</w:t>
            </w:r>
            <w:r w:rsidRPr="00042BF4">
              <w:rPr>
                <w:rFonts w:eastAsia="宋体"/>
                <w:strike/>
                <w:color w:val="FF0000"/>
              </w:rPr>
              <w:t xml:space="preserve">, and the corresponding PDSCH EPRE to CSI-RS EPRE is as previously defined in this Clause if the sub-configuration does not indicate a power offset </w:t>
            </w:r>
            <w:r w:rsidRPr="00042BF4">
              <w:rPr>
                <w:rFonts w:eastAsia="微软雅黑"/>
                <w:i/>
                <w:iCs/>
                <w:strike/>
                <w:color w:val="FF0000"/>
              </w:rPr>
              <w:t>[powerOffset]</w:t>
            </w:r>
            <w:r w:rsidRPr="00042BF4">
              <w:rPr>
                <w:rFonts w:eastAsia="宋体"/>
              </w:rPr>
              <w:t>.</w:t>
            </w:r>
          </w:p>
          <w:p w14:paraId="1D84FBFD" w14:textId="77777777" w:rsidR="005C7A97" w:rsidRPr="00042BF4" w:rsidRDefault="00EA498A">
            <w:pPr>
              <w:spacing w:line="240" w:lineRule="auto"/>
              <w:ind w:left="851" w:hanging="284"/>
              <w:rPr>
                <w:rFonts w:eastAsia="宋体"/>
                <w:color w:val="000000"/>
              </w:rPr>
            </w:pPr>
            <w:r w:rsidRPr="00042BF4">
              <w:rPr>
                <w:rFonts w:eastAsia="宋体"/>
                <w:color w:val="000000"/>
              </w:rPr>
              <w:t>-</w:t>
            </w:r>
            <w:r w:rsidRPr="00042BF4">
              <w:rPr>
                <w:rFonts w:eastAsia="宋体"/>
                <w:color w:val="000000"/>
              </w:rPr>
              <w:tab/>
              <w:t>if a sub-configuration indicates</w:t>
            </w:r>
            <w:r w:rsidRPr="00042BF4">
              <w:rPr>
                <w:rFonts w:eastAsia="宋体"/>
                <w:iCs/>
                <w:color w:val="000000"/>
              </w:rPr>
              <w:t xml:space="preserve"> a list of </w:t>
            </w:r>
            <w:r w:rsidRPr="00042BF4">
              <w:rPr>
                <w:rFonts w:eastAsia="宋体"/>
                <w:color w:val="000000"/>
              </w:rPr>
              <w:t>NZP CSI-RS resources, provided by [</w:t>
            </w:r>
            <w:r w:rsidRPr="00042BF4">
              <w:rPr>
                <w:rFonts w:eastAsia="宋体"/>
                <w:i/>
                <w:iCs/>
                <w:color w:val="000000"/>
              </w:rPr>
              <w:t>nzp-CSI-RS-resourceList</w:t>
            </w:r>
            <w:r w:rsidRPr="00042BF4">
              <w:rPr>
                <w:rFonts w:eastAsia="宋体"/>
                <w:color w:val="000000"/>
              </w:rPr>
              <w:t>] and does not indicate a</w:t>
            </w:r>
            <w:r w:rsidRPr="00042BF4">
              <w:rPr>
                <w:rFonts w:eastAsia="宋体"/>
              </w:rPr>
              <w:t xml:space="preserve"> power offset </w:t>
            </w:r>
            <w:r w:rsidRPr="00042BF4">
              <w:rPr>
                <w:rFonts w:eastAsia="微软雅黑"/>
                <w:i/>
                <w:iCs/>
              </w:rPr>
              <w:t>[powerOffset]</w:t>
            </w:r>
            <w:r w:rsidRPr="00042BF4">
              <w:rPr>
                <w:rFonts w:eastAsia="宋体"/>
                <w:color w:val="000000"/>
              </w:rPr>
              <w:t xml:space="preserve">, for CQI calculation for the sub-configuration the UE follows the procedure previously described in this Clause. </w:t>
            </w:r>
          </w:p>
          <w:p w14:paraId="11C3E903" w14:textId="77777777" w:rsidR="005C7A97" w:rsidRDefault="00EA498A">
            <w:pPr>
              <w:spacing w:line="240" w:lineRule="auto"/>
              <w:ind w:left="851" w:hanging="284"/>
              <w:rPr>
                <w:rFonts w:eastAsia="宋体"/>
              </w:rPr>
            </w:pPr>
            <w:r w:rsidRPr="00042BF4">
              <w:rPr>
                <w:rFonts w:eastAsia="宋体"/>
              </w:rPr>
              <w:t>-</w:t>
            </w:r>
            <w:r w:rsidRPr="00042BF4">
              <w:rPr>
                <w:rFonts w:eastAsia="宋体"/>
              </w:rPr>
              <w:tab/>
              <w:t xml:space="preserve">if a sub-configuration indicates a power offset </w:t>
            </w:r>
            <w:r w:rsidRPr="00042BF4">
              <w:rPr>
                <w:rFonts w:eastAsia="微软雅黑"/>
                <w:i/>
                <w:iCs/>
              </w:rPr>
              <w:t>[powerOffset]</w:t>
            </w:r>
            <w:r w:rsidRPr="00042BF4">
              <w:rPr>
                <w:rFonts w:eastAsia="微软雅黑"/>
              </w:rPr>
              <w:t>,</w:t>
            </w:r>
            <w:r w:rsidRPr="00042BF4">
              <w:rPr>
                <w:rFonts w:eastAsia="微软雅黑"/>
                <w:i/>
                <w:iCs/>
              </w:rPr>
              <w:t xml:space="preserve"> </w:t>
            </w:r>
            <w:r w:rsidRPr="00042BF4">
              <w:rPr>
                <w:rFonts w:eastAsia="宋体"/>
              </w:rPr>
              <w:t xml:space="preserve">for CQI calculation, the UE shall assume the corresponding PDSCH signals transmitted on the antenna ports of a CSI-RS resource would have a ratio of EPRE to CSI-RS EPRE equal to the difference between </w:t>
            </w:r>
            <w:r w:rsidRPr="00042BF4">
              <w:rPr>
                <w:rFonts w:eastAsia="宋体"/>
                <w:i/>
                <w:iCs/>
              </w:rPr>
              <w:t xml:space="preserve">powerControlOffset </w:t>
            </w:r>
            <w:r w:rsidRPr="00042BF4">
              <w:rPr>
                <w:rFonts w:eastAsia="宋体"/>
              </w:rPr>
              <w:t xml:space="preserve">of the CSI-RS resource, given in Clause 5.2.2.3.1, and </w:t>
            </w:r>
            <w:r w:rsidRPr="00042BF4">
              <w:rPr>
                <w:rFonts w:eastAsia="微软雅黑"/>
                <w:i/>
                <w:iCs/>
              </w:rPr>
              <w:t>[powerOffset]</w:t>
            </w:r>
            <w:r w:rsidRPr="00042BF4">
              <w:rPr>
                <w:rFonts w:eastAsia="微软雅黑"/>
              </w:rPr>
              <w:t>, where the difference</w:t>
            </w:r>
            <w:r w:rsidRPr="00042BF4">
              <w:rPr>
                <w:rFonts w:eastAsia="微软雅黑"/>
                <w:i/>
                <w:iCs/>
              </w:rPr>
              <w:t xml:space="preserve"> </w:t>
            </w:r>
            <w:r w:rsidRPr="00042BF4">
              <w:rPr>
                <w:rFonts w:eastAsia="微软雅黑"/>
              </w:rPr>
              <w:t>is expected to take one of the values that can be configured for</w:t>
            </w:r>
            <w:r w:rsidRPr="00042BF4">
              <w:rPr>
                <w:rFonts w:eastAsia="微软雅黑"/>
                <w:i/>
                <w:iCs/>
              </w:rPr>
              <w:t xml:space="preserve"> powerControlOffset </w:t>
            </w:r>
            <w:r w:rsidRPr="00042BF4">
              <w:rPr>
                <w:rFonts w:eastAsia="微软雅黑"/>
              </w:rPr>
              <w:t xml:space="preserve">of the CSI-RS resource, given in Clause 5.2.2.3.1, and is also expected to take a value that is no larger than the value of </w:t>
            </w:r>
            <w:r w:rsidRPr="00042BF4">
              <w:rPr>
                <w:rFonts w:eastAsia="微软雅黑"/>
                <w:i/>
                <w:iCs/>
              </w:rPr>
              <w:t>powerControlOffset.</w:t>
            </w:r>
          </w:p>
          <w:p w14:paraId="23CED23C" w14:textId="77777777" w:rsidR="005C7A97" w:rsidRDefault="00EA498A">
            <w:pPr>
              <w:jc w:val="center"/>
              <w:rPr>
                <w:color w:val="FF0000"/>
              </w:rPr>
            </w:pPr>
            <w:r>
              <w:rPr>
                <w:color w:val="FF0000"/>
              </w:rPr>
              <w:t>&lt;end TP1 for 38.214, subclause 5.2.2.5.1&gt;</w:t>
            </w:r>
          </w:p>
        </w:tc>
      </w:tr>
    </w:tbl>
    <w:p w14:paraId="2C263EFE" w14:textId="77777777" w:rsidR="005C7A97" w:rsidRDefault="005C7A97"/>
    <w:sectPr w:rsidR="005C7A97">
      <w:footerReference w:type="default" r:id="rId17"/>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4BFD6" w14:textId="77777777" w:rsidR="003D4070" w:rsidRDefault="003D4070">
      <w:pPr>
        <w:spacing w:line="240" w:lineRule="auto"/>
      </w:pPr>
      <w:r>
        <w:separator/>
      </w:r>
    </w:p>
  </w:endnote>
  <w:endnote w:type="continuationSeparator" w:id="0">
    <w:p w14:paraId="2B413F92" w14:textId="77777777" w:rsidR="003D4070" w:rsidRDefault="003D40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한컴바탕">
    <w:altName w:val="Malgun Gothic"/>
    <w:charset w:val="81"/>
    <w:family w:val="roman"/>
    <w:pitch w:val="default"/>
  </w:font>
  <w:font w:name="굴 림">
    <w:altName w:val="Segoe Print"/>
    <w:charset w:val="00"/>
    <w:family w:val="auto"/>
    <w:pitch w:val="default"/>
  </w:font>
  <w:font w:name="ArialMT">
    <w:altName w:val="Times New Roman"/>
    <w:charset w:val="80"/>
    <w:family w:val="auto"/>
    <w:pitch w:val="default"/>
    <w:sig w:usb0="00000000" w:usb1="00000000" w:usb2="00000001" w:usb3="00000000" w:csb0="400001BF" w:csb1="DFF70000"/>
  </w:font>
  <w:font w:name="TimesNewRomanPSMT">
    <w:altName w:val="Times New Roman"/>
    <w:charset w:val="00"/>
    <w:family w:val="roman"/>
    <w:pitch w:val="default"/>
    <w:sig w:usb0="00000000"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LG스마트체 Light">
    <w:altName w:val="Malgun Gothic"/>
    <w:charset w:val="81"/>
    <w:family w:val="modern"/>
    <w:pitch w:val="default"/>
    <w:sig w:usb0="00000000" w:usb1="00000000" w:usb2="00000010" w:usb3="00000000" w:csb0="00280005" w:csb1="00000000"/>
  </w:font>
  <w:font w:name="Batang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070E1" w14:textId="77777777" w:rsidR="005C7A97" w:rsidRDefault="00EA498A">
    <w:pPr>
      <w:pStyle w:val="af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24504" w14:textId="77777777" w:rsidR="003D4070" w:rsidRDefault="003D4070">
      <w:pPr>
        <w:spacing w:after="0"/>
      </w:pPr>
      <w:r>
        <w:separator/>
      </w:r>
    </w:p>
  </w:footnote>
  <w:footnote w:type="continuationSeparator" w:id="0">
    <w:p w14:paraId="79988784" w14:textId="77777777" w:rsidR="003D4070" w:rsidRDefault="003D40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0FEF6694"/>
    <w:multiLevelType w:val="hybridMultilevel"/>
    <w:tmpl w:val="873ED436"/>
    <w:lvl w:ilvl="0" w:tplc="322061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EF33F0"/>
    <w:multiLevelType w:val="multilevel"/>
    <w:tmpl w:val="1CEF33F0"/>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7911A8A"/>
    <w:multiLevelType w:val="multilevel"/>
    <w:tmpl w:val="27911A8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9"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B653658"/>
    <w:multiLevelType w:val="multilevel"/>
    <w:tmpl w:val="4B6536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9"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5D0F4C"/>
    <w:multiLevelType w:val="multilevel"/>
    <w:tmpl w:val="775D0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 w15:restartNumberingAfterBreak="0">
    <w:nsid w:val="7F76298A"/>
    <w:multiLevelType w:val="multilevel"/>
    <w:tmpl w:val="7F76298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35"/>
  </w:num>
  <w:num w:numId="12">
    <w:abstractNumId w:val="53"/>
  </w:num>
  <w:num w:numId="13">
    <w:abstractNumId w:val="0"/>
  </w:num>
  <w:num w:numId="14">
    <w:abstractNumId w:val="62"/>
  </w:num>
  <w:num w:numId="15">
    <w:abstractNumId w:val="14"/>
  </w:num>
  <w:num w:numId="16">
    <w:abstractNumId w:val="34"/>
    <w:lvlOverride w:ilvl="0">
      <w:startOverride w:val="1"/>
    </w:lvlOverride>
  </w:num>
  <w:num w:numId="17">
    <w:abstractNumId w:val="45"/>
  </w:num>
  <w:num w:numId="18">
    <w:abstractNumId w:val="15"/>
  </w:num>
  <w:num w:numId="19">
    <w:abstractNumId w:val="36"/>
  </w:num>
  <w:num w:numId="20">
    <w:abstractNumId w:val="20"/>
  </w:num>
  <w:num w:numId="21">
    <w:abstractNumId w:val="12"/>
  </w:num>
  <w:num w:numId="22">
    <w:abstractNumId w:val="29"/>
  </w:num>
  <w:num w:numId="23">
    <w:abstractNumId w:val="46"/>
  </w:num>
  <w:num w:numId="24">
    <w:abstractNumId w:val="49"/>
  </w:num>
  <w:num w:numId="25">
    <w:abstractNumId w:val="54"/>
  </w:num>
  <w:num w:numId="26">
    <w:abstractNumId w:val="21"/>
  </w:num>
  <w:num w:numId="27">
    <w:abstractNumId w:val="48"/>
  </w:num>
  <w:num w:numId="28">
    <w:abstractNumId w:val="27"/>
  </w:num>
  <w:num w:numId="29">
    <w:abstractNumId w:val="61"/>
  </w:num>
  <w:num w:numId="30">
    <w:abstractNumId w:val="55"/>
  </w:num>
  <w:num w:numId="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56"/>
  </w:num>
  <w:num w:numId="34">
    <w:abstractNumId w:val="22"/>
  </w:num>
  <w:num w:numId="35">
    <w:abstractNumId w:val="26"/>
  </w:num>
  <w:num w:numId="36">
    <w:abstractNumId w:val="38"/>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50"/>
  </w:num>
  <w:num w:numId="40">
    <w:abstractNumId w:val="18"/>
  </w:num>
  <w:num w:numId="41">
    <w:abstractNumId w:val="57"/>
  </w:num>
  <w:num w:numId="42">
    <w:abstractNumId w:val="13"/>
  </w:num>
  <w:num w:numId="43">
    <w:abstractNumId w:val="41"/>
  </w:num>
  <w:num w:numId="44">
    <w:abstractNumId w:val="19"/>
  </w:num>
  <w:num w:numId="45">
    <w:abstractNumId w:val="25"/>
  </w:num>
  <w:num w:numId="46">
    <w:abstractNumId w:val="30"/>
  </w:num>
  <w:num w:numId="47">
    <w:abstractNumId w:val="63"/>
  </w:num>
  <w:num w:numId="48">
    <w:abstractNumId w:val="42"/>
  </w:num>
  <w:num w:numId="49">
    <w:abstractNumId w:val="59"/>
  </w:num>
  <w:num w:numId="50">
    <w:abstractNumId w:val="40"/>
  </w:num>
  <w:num w:numId="51">
    <w:abstractNumId w:val="47"/>
  </w:num>
  <w:num w:numId="52">
    <w:abstractNumId w:val="60"/>
  </w:num>
  <w:num w:numId="53">
    <w:abstractNumId w:val="31"/>
  </w:num>
  <w:num w:numId="54">
    <w:abstractNumId w:val="33"/>
  </w:num>
  <w:num w:numId="55">
    <w:abstractNumId w:val="32"/>
  </w:num>
  <w:num w:numId="56">
    <w:abstractNumId w:val="23"/>
  </w:num>
  <w:num w:numId="57">
    <w:abstractNumId w:val="52"/>
  </w:num>
  <w:num w:numId="58">
    <w:abstractNumId w:val="39"/>
  </w:num>
  <w:num w:numId="59">
    <w:abstractNumId w:val="44"/>
  </w:num>
  <w:num w:numId="60">
    <w:abstractNumId w:val="43"/>
  </w:num>
  <w:num w:numId="61">
    <w:abstractNumId w:val="58"/>
  </w:num>
  <w:num w:numId="62">
    <w:abstractNumId w:val="64"/>
  </w:num>
  <w:num w:numId="63">
    <w:abstractNumId w:val="17"/>
  </w:num>
  <w:num w:numId="64">
    <w:abstractNumId w:val="24"/>
  </w:num>
  <w:num w:numId="65">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5E3"/>
    <w:rsid w:val="000008C5"/>
    <w:rsid w:val="00000AAA"/>
    <w:rsid w:val="00000F0D"/>
    <w:rsid w:val="00001808"/>
    <w:rsid w:val="000022D5"/>
    <w:rsid w:val="00002984"/>
    <w:rsid w:val="0000306B"/>
    <w:rsid w:val="00003C9A"/>
    <w:rsid w:val="000052D5"/>
    <w:rsid w:val="000067F6"/>
    <w:rsid w:val="00006C9A"/>
    <w:rsid w:val="00006E3E"/>
    <w:rsid w:val="00007B72"/>
    <w:rsid w:val="00010592"/>
    <w:rsid w:val="00010E86"/>
    <w:rsid w:val="00011698"/>
    <w:rsid w:val="0001175E"/>
    <w:rsid w:val="000118B7"/>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2662"/>
    <w:rsid w:val="00023236"/>
    <w:rsid w:val="00023329"/>
    <w:rsid w:val="000234B5"/>
    <w:rsid w:val="0002392D"/>
    <w:rsid w:val="00023C4A"/>
    <w:rsid w:val="00024615"/>
    <w:rsid w:val="00024C7E"/>
    <w:rsid w:val="00025F53"/>
    <w:rsid w:val="000271AC"/>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2BF4"/>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A60"/>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5B6C"/>
    <w:rsid w:val="000673BA"/>
    <w:rsid w:val="00070003"/>
    <w:rsid w:val="0007145C"/>
    <w:rsid w:val="00073ED9"/>
    <w:rsid w:val="00074235"/>
    <w:rsid w:val="0007446A"/>
    <w:rsid w:val="00074784"/>
    <w:rsid w:val="00074C73"/>
    <w:rsid w:val="00074D47"/>
    <w:rsid w:val="00075571"/>
    <w:rsid w:val="00075E74"/>
    <w:rsid w:val="0007681D"/>
    <w:rsid w:val="00077198"/>
    <w:rsid w:val="0007760D"/>
    <w:rsid w:val="0008019C"/>
    <w:rsid w:val="00080512"/>
    <w:rsid w:val="00080E13"/>
    <w:rsid w:val="000829A9"/>
    <w:rsid w:val="00083A3A"/>
    <w:rsid w:val="00083EA0"/>
    <w:rsid w:val="0008401A"/>
    <w:rsid w:val="00084021"/>
    <w:rsid w:val="00085BE9"/>
    <w:rsid w:val="00085FAB"/>
    <w:rsid w:val="0008643D"/>
    <w:rsid w:val="00086C24"/>
    <w:rsid w:val="000874DE"/>
    <w:rsid w:val="00087768"/>
    <w:rsid w:val="00087F6F"/>
    <w:rsid w:val="00092F8D"/>
    <w:rsid w:val="000938C5"/>
    <w:rsid w:val="00094418"/>
    <w:rsid w:val="00094958"/>
    <w:rsid w:val="00095B19"/>
    <w:rsid w:val="000963B9"/>
    <w:rsid w:val="000973D9"/>
    <w:rsid w:val="000A0167"/>
    <w:rsid w:val="000A0994"/>
    <w:rsid w:val="000A0D2F"/>
    <w:rsid w:val="000A24B6"/>
    <w:rsid w:val="000A2578"/>
    <w:rsid w:val="000A2651"/>
    <w:rsid w:val="000A3535"/>
    <w:rsid w:val="000A3990"/>
    <w:rsid w:val="000A4032"/>
    <w:rsid w:val="000A4294"/>
    <w:rsid w:val="000A4B9A"/>
    <w:rsid w:val="000A5049"/>
    <w:rsid w:val="000A5329"/>
    <w:rsid w:val="000A5958"/>
    <w:rsid w:val="000A6586"/>
    <w:rsid w:val="000A65EA"/>
    <w:rsid w:val="000B063F"/>
    <w:rsid w:val="000B0AC4"/>
    <w:rsid w:val="000B41F7"/>
    <w:rsid w:val="000B4742"/>
    <w:rsid w:val="000B4A10"/>
    <w:rsid w:val="000B5766"/>
    <w:rsid w:val="000B60B8"/>
    <w:rsid w:val="000B62A0"/>
    <w:rsid w:val="000B71F7"/>
    <w:rsid w:val="000C0384"/>
    <w:rsid w:val="000C1103"/>
    <w:rsid w:val="000C19C6"/>
    <w:rsid w:val="000C264A"/>
    <w:rsid w:val="000C2F86"/>
    <w:rsid w:val="000C3339"/>
    <w:rsid w:val="000C448C"/>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81F"/>
    <w:rsid w:val="000D4960"/>
    <w:rsid w:val="000D58AB"/>
    <w:rsid w:val="000D5E29"/>
    <w:rsid w:val="000D6330"/>
    <w:rsid w:val="000D6732"/>
    <w:rsid w:val="000D72D9"/>
    <w:rsid w:val="000E074F"/>
    <w:rsid w:val="000E1518"/>
    <w:rsid w:val="000E3D06"/>
    <w:rsid w:val="000E4A99"/>
    <w:rsid w:val="000E5DE4"/>
    <w:rsid w:val="000E5EFE"/>
    <w:rsid w:val="000E6782"/>
    <w:rsid w:val="000E6AF6"/>
    <w:rsid w:val="000F08A1"/>
    <w:rsid w:val="000F12A7"/>
    <w:rsid w:val="000F1E5E"/>
    <w:rsid w:val="000F2888"/>
    <w:rsid w:val="000F2F80"/>
    <w:rsid w:val="000F3681"/>
    <w:rsid w:val="000F36E8"/>
    <w:rsid w:val="000F4A75"/>
    <w:rsid w:val="000F523F"/>
    <w:rsid w:val="000F6211"/>
    <w:rsid w:val="000F7139"/>
    <w:rsid w:val="000F717B"/>
    <w:rsid w:val="000F74D6"/>
    <w:rsid w:val="000F7C09"/>
    <w:rsid w:val="000F7E26"/>
    <w:rsid w:val="0010066B"/>
    <w:rsid w:val="00100DF3"/>
    <w:rsid w:val="00100E79"/>
    <w:rsid w:val="00101122"/>
    <w:rsid w:val="001015FC"/>
    <w:rsid w:val="001019E5"/>
    <w:rsid w:val="00102B0C"/>
    <w:rsid w:val="001033FE"/>
    <w:rsid w:val="00103D25"/>
    <w:rsid w:val="00105579"/>
    <w:rsid w:val="00106089"/>
    <w:rsid w:val="00110077"/>
    <w:rsid w:val="0011022B"/>
    <w:rsid w:val="00110BB6"/>
    <w:rsid w:val="00110BBE"/>
    <w:rsid w:val="0011244F"/>
    <w:rsid w:val="001134A6"/>
    <w:rsid w:val="001145D7"/>
    <w:rsid w:val="001146E6"/>
    <w:rsid w:val="00116195"/>
    <w:rsid w:val="001165A0"/>
    <w:rsid w:val="001170BB"/>
    <w:rsid w:val="00117211"/>
    <w:rsid w:val="00117ACE"/>
    <w:rsid w:val="001207C1"/>
    <w:rsid w:val="0012097E"/>
    <w:rsid w:val="00120CE5"/>
    <w:rsid w:val="00121756"/>
    <w:rsid w:val="0012179F"/>
    <w:rsid w:val="00122426"/>
    <w:rsid w:val="00122DC2"/>
    <w:rsid w:val="00124157"/>
    <w:rsid w:val="001249A9"/>
    <w:rsid w:val="00124DED"/>
    <w:rsid w:val="00125003"/>
    <w:rsid w:val="0012512D"/>
    <w:rsid w:val="001251ED"/>
    <w:rsid w:val="00126649"/>
    <w:rsid w:val="00126A9F"/>
    <w:rsid w:val="00126E26"/>
    <w:rsid w:val="00127EEF"/>
    <w:rsid w:val="0013018B"/>
    <w:rsid w:val="00130701"/>
    <w:rsid w:val="00130CFF"/>
    <w:rsid w:val="00131742"/>
    <w:rsid w:val="00131B6F"/>
    <w:rsid w:val="001320C8"/>
    <w:rsid w:val="001321FD"/>
    <w:rsid w:val="001326BD"/>
    <w:rsid w:val="00132E3C"/>
    <w:rsid w:val="00133061"/>
    <w:rsid w:val="00133525"/>
    <w:rsid w:val="00134677"/>
    <w:rsid w:val="001349C0"/>
    <w:rsid w:val="00134F12"/>
    <w:rsid w:val="0013580E"/>
    <w:rsid w:val="00135C2A"/>
    <w:rsid w:val="00135F1F"/>
    <w:rsid w:val="0013736E"/>
    <w:rsid w:val="00137BEC"/>
    <w:rsid w:val="00137C0B"/>
    <w:rsid w:val="001405C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6FFF"/>
    <w:rsid w:val="00147870"/>
    <w:rsid w:val="00150D02"/>
    <w:rsid w:val="00151588"/>
    <w:rsid w:val="00152963"/>
    <w:rsid w:val="00152A4A"/>
    <w:rsid w:val="00153417"/>
    <w:rsid w:val="00153517"/>
    <w:rsid w:val="001539DD"/>
    <w:rsid w:val="00154C19"/>
    <w:rsid w:val="00154D5D"/>
    <w:rsid w:val="00156272"/>
    <w:rsid w:val="00156ABF"/>
    <w:rsid w:val="00160355"/>
    <w:rsid w:val="00160398"/>
    <w:rsid w:val="00160E01"/>
    <w:rsid w:val="001610F6"/>
    <w:rsid w:val="00161CA8"/>
    <w:rsid w:val="001634DD"/>
    <w:rsid w:val="00163AF8"/>
    <w:rsid w:val="001646FC"/>
    <w:rsid w:val="00164D95"/>
    <w:rsid w:val="00166A49"/>
    <w:rsid w:val="00167325"/>
    <w:rsid w:val="001675EC"/>
    <w:rsid w:val="001679F6"/>
    <w:rsid w:val="00171533"/>
    <w:rsid w:val="001719D2"/>
    <w:rsid w:val="0017243E"/>
    <w:rsid w:val="00172523"/>
    <w:rsid w:val="00172B0C"/>
    <w:rsid w:val="00174FE7"/>
    <w:rsid w:val="00175494"/>
    <w:rsid w:val="00175C0F"/>
    <w:rsid w:val="00176A04"/>
    <w:rsid w:val="0018027D"/>
    <w:rsid w:val="0018094D"/>
    <w:rsid w:val="00180E24"/>
    <w:rsid w:val="00180FCE"/>
    <w:rsid w:val="00181F47"/>
    <w:rsid w:val="00182191"/>
    <w:rsid w:val="00182769"/>
    <w:rsid w:val="00182B6B"/>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7EC"/>
    <w:rsid w:val="00193802"/>
    <w:rsid w:val="00193B9C"/>
    <w:rsid w:val="0019443B"/>
    <w:rsid w:val="00194790"/>
    <w:rsid w:val="00194835"/>
    <w:rsid w:val="00194AC2"/>
    <w:rsid w:val="00195A6A"/>
    <w:rsid w:val="00195CBA"/>
    <w:rsid w:val="00196340"/>
    <w:rsid w:val="001972B3"/>
    <w:rsid w:val="00197F88"/>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BE9"/>
    <w:rsid w:val="001B2D5F"/>
    <w:rsid w:val="001B47F0"/>
    <w:rsid w:val="001B50CC"/>
    <w:rsid w:val="001B5C3F"/>
    <w:rsid w:val="001B5E5B"/>
    <w:rsid w:val="001B6637"/>
    <w:rsid w:val="001B78E0"/>
    <w:rsid w:val="001C08D3"/>
    <w:rsid w:val="001C2061"/>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111C"/>
    <w:rsid w:val="001E2D30"/>
    <w:rsid w:val="001E4DB2"/>
    <w:rsid w:val="001E535F"/>
    <w:rsid w:val="001E5576"/>
    <w:rsid w:val="001E646B"/>
    <w:rsid w:val="001E663E"/>
    <w:rsid w:val="001E6C3A"/>
    <w:rsid w:val="001E6CB3"/>
    <w:rsid w:val="001E747A"/>
    <w:rsid w:val="001E77B4"/>
    <w:rsid w:val="001F0213"/>
    <w:rsid w:val="001F0279"/>
    <w:rsid w:val="001F0498"/>
    <w:rsid w:val="001F0B09"/>
    <w:rsid w:val="001F0C1D"/>
    <w:rsid w:val="001F1132"/>
    <w:rsid w:val="001F168B"/>
    <w:rsid w:val="001F1AED"/>
    <w:rsid w:val="001F1F49"/>
    <w:rsid w:val="001F2A86"/>
    <w:rsid w:val="001F2DF2"/>
    <w:rsid w:val="001F2E1F"/>
    <w:rsid w:val="001F2E8A"/>
    <w:rsid w:val="001F30B4"/>
    <w:rsid w:val="001F30D8"/>
    <w:rsid w:val="001F3B65"/>
    <w:rsid w:val="001F3F8D"/>
    <w:rsid w:val="001F575B"/>
    <w:rsid w:val="001F62A1"/>
    <w:rsid w:val="001F695B"/>
    <w:rsid w:val="002003FB"/>
    <w:rsid w:val="00200A7D"/>
    <w:rsid w:val="0020108C"/>
    <w:rsid w:val="0020194D"/>
    <w:rsid w:val="00202728"/>
    <w:rsid w:val="00203109"/>
    <w:rsid w:val="002039CF"/>
    <w:rsid w:val="00203CEF"/>
    <w:rsid w:val="002066C1"/>
    <w:rsid w:val="002066E0"/>
    <w:rsid w:val="00207283"/>
    <w:rsid w:val="0020762F"/>
    <w:rsid w:val="00210422"/>
    <w:rsid w:val="00212007"/>
    <w:rsid w:val="0021256A"/>
    <w:rsid w:val="00212CDC"/>
    <w:rsid w:val="00212F1C"/>
    <w:rsid w:val="0021373F"/>
    <w:rsid w:val="002146FD"/>
    <w:rsid w:val="0021588C"/>
    <w:rsid w:val="00216355"/>
    <w:rsid w:val="0021676A"/>
    <w:rsid w:val="002169F7"/>
    <w:rsid w:val="002174D1"/>
    <w:rsid w:val="00217E00"/>
    <w:rsid w:val="0022065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27F45"/>
    <w:rsid w:val="002302AF"/>
    <w:rsid w:val="00230427"/>
    <w:rsid w:val="00230E1F"/>
    <w:rsid w:val="002319B4"/>
    <w:rsid w:val="00231CBC"/>
    <w:rsid w:val="00233D47"/>
    <w:rsid w:val="0023401C"/>
    <w:rsid w:val="002347A2"/>
    <w:rsid w:val="002347CD"/>
    <w:rsid w:val="00234DDF"/>
    <w:rsid w:val="00234FF9"/>
    <w:rsid w:val="00235505"/>
    <w:rsid w:val="00235F76"/>
    <w:rsid w:val="00236621"/>
    <w:rsid w:val="00240402"/>
    <w:rsid w:val="00241BBC"/>
    <w:rsid w:val="00242B95"/>
    <w:rsid w:val="00242C72"/>
    <w:rsid w:val="00243054"/>
    <w:rsid w:val="0024425D"/>
    <w:rsid w:val="002444C8"/>
    <w:rsid w:val="00244E4A"/>
    <w:rsid w:val="00246125"/>
    <w:rsid w:val="002474D6"/>
    <w:rsid w:val="002501CF"/>
    <w:rsid w:val="0025050D"/>
    <w:rsid w:val="0025062E"/>
    <w:rsid w:val="00250D8D"/>
    <w:rsid w:val="00250D96"/>
    <w:rsid w:val="00251CFE"/>
    <w:rsid w:val="00252F66"/>
    <w:rsid w:val="002539C4"/>
    <w:rsid w:val="002543AA"/>
    <w:rsid w:val="00254440"/>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67FA3"/>
    <w:rsid w:val="0027021A"/>
    <w:rsid w:val="00271C25"/>
    <w:rsid w:val="00271F5B"/>
    <w:rsid w:val="0027201D"/>
    <w:rsid w:val="00272762"/>
    <w:rsid w:val="0027361A"/>
    <w:rsid w:val="00273752"/>
    <w:rsid w:val="0027385D"/>
    <w:rsid w:val="00273D53"/>
    <w:rsid w:val="00274D78"/>
    <w:rsid w:val="00274E28"/>
    <w:rsid w:val="002760EE"/>
    <w:rsid w:val="00276291"/>
    <w:rsid w:val="00276894"/>
    <w:rsid w:val="0027695F"/>
    <w:rsid w:val="002777A9"/>
    <w:rsid w:val="00277B60"/>
    <w:rsid w:val="002800AB"/>
    <w:rsid w:val="00280F7A"/>
    <w:rsid w:val="00281F5D"/>
    <w:rsid w:val="00282465"/>
    <w:rsid w:val="00282669"/>
    <w:rsid w:val="00282D76"/>
    <w:rsid w:val="002835A4"/>
    <w:rsid w:val="0028400D"/>
    <w:rsid w:val="00284870"/>
    <w:rsid w:val="002858D6"/>
    <w:rsid w:val="00286531"/>
    <w:rsid w:val="00290425"/>
    <w:rsid w:val="00290747"/>
    <w:rsid w:val="002911D9"/>
    <w:rsid w:val="00291244"/>
    <w:rsid w:val="002916FD"/>
    <w:rsid w:val="00291878"/>
    <w:rsid w:val="00291D05"/>
    <w:rsid w:val="00291EB9"/>
    <w:rsid w:val="002937A1"/>
    <w:rsid w:val="002943E4"/>
    <w:rsid w:val="00294FE0"/>
    <w:rsid w:val="0029521D"/>
    <w:rsid w:val="0029576F"/>
    <w:rsid w:val="00295A64"/>
    <w:rsid w:val="002963FD"/>
    <w:rsid w:val="002964D0"/>
    <w:rsid w:val="0029651F"/>
    <w:rsid w:val="002965E5"/>
    <w:rsid w:val="00296A22"/>
    <w:rsid w:val="00296C3E"/>
    <w:rsid w:val="0029730C"/>
    <w:rsid w:val="00297DF9"/>
    <w:rsid w:val="002A07D1"/>
    <w:rsid w:val="002A40D4"/>
    <w:rsid w:val="002A5556"/>
    <w:rsid w:val="002A5870"/>
    <w:rsid w:val="002A6B86"/>
    <w:rsid w:val="002A72DB"/>
    <w:rsid w:val="002A7B06"/>
    <w:rsid w:val="002B0EE3"/>
    <w:rsid w:val="002B1277"/>
    <w:rsid w:val="002B1485"/>
    <w:rsid w:val="002B1BD5"/>
    <w:rsid w:val="002B235E"/>
    <w:rsid w:val="002B241E"/>
    <w:rsid w:val="002B246C"/>
    <w:rsid w:val="002B27B2"/>
    <w:rsid w:val="002B33BC"/>
    <w:rsid w:val="002B3E7F"/>
    <w:rsid w:val="002B401C"/>
    <w:rsid w:val="002B470A"/>
    <w:rsid w:val="002B4852"/>
    <w:rsid w:val="002B505D"/>
    <w:rsid w:val="002B5A48"/>
    <w:rsid w:val="002B5B74"/>
    <w:rsid w:val="002B5BD5"/>
    <w:rsid w:val="002B5E83"/>
    <w:rsid w:val="002B6339"/>
    <w:rsid w:val="002B6520"/>
    <w:rsid w:val="002B66B9"/>
    <w:rsid w:val="002B6765"/>
    <w:rsid w:val="002B680C"/>
    <w:rsid w:val="002B707B"/>
    <w:rsid w:val="002B7345"/>
    <w:rsid w:val="002C02F9"/>
    <w:rsid w:val="002C2630"/>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6D80"/>
    <w:rsid w:val="002E6F14"/>
    <w:rsid w:val="002E6F9A"/>
    <w:rsid w:val="002E7B29"/>
    <w:rsid w:val="002E7BE4"/>
    <w:rsid w:val="002E7F11"/>
    <w:rsid w:val="002F002F"/>
    <w:rsid w:val="002F0969"/>
    <w:rsid w:val="002F114E"/>
    <w:rsid w:val="002F2D30"/>
    <w:rsid w:val="002F3772"/>
    <w:rsid w:val="002F5BF5"/>
    <w:rsid w:val="002F5E85"/>
    <w:rsid w:val="002F6311"/>
    <w:rsid w:val="002F6D04"/>
    <w:rsid w:val="00300C58"/>
    <w:rsid w:val="00300DC2"/>
    <w:rsid w:val="003015B9"/>
    <w:rsid w:val="003016E3"/>
    <w:rsid w:val="003055CD"/>
    <w:rsid w:val="00305813"/>
    <w:rsid w:val="0030605F"/>
    <w:rsid w:val="003061A9"/>
    <w:rsid w:val="0030728C"/>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1F72"/>
    <w:rsid w:val="003324B4"/>
    <w:rsid w:val="00333630"/>
    <w:rsid w:val="0033365F"/>
    <w:rsid w:val="003340F4"/>
    <w:rsid w:val="0033453E"/>
    <w:rsid w:val="003355D0"/>
    <w:rsid w:val="00336BB6"/>
    <w:rsid w:val="00336DDF"/>
    <w:rsid w:val="00340356"/>
    <w:rsid w:val="00340A9A"/>
    <w:rsid w:val="003411F7"/>
    <w:rsid w:val="00341342"/>
    <w:rsid w:val="00341577"/>
    <w:rsid w:val="00341973"/>
    <w:rsid w:val="003421BD"/>
    <w:rsid w:val="00342378"/>
    <w:rsid w:val="003426A4"/>
    <w:rsid w:val="00342C59"/>
    <w:rsid w:val="00342E15"/>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4C0C"/>
    <w:rsid w:val="00355379"/>
    <w:rsid w:val="00355C8E"/>
    <w:rsid w:val="00356555"/>
    <w:rsid w:val="00356CBB"/>
    <w:rsid w:val="003571BA"/>
    <w:rsid w:val="00357279"/>
    <w:rsid w:val="00360146"/>
    <w:rsid w:val="00360234"/>
    <w:rsid w:val="003612E9"/>
    <w:rsid w:val="00362F42"/>
    <w:rsid w:val="00363429"/>
    <w:rsid w:val="00363915"/>
    <w:rsid w:val="00363F58"/>
    <w:rsid w:val="00363F5D"/>
    <w:rsid w:val="00364573"/>
    <w:rsid w:val="00364757"/>
    <w:rsid w:val="00364ADF"/>
    <w:rsid w:val="00364E77"/>
    <w:rsid w:val="003654A7"/>
    <w:rsid w:val="00365EC0"/>
    <w:rsid w:val="00371181"/>
    <w:rsid w:val="003723A7"/>
    <w:rsid w:val="00373D70"/>
    <w:rsid w:val="00374BFE"/>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2B7D"/>
    <w:rsid w:val="003830D9"/>
    <w:rsid w:val="00383CA5"/>
    <w:rsid w:val="00384478"/>
    <w:rsid w:val="003845ED"/>
    <w:rsid w:val="00384F8E"/>
    <w:rsid w:val="00385F36"/>
    <w:rsid w:val="00385F3B"/>
    <w:rsid w:val="00386A65"/>
    <w:rsid w:val="00387147"/>
    <w:rsid w:val="00387CFE"/>
    <w:rsid w:val="003907AD"/>
    <w:rsid w:val="003907E8"/>
    <w:rsid w:val="00391A41"/>
    <w:rsid w:val="00391EB6"/>
    <w:rsid w:val="003926E9"/>
    <w:rsid w:val="00393EEF"/>
    <w:rsid w:val="003951CD"/>
    <w:rsid w:val="00396ED2"/>
    <w:rsid w:val="00397540"/>
    <w:rsid w:val="0039784A"/>
    <w:rsid w:val="00397A74"/>
    <w:rsid w:val="003A08E9"/>
    <w:rsid w:val="003A0934"/>
    <w:rsid w:val="003A1C37"/>
    <w:rsid w:val="003A1E5F"/>
    <w:rsid w:val="003A2930"/>
    <w:rsid w:val="003A2DAB"/>
    <w:rsid w:val="003A3C56"/>
    <w:rsid w:val="003A48F0"/>
    <w:rsid w:val="003A4A6A"/>
    <w:rsid w:val="003A5195"/>
    <w:rsid w:val="003A6548"/>
    <w:rsid w:val="003A6D88"/>
    <w:rsid w:val="003B0979"/>
    <w:rsid w:val="003B0E48"/>
    <w:rsid w:val="003B10CF"/>
    <w:rsid w:val="003B1E66"/>
    <w:rsid w:val="003B25FF"/>
    <w:rsid w:val="003B2956"/>
    <w:rsid w:val="003B2CA0"/>
    <w:rsid w:val="003B33B7"/>
    <w:rsid w:val="003B395E"/>
    <w:rsid w:val="003B3EC6"/>
    <w:rsid w:val="003B405A"/>
    <w:rsid w:val="003B4AD8"/>
    <w:rsid w:val="003B4C09"/>
    <w:rsid w:val="003B6AE6"/>
    <w:rsid w:val="003B791D"/>
    <w:rsid w:val="003B7E56"/>
    <w:rsid w:val="003C079E"/>
    <w:rsid w:val="003C07C5"/>
    <w:rsid w:val="003C0F27"/>
    <w:rsid w:val="003C0FAD"/>
    <w:rsid w:val="003C189E"/>
    <w:rsid w:val="003C2A92"/>
    <w:rsid w:val="003C3971"/>
    <w:rsid w:val="003C5C20"/>
    <w:rsid w:val="003C74D3"/>
    <w:rsid w:val="003D00B8"/>
    <w:rsid w:val="003D0612"/>
    <w:rsid w:val="003D065C"/>
    <w:rsid w:val="003D0F4D"/>
    <w:rsid w:val="003D14B2"/>
    <w:rsid w:val="003D182C"/>
    <w:rsid w:val="003D21FD"/>
    <w:rsid w:val="003D27E7"/>
    <w:rsid w:val="003D33F1"/>
    <w:rsid w:val="003D3EE5"/>
    <w:rsid w:val="003D4070"/>
    <w:rsid w:val="003D41B8"/>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2EE"/>
    <w:rsid w:val="003F1367"/>
    <w:rsid w:val="003F163E"/>
    <w:rsid w:val="003F1945"/>
    <w:rsid w:val="003F211A"/>
    <w:rsid w:val="003F2D81"/>
    <w:rsid w:val="003F319C"/>
    <w:rsid w:val="003F336C"/>
    <w:rsid w:val="003F3601"/>
    <w:rsid w:val="003F435C"/>
    <w:rsid w:val="003F460E"/>
    <w:rsid w:val="003F5321"/>
    <w:rsid w:val="003F57D6"/>
    <w:rsid w:val="003F5A1A"/>
    <w:rsid w:val="003F5C34"/>
    <w:rsid w:val="003F6B07"/>
    <w:rsid w:val="003F79FB"/>
    <w:rsid w:val="00401BE7"/>
    <w:rsid w:val="00401F28"/>
    <w:rsid w:val="00403256"/>
    <w:rsid w:val="00403423"/>
    <w:rsid w:val="004042F3"/>
    <w:rsid w:val="00404885"/>
    <w:rsid w:val="00404CCB"/>
    <w:rsid w:val="00405231"/>
    <w:rsid w:val="0040545C"/>
    <w:rsid w:val="00406018"/>
    <w:rsid w:val="0040668C"/>
    <w:rsid w:val="00406E14"/>
    <w:rsid w:val="0040708D"/>
    <w:rsid w:val="004076C8"/>
    <w:rsid w:val="004077E7"/>
    <w:rsid w:val="00407929"/>
    <w:rsid w:val="00407C3B"/>
    <w:rsid w:val="00411367"/>
    <w:rsid w:val="004115A7"/>
    <w:rsid w:val="00411FD2"/>
    <w:rsid w:val="0041231E"/>
    <w:rsid w:val="0041267C"/>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85A"/>
    <w:rsid w:val="00432C9E"/>
    <w:rsid w:val="004330BF"/>
    <w:rsid w:val="00433188"/>
    <w:rsid w:val="0043323F"/>
    <w:rsid w:val="00433BCA"/>
    <w:rsid w:val="00433D7F"/>
    <w:rsid w:val="004345EC"/>
    <w:rsid w:val="00434629"/>
    <w:rsid w:val="00435702"/>
    <w:rsid w:val="004361BA"/>
    <w:rsid w:val="00436C84"/>
    <w:rsid w:val="0044062E"/>
    <w:rsid w:val="004407F3"/>
    <w:rsid w:val="004419BE"/>
    <w:rsid w:val="00441A5D"/>
    <w:rsid w:val="00441AED"/>
    <w:rsid w:val="0044259B"/>
    <w:rsid w:val="00442BB3"/>
    <w:rsid w:val="00443767"/>
    <w:rsid w:val="00443B4F"/>
    <w:rsid w:val="00443F90"/>
    <w:rsid w:val="00444E66"/>
    <w:rsid w:val="0044572B"/>
    <w:rsid w:val="004458C8"/>
    <w:rsid w:val="00445A2A"/>
    <w:rsid w:val="00450053"/>
    <w:rsid w:val="00450509"/>
    <w:rsid w:val="004506C5"/>
    <w:rsid w:val="004508A8"/>
    <w:rsid w:val="004508B9"/>
    <w:rsid w:val="00451BA0"/>
    <w:rsid w:val="00453DB5"/>
    <w:rsid w:val="00454E86"/>
    <w:rsid w:val="00454F19"/>
    <w:rsid w:val="00455242"/>
    <w:rsid w:val="00455464"/>
    <w:rsid w:val="004561BC"/>
    <w:rsid w:val="0045673E"/>
    <w:rsid w:val="00456B7E"/>
    <w:rsid w:val="00456BAE"/>
    <w:rsid w:val="0045745B"/>
    <w:rsid w:val="0045767F"/>
    <w:rsid w:val="0046047D"/>
    <w:rsid w:val="0046131B"/>
    <w:rsid w:val="004613F5"/>
    <w:rsid w:val="004622D1"/>
    <w:rsid w:val="00462C19"/>
    <w:rsid w:val="00463374"/>
    <w:rsid w:val="00463541"/>
    <w:rsid w:val="0046383B"/>
    <w:rsid w:val="00463BE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43D6"/>
    <w:rsid w:val="004855EC"/>
    <w:rsid w:val="00486168"/>
    <w:rsid w:val="0048727F"/>
    <w:rsid w:val="00487A1F"/>
    <w:rsid w:val="00487C02"/>
    <w:rsid w:val="0049016F"/>
    <w:rsid w:val="00490704"/>
    <w:rsid w:val="00490D13"/>
    <w:rsid w:val="004915BC"/>
    <w:rsid w:val="00492200"/>
    <w:rsid w:val="004936C8"/>
    <w:rsid w:val="00494E3A"/>
    <w:rsid w:val="004951DE"/>
    <w:rsid w:val="00495B44"/>
    <w:rsid w:val="00495EFC"/>
    <w:rsid w:val="0049675B"/>
    <w:rsid w:val="00496CE9"/>
    <w:rsid w:val="0049751D"/>
    <w:rsid w:val="004976F4"/>
    <w:rsid w:val="004978F3"/>
    <w:rsid w:val="00497C6C"/>
    <w:rsid w:val="00497EF3"/>
    <w:rsid w:val="004A0AD3"/>
    <w:rsid w:val="004A0CAB"/>
    <w:rsid w:val="004A2A17"/>
    <w:rsid w:val="004A2DD5"/>
    <w:rsid w:val="004A3B60"/>
    <w:rsid w:val="004A4558"/>
    <w:rsid w:val="004A4A49"/>
    <w:rsid w:val="004A4F1F"/>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1C3"/>
    <w:rsid w:val="004C5263"/>
    <w:rsid w:val="004C5793"/>
    <w:rsid w:val="004C5954"/>
    <w:rsid w:val="004C6927"/>
    <w:rsid w:val="004C6937"/>
    <w:rsid w:val="004C6966"/>
    <w:rsid w:val="004C73CC"/>
    <w:rsid w:val="004C76A4"/>
    <w:rsid w:val="004C7744"/>
    <w:rsid w:val="004C7BC8"/>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1B38"/>
    <w:rsid w:val="004E2058"/>
    <w:rsid w:val="004E213A"/>
    <w:rsid w:val="004E2145"/>
    <w:rsid w:val="004E26DA"/>
    <w:rsid w:val="004E3395"/>
    <w:rsid w:val="004E33DF"/>
    <w:rsid w:val="004E3B62"/>
    <w:rsid w:val="004E3E00"/>
    <w:rsid w:val="004E4708"/>
    <w:rsid w:val="004E6005"/>
    <w:rsid w:val="004E6F69"/>
    <w:rsid w:val="004E7020"/>
    <w:rsid w:val="004E7951"/>
    <w:rsid w:val="004F0988"/>
    <w:rsid w:val="004F1163"/>
    <w:rsid w:val="004F1708"/>
    <w:rsid w:val="004F170C"/>
    <w:rsid w:val="004F1C7A"/>
    <w:rsid w:val="004F2C22"/>
    <w:rsid w:val="004F2EBB"/>
    <w:rsid w:val="004F3094"/>
    <w:rsid w:val="004F3135"/>
    <w:rsid w:val="004F3340"/>
    <w:rsid w:val="004F3C64"/>
    <w:rsid w:val="004F3EB4"/>
    <w:rsid w:val="004F4D26"/>
    <w:rsid w:val="004F5588"/>
    <w:rsid w:val="004F58B7"/>
    <w:rsid w:val="004F5D0D"/>
    <w:rsid w:val="004F6A14"/>
    <w:rsid w:val="00501084"/>
    <w:rsid w:val="005015E0"/>
    <w:rsid w:val="00501E77"/>
    <w:rsid w:val="00502A23"/>
    <w:rsid w:val="00502F2C"/>
    <w:rsid w:val="00503825"/>
    <w:rsid w:val="00503998"/>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1CD9"/>
    <w:rsid w:val="0052277B"/>
    <w:rsid w:val="00522C40"/>
    <w:rsid w:val="00523019"/>
    <w:rsid w:val="00523712"/>
    <w:rsid w:val="005243A7"/>
    <w:rsid w:val="00525266"/>
    <w:rsid w:val="00525C56"/>
    <w:rsid w:val="0052612F"/>
    <w:rsid w:val="005307D7"/>
    <w:rsid w:val="00530F9B"/>
    <w:rsid w:val="0053127A"/>
    <w:rsid w:val="005324C3"/>
    <w:rsid w:val="00533182"/>
    <w:rsid w:val="0053341F"/>
    <w:rsid w:val="0053388B"/>
    <w:rsid w:val="00534CA1"/>
    <w:rsid w:val="0053513E"/>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37E"/>
    <w:rsid w:val="005515A6"/>
    <w:rsid w:val="00552569"/>
    <w:rsid w:val="00553491"/>
    <w:rsid w:val="00553F0C"/>
    <w:rsid w:val="005546C2"/>
    <w:rsid w:val="00554A78"/>
    <w:rsid w:val="00555BF3"/>
    <w:rsid w:val="00555E11"/>
    <w:rsid w:val="0055648C"/>
    <w:rsid w:val="00556506"/>
    <w:rsid w:val="00556642"/>
    <w:rsid w:val="00556B89"/>
    <w:rsid w:val="00556C4D"/>
    <w:rsid w:val="005571BB"/>
    <w:rsid w:val="005573B5"/>
    <w:rsid w:val="00557B4A"/>
    <w:rsid w:val="00557D60"/>
    <w:rsid w:val="00561E13"/>
    <w:rsid w:val="00562692"/>
    <w:rsid w:val="005629CB"/>
    <w:rsid w:val="0056343C"/>
    <w:rsid w:val="005647B4"/>
    <w:rsid w:val="00564D1B"/>
    <w:rsid w:val="00565087"/>
    <w:rsid w:val="005658EF"/>
    <w:rsid w:val="00566787"/>
    <w:rsid w:val="00566886"/>
    <w:rsid w:val="00567A84"/>
    <w:rsid w:val="00567E45"/>
    <w:rsid w:val="00571859"/>
    <w:rsid w:val="00571CA7"/>
    <w:rsid w:val="00572468"/>
    <w:rsid w:val="00572A38"/>
    <w:rsid w:val="005738B8"/>
    <w:rsid w:val="005739EE"/>
    <w:rsid w:val="005740C2"/>
    <w:rsid w:val="00577088"/>
    <w:rsid w:val="0057776D"/>
    <w:rsid w:val="00577AAE"/>
    <w:rsid w:val="00581E09"/>
    <w:rsid w:val="00582D1B"/>
    <w:rsid w:val="00582FBB"/>
    <w:rsid w:val="00583163"/>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3"/>
    <w:rsid w:val="005954CB"/>
    <w:rsid w:val="0059734B"/>
    <w:rsid w:val="00597B11"/>
    <w:rsid w:val="00597B5D"/>
    <w:rsid w:val="005A00A1"/>
    <w:rsid w:val="005A0122"/>
    <w:rsid w:val="005A12EE"/>
    <w:rsid w:val="005A2AA3"/>
    <w:rsid w:val="005A2B69"/>
    <w:rsid w:val="005A3496"/>
    <w:rsid w:val="005A3B56"/>
    <w:rsid w:val="005A4E0C"/>
    <w:rsid w:val="005A50DD"/>
    <w:rsid w:val="005A5689"/>
    <w:rsid w:val="005A5EF5"/>
    <w:rsid w:val="005A6273"/>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A97"/>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D7860"/>
    <w:rsid w:val="005E052F"/>
    <w:rsid w:val="005E0E99"/>
    <w:rsid w:val="005E12C1"/>
    <w:rsid w:val="005E2374"/>
    <w:rsid w:val="005E2DB5"/>
    <w:rsid w:val="005E3DEB"/>
    <w:rsid w:val="005E4BB2"/>
    <w:rsid w:val="005E4BDD"/>
    <w:rsid w:val="005E5269"/>
    <w:rsid w:val="005E586F"/>
    <w:rsid w:val="005E5F09"/>
    <w:rsid w:val="005E786E"/>
    <w:rsid w:val="005E78C9"/>
    <w:rsid w:val="005E7CAA"/>
    <w:rsid w:val="005F056D"/>
    <w:rsid w:val="005F0A20"/>
    <w:rsid w:val="005F17B8"/>
    <w:rsid w:val="005F1AE5"/>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1729A"/>
    <w:rsid w:val="00621F8B"/>
    <w:rsid w:val="00622852"/>
    <w:rsid w:val="00623659"/>
    <w:rsid w:val="00623AF3"/>
    <w:rsid w:val="0062452C"/>
    <w:rsid w:val="006247DA"/>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60B"/>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5B93"/>
    <w:rsid w:val="00655C69"/>
    <w:rsid w:val="00657598"/>
    <w:rsid w:val="00657933"/>
    <w:rsid w:val="00660495"/>
    <w:rsid w:val="006606EA"/>
    <w:rsid w:val="00661855"/>
    <w:rsid w:val="00661C30"/>
    <w:rsid w:val="006652F6"/>
    <w:rsid w:val="00665F73"/>
    <w:rsid w:val="00666947"/>
    <w:rsid w:val="00670C0E"/>
    <w:rsid w:val="00673387"/>
    <w:rsid w:val="00673AB6"/>
    <w:rsid w:val="00674FA8"/>
    <w:rsid w:val="0067510E"/>
    <w:rsid w:val="006751FF"/>
    <w:rsid w:val="00675A77"/>
    <w:rsid w:val="00675E8D"/>
    <w:rsid w:val="00676753"/>
    <w:rsid w:val="00676E39"/>
    <w:rsid w:val="006818ED"/>
    <w:rsid w:val="006819D8"/>
    <w:rsid w:val="00681B69"/>
    <w:rsid w:val="00681DEF"/>
    <w:rsid w:val="0068202F"/>
    <w:rsid w:val="0068221A"/>
    <w:rsid w:val="0068397B"/>
    <w:rsid w:val="00683BC3"/>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70B"/>
    <w:rsid w:val="006A4A03"/>
    <w:rsid w:val="006A4A87"/>
    <w:rsid w:val="006A5847"/>
    <w:rsid w:val="006A5C5E"/>
    <w:rsid w:val="006A6194"/>
    <w:rsid w:val="006A654A"/>
    <w:rsid w:val="006B0318"/>
    <w:rsid w:val="006B1D09"/>
    <w:rsid w:val="006B22D1"/>
    <w:rsid w:val="006B30D0"/>
    <w:rsid w:val="006B5B92"/>
    <w:rsid w:val="006B651A"/>
    <w:rsid w:val="006B7593"/>
    <w:rsid w:val="006B7650"/>
    <w:rsid w:val="006C0285"/>
    <w:rsid w:val="006C1376"/>
    <w:rsid w:val="006C1822"/>
    <w:rsid w:val="006C37DB"/>
    <w:rsid w:val="006C3AD6"/>
    <w:rsid w:val="006C3D95"/>
    <w:rsid w:val="006C4F1B"/>
    <w:rsid w:val="006C533C"/>
    <w:rsid w:val="006C5ACA"/>
    <w:rsid w:val="006C5F4B"/>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013"/>
    <w:rsid w:val="006E71D8"/>
    <w:rsid w:val="006E7F35"/>
    <w:rsid w:val="006F005B"/>
    <w:rsid w:val="006F0F9A"/>
    <w:rsid w:val="006F1044"/>
    <w:rsid w:val="006F1F49"/>
    <w:rsid w:val="006F3D8F"/>
    <w:rsid w:val="006F46FB"/>
    <w:rsid w:val="006F4CE6"/>
    <w:rsid w:val="006F5C2B"/>
    <w:rsid w:val="006F5F19"/>
    <w:rsid w:val="006F71DC"/>
    <w:rsid w:val="006F776C"/>
    <w:rsid w:val="006F77EB"/>
    <w:rsid w:val="007003D4"/>
    <w:rsid w:val="00701116"/>
    <w:rsid w:val="00701948"/>
    <w:rsid w:val="00701F1D"/>
    <w:rsid w:val="007023A9"/>
    <w:rsid w:val="00702843"/>
    <w:rsid w:val="00702FD7"/>
    <w:rsid w:val="0070301C"/>
    <w:rsid w:val="0070329F"/>
    <w:rsid w:val="00703890"/>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756"/>
    <w:rsid w:val="007178A4"/>
    <w:rsid w:val="007209BD"/>
    <w:rsid w:val="00720D2D"/>
    <w:rsid w:val="007211D3"/>
    <w:rsid w:val="007223FB"/>
    <w:rsid w:val="0072294B"/>
    <w:rsid w:val="007237C8"/>
    <w:rsid w:val="00723F7F"/>
    <w:rsid w:val="007241AE"/>
    <w:rsid w:val="00724A5C"/>
    <w:rsid w:val="007250F0"/>
    <w:rsid w:val="00726232"/>
    <w:rsid w:val="00727C26"/>
    <w:rsid w:val="00727F0A"/>
    <w:rsid w:val="00731D30"/>
    <w:rsid w:val="007322AA"/>
    <w:rsid w:val="007323E4"/>
    <w:rsid w:val="00732891"/>
    <w:rsid w:val="00732F94"/>
    <w:rsid w:val="0073349B"/>
    <w:rsid w:val="007340E4"/>
    <w:rsid w:val="00734507"/>
    <w:rsid w:val="00734781"/>
    <w:rsid w:val="00734A5B"/>
    <w:rsid w:val="00735237"/>
    <w:rsid w:val="007364DA"/>
    <w:rsid w:val="0073682F"/>
    <w:rsid w:val="00740181"/>
    <w:rsid w:val="0074026F"/>
    <w:rsid w:val="00742223"/>
    <w:rsid w:val="007429F6"/>
    <w:rsid w:val="0074344F"/>
    <w:rsid w:val="007436C9"/>
    <w:rsid w:val="0074384F"/>
    <w:rsid w:val="00744192"/>
    <w:rsid w:val="00744445"/>
    <w:rsid w:val="00744A94"/>
    <w:rsid w:val="00744C10"/>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6A08"/>
    <w:rsid w:val="00757661"/>
    <w:rsid w:val="00757670"/>
    <w:rsid w:val="00760661"/>
    <w:rsid w:val="00761B7A"/>
    <w:rsid w:val="0076222B"/>
    <w:rsid w:val="0076267C"/>
    <w:rsid w:val="007641E9"/>
    <w:rsid w:val="00764B6B"/>
    <w:rsid w:val="00765EA3"/>
    <w:rsid w:val="00766310"/>
    <w:rsid w:val="00766317"/>
    <w:rsid w:val="007670AA"/>
    <w:rsid w:val="00767C7F"/>
    <w:rsid w:val="00767D71"/>
    <w:rsid w:val="0077044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281F"/>
    <w:rsid w:val="00793806"/>
    <w:rsid w:val="00793B46"/>
    <w:rsid w:val="00793F82"/>
    <w:rsid w:val="0079537A"/>
    <w:rsid w:val="00796056"/>
    <w:rsid w:val="0079650A"/>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B75F0"/>
    <w:rsid w:val="007C0073"/>
    <w:rsid w:val="007C1AD7"/>
    <w:rsid w:val="007C1BC7"/>
    <w:rsid w:val="007C4C03"/>
    <w:rsid w:val="007C5478"/>
    <w:rsid w:val="007C5D36"/>
    <w:rsid w:val="007C5FE2"/>
    <w:rsid w:val="007C61BB"/>
    <w:rsid w:val="007D155A"/>
    <w:rsid w:val="007D1D36"/>
    <w:rsid w:val="007D37AC"/>
    <w:rsid w:val="007D3ADC"/>
    <w:rsid w:val="007D3F47"/>
    <w:rsid w:val="007D3FB5"/>
    <w:rsid w:val="007D4FED"/>
    <w:rsid w:val="007D50AB"/>
    <w:rsid w:val="007D5A8A"/>
    <w:rsid w:val="007D5AF6"/>
    <w:rsid w:val="007D67F2"/>
    <w:rsid w:val="007D6F0C"/>
    <w:rsid w:val="007D7460"/>
    <w:rsid w:val="007D774A"/>
    <w:rsid w:val="007E0283"/>
    <w:rsid w:val="007E0A36"/>
    <w:rsid w:val="007E1952"/>
    <w:rsid w:val="007E1AF0"/>
    <w:rsid w:val="007E1D9B"/>
    <w:rsid w:val="007E2152"/>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19CB"/>
    <w:rsid w:val="008028A4"/>
    <w:rsid w:val="00803364"/>
    <w:rsid w:val="00804A6A"/>
    <w:rsid w:val="00804AC6"/>
    <w:rsid w:val="00805200"/>
    <w:rsid w:val="008057D6"/>
    <w:rsid w:val="00805BFB"/>
    <w:rsid w:val="00806AFA"/>
    <w:rsid w:val="00806EB6"/>
    <w:rsid w:val="00807403"/>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6D"/>
    <w:rsid w:val="00826E76"/>
    <w:rsid w:val="00830354"/>
    <w:rsid w:val="00830747"/>
    <w:rsid w:val="008323A7"/>
    <w:rsid w:val="008327A6"/>
    <w:rsid w:val="0083375C"/>
    <w:rsid w:val="008349CE"/>
    <w:rsid w:val="00835546"/>
    <w:rsid w:val="008361BD"/>
    <w:rsid w:val="0084078C"/>
    <w:rsid w:val="00841D06"/>
    <w:rsid w:val="00842CD0"/>
    <w:rsid w:val="00842CE5"/>
    <w:rsid w:val="008431AB"/>
    <w:rsid w:val="00843270"/>
    <w:rsid w:val="008432A5"/>
    <w:rsid w:val="00843A16"/>
    <w:rsid w:val="008453C7"/>
    <w:rsid w:val="00845A91"/>
    <w:rsid w:val="00846E2D"/>
    <w:rsid w:val="008474EE"/>
    <w:rsid w:val="00847555"/>
    <w:rsid w:val="00847587"/>
    <w:rsid w:val="00847641"/>
    <w:rsid w:val="008478FF"/>
    <w:rsid w:val="00847992"/>
    <w:rsid w:val="00847BFB"/>
    <w:rsid w:val="0085023A"/>
    <w:rsid w:val="00850947"/>
    <w:rsid w:val="0085291A"/>
    <w:rsid w:val="00852E27"/>
    <w:rsid w:val="008530A3"/>
    <w:rsid w:val="00853978"/>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114"/>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031"/>
    <w:rsid w:val="00885870"/>
    <w:rsid w:val="0088696B"/>
    <w:rsid w:val="00886C39"/>
    <w:rsid w:val="00886EEE"/>
    <w:rsid w:val="00887485"/>
    <w:rsid w:val="00890B0E"/>
    <w:rsid w:val="00890E55"/>
    <w:rsid w:val="00891033"/>
    <w:rsid w:val="00892563"/>
    <w:rsid w:val="00892E5F"/>
    <w:rsid w:val="0089303B"/>
    <w:rsid w:val="00894E29"/>
    <w:rsid w:val="008956F9"/>
    <w:rsid w:val="0089664E"/>
    <w:rsid w:val="00896E10"/>
    <w:rsid w:val="008975F0"/>
    <w:rsid w:val="0089767A"/>
    <w:rsid w:val="008A1077"/>
    <w:rsid w:val="008A2EB0"/>
    <w:rsid w:val="008A34B9"/>
    <w:rsid w:val="008A3EC4"/>
    <w:rsid w:val="008A6A42"/>
    <w:rsid w:val="008A6CD4"/>
    <w:rsid w:val="008A72DE"/>
    <w:rsid w:val="008A755A"/>
    <w:rsid w:val="008A7936"/>
    <w:rsid w:val="008B0CE8"/>
    <w:rsid w:val="008B12A1"/>
    <w:rsid w:val="008B1E62"/>
    <w:rsid w:val="008B2700"/>
    <w:rsid w:val="008B2E96"/>
    <w:rsid w:val="008B37FD"/>
    <w:rsid w:val="008B4440"/>
    <w:rsid w:val="008B44A9"/>
    <w:rsid w:val="008B4A15"/>
    <w:rsid w:val="008B5289"/>
    <w:rsid w:val="008B63E7"/>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B28"/>
    <w:rsid w:val="008C4FB4"/>
    <w:rsid w:val="008C5B54"/>
    <w:rsid w:val="008C7231"/>
    <w:rsid w:val="008C7BFA"/>
    <w:rsid w:val="008D13C4"/>
    <w:rsid w:val="008D2267"/>
    <w:rsid w:val="008D29DA"/>
    <w:rsid w:val="008D2CB1"/>
    <w:rsid w:val="008D313E"/>
    <w:rsid w:val="008D3472"/>
    <w:rsid w:val="008D35AE"/>
    <w:rsid w:val="008D385B"/>
    <w:rsid w:val="008D38D5"/>
    <w:rsid w:val="008D50A4"/>
    <w:rsid w:val="008D56CE"/>
    <w:rsid w:val="008D5730"/>
    <w:rsid w:val="008D6E9E"/>
    <w:rsid w:val="008E0680"/>
    <w:rsid w:val="008E0AD5"/>
    <w:rsid w:val="008E0E60"/>
    <w:rsid w:val="008E1FB0"/>
    <w:rsid w:val="008E2D68"/>
    <w:rsid w:val="008E2EDB"/>
    <w:rsid w:val="008E345B"/>
    <w:rsid w:val="008E3DC6"/>
    <w:rsid w:val="008E49B7"/>
    <w:rsid w:val="008E5A13"/>
    <w:rsid w:val="008E6756"/>
    <w:rsid w:val="008E7509"/>
    <w:rsid w:val="008E77A4"/>
    <w:rsid w:val="008E7F6B"/>
    <w:rsid w:val="008F2DF0"/>
    <w:rsid w:val="008F2E4E"/>
    <w:rsid w:val="008F311C"/>
    <w:rsid w:val="008F3A87"/>
    <w:rsid w:val="008F3B87"/>
    <w:rsid w:val="008F4CF2"/>
    <w:rsid w:val="008F4DDE"/>
    <w:rsid w:val="008F58D1"/>
    <w:rsid w:val="008F6A35"/>
    <w:rsid w:val="008F6A67"/>
    <w:rsid w:val="00900286"/>
    <w:rsid w:val="00901095"/>
    <w:rsid w:val="009012CF"/>
    <w:rsid w:val="00901475"/>
    <w:rsid w:val="0090271F"/>
    <w:rsid w:val="00902E23"/>
    <w:rsid w:val="009031AB"/>
    <w:rsid w:val="00903C0C"/>
    <w:rsid w:val="00903F0B"/>
    <w:rsid w:val="00905021"/>
    <w:rsid w:val="00905B13"/>
    <w:rsid w:val="0090673C"/>
    <w:rsid w:val="00906AC7"/>
    <w:rsid w:val="00907C0A"/>
    <w:rsid w:val="00907F14"/>
    <w:rsid w:val="00910873"/>
    <w:rsid w:val="00910AC1"/>
    <w:rsid w:val="009111A4"/>
    <w:rsid w:val="009114D7"/>
    <w:rsid w:val="00911B5B"/>
    <w:rsid w:val="0091348E"/>
    <w:rsid w:val="009134A2"/>
    <w:rsid w:val="00913E40"/>
    <w:rsid w:val="00914A88"/>
    <w:rsid w:val="00915044"/>
    <w:rsid w:val="009162A2"/>
    <w:rsid w:val="0091692E"/>
    <w:rsid w:val="00917CCB"/>
    <w:rsid w:val="00917D1D"/>
    <w:rsid w:val="00917FA8"/>
    <w:rsid w:val="009200FC"/>
    <w:rsid w:val="009205C7"/>
    <w:rsid w:val="00920C07"/>
    <w:rsid w:val="00921A72"/>
    <w:rsid w:val="009220D6"/>
    <w:rsid w:val="00922C9A"/>
    <w:rsid w:val="00922EBE"/>
    <w:rsid w:val="0092327D"/>
    <w:rsid w:val="00923329"/>
    <w:rsid w:val="00923992"/>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6D83"/>
    <w:rsid w:val="0094702E"/>
    <w:rsid w:val="00947665"/>
    <w:rsid w:val="00947E46"/>
    <w:rsid w:val="00950647"/>
    <w:rsid w:val="009521AE"/>
    <w:rsid w:val="00952634"/>
    <w:rsid w:val="00952796"/>
    <w:rsid w:val="00952C2F"/>
    <w:rsid w:val="00952C6E"/>
    <w:rsid w:val="00953780"/>
    <w:rsid w:val="009550EC"/>
    <w:rsid w:val="009551ED"/>
    <w:rsid w:val="009555D4"/>
    <w:rsid w:val="00955CA5"/>
    <w:rsid w:val="0095676C"/>
    <w:rsid w:val="00957125"/>
    <w:rsid w:val="0095774C"/>
    <w:rsid w:val="009578BA"/>
    <w:rsid w:val="00957B38"/>
    <w:rsid w:val="00960F6A"/>
    <w:rsid w:val="009621CE"/>
    <w:rsid w:val="00962525"/>
    <w:rsid w:val="009629BC"/>
    <w:rsid w:val="00963BEC"/>
    <w:rsid w:val="00964600"/>
    <w:rsid w:val="0096486F"/>
    <w:rsid w:val="00964CDB"/>
    <w:rsid w:val="009660BC"/>
    <w:rsid w:val="0096647A"/>
    <w:rsid w:val="009670B5"/>
    <w:rsid w:val="00967645"/>
    <w:rsid w:val="009677B1"/>
    <w:rsid w:val="00970FCD"/>
    <w:rsid w:val="00972052"/>
    <w:rsid w:val="0097280B"/>
    <w:rsid w:val="00972B7F"/>
    <w:rsid w:val="00972E0A"/>
    <w:rsid w:val="009734D2"/>
    <w:rsid w:val="00973704"/>
    <w:rsid w:val="00973D01"/>
    <w:rsid w:val="00974710"/>
    <w:rsid w:val="00976764"/>
    <w:rsid w:val="0097710F"/>
    <w:rsid w:val="00977906"/>
    <w:rsid w:val="00977BF9"/>
    <w:rsid w:val="00977EDC"/>
    <w:rsid w:val="009801EE"/>
    <w:rsid w:val="00980219"/>
    <w:rsid w:val="009803A6"/>
    <w:rsid w:val="009818BE"/>
    <w:rsid w:val="00981EBB"/>
    <w:rsid w:val="0098265F"/>
    <w:rsid w:val="00982BB7"/>
    <w:rsid w:val="00982D57"/>
    <w:rsid w:val="00983939"/>
    <w:rsid w:val="0098501A"/>
    <w:rsid w:val="00985136"/>
    <w:rsid w:val="009867CC"/>
    <w:rsid w:val="00987026"/>
    <w:rsid w:val="009900A4"/>
    <w:rsid w:val="0099035E"/>
    <w:rsid w:val="00990702"/>
    <w:rsid w:val="00990B5F"/>
    <w:rsid w:val="00991003"/>
    <w:rsid w:val="0099121C"/>
    <w:rsid w:val="00992E3B"/>
    <w:rsid w:val="009935DC"/>
    <w:rsid w:val="009936DE"/>
    <w:rsid w:val="00994062"/>
    <w:rsid w:val="009961AB"/>
    <w:rsid w:val="00996485"/>
    <w:rsid w:val="009A1B26"/>
    <w:rsid w:val="009A2659"/>
    <w:rsid w:val="009A2A7F"/>
    <w:rsid w:val="009A335B"/>
    <w:rsid w:val="009A5257"/>
    <w:rsid w:val="009A6467"/>
    <w:rsid w:val="009A7542"/>
    <w:rsid w:val="009B02B9"/>
    <w:rsid w:val="009B1546"/>
    <w:rsid w:val="009B18DD"/>
    <w:rsid w:val="009B1F20"/>
    <w:rsid w:val="009B24A3"/>
    <w:rsid w:val="009B267D"/>
    <w:rsid w:val="009B267E"/>
    <w:rsid w:val="009B294E"/>
    <w:rsid w:val="009B2EC4"/>
    <w:rsid w:val="009B341B"/>
    <w:rsid w:val="009B3588"/>
    <w:rsid w:val="009B3A2D"/>
    <w:rsid w:val="009B4CB4"/>
    <w:rsid w:val="009B51C2"/>
    <w:rsid w:val="009B6C04"/>
    <w:rsid w:val="009B7A21"/>
    <w:rsid w:val="009B7E99"/>
    <w:rsid w:val="009B7EFE"/>
    <w:rsid w:val="009C14B7"/>
    <w:rsid w:val="009C164C"/>
    <w:rsid w:val="009C201F"/>
    <w:rsid w:val="009C2619"/>
    <w:rsid w:val="009C352A"/>
    <w:rsid w:val="009C3F4A"/>
    <w:rsid w:val="009C5AFC"/>
    <w:rsid w:val="009C5D25"/>
    <w:rsid w:val="009C6604"/>
    <w:rsid w:val="009C68CC"/>
    <w:rsid w:val="009C7EEE"/>
    <w:rsid w:val="009D02DF"/>
    <w:rsid w:val="009D0809"/>
    <w:rsid w:val="009D2069"/>
    <w:rsid w:val="009D2A0C"/>
    <w:rsid w:val="009D3480"/>
    <w:rsid w:val="009D5C50"/>
    <w:rsid w:val="009D5E15"/>
    <w:rsid w:val="009D5F0E"/>
    <w:rsid w:val="009D64C3"/>
    <w:rsid w:val="009D688C"/>
    <w:rsid w:val="009D6D92"/>
    <w:rsid w:val="009D723D"/>
    <w:rsid w:val="009D7CF1"/>
    <w:rsid w:val="009E03BA"/>
    <w:rsid w:val="009E13E5"/>
    <w:rsid w:val="009E19F9"/>
    <w:rsid w:val="009E238E"/>
    <w:rsid w:val="009E33F0"/>
    <w:rsid w:val="009E3B40"/>
    <w:rsid w:val="009E4C88"/>
    <w:rsid w:val="009E506C"/>
    <w:rsid w:val="009E63CC"/>
    <w:rsid w:val="009E74D5"/>
    <w:rsid w:val="009E7747"/>
    <w:rsid w:val="009E78A7"/>
    <w:rsid w:val="009E7F0E"/>
    <w:rsid w:val="009E7F72"/>
    <w:rsid w:val="009F1049"/>
    <w:rsid w:val="009F22C5"/>
    <w:rsid w:val="009F37B7"/>
    <w:rsid w:val="009F478F"/>
    <w:rsid w:val="009F4E6C"/>
    <w:rsid w:val="009F5FEE"/>
    <w:rsid w:val="009F617E"/>
    <w:rsid w:val="009F6658"/>
    <w:rsid w:val="009F74AE"/>
    <w:rsid w:val="009F7A64"/>
    <w:rsid w:val="009F7A74"/>
    <w:rsid w:val="00A0062C"/>
    <w:rsid w:val="00A00849"/>
    <w:rsid w:val="00A02396"/>
    <w:rsid w:val="00A02784"/>
    <w:rsid w:val="00A0278C"/>
    <w:rsid w:val="00A02FB3"/>
    <w:rsid w:val="00A045A6"/>
    <w:rsid w:val="00A0472B"/>
    <w:rsid w:val="00A04978"/>
    <w:rsid w:val="00A05F4E"/>
    <w:rsid w:val="00A10137"/>
    <w:rsid w:val="00A104AF"/>
    <w:rsid w:val="00A10F02"/>
    <w:rsid w:val="00A113BC"/>
    <w:rsid w:val="00A11D1C"/>
    <w:rsid w:val="00A1226A"/>
    <w:rsid w:val="00A123E5"/>
    <w:rsid w:val="00A1281A"/>
    <w:rsid w:val="00A129C4"/>
    <w:rsid w:val="00A13F5A"/>
    <w:rsid w:val="00A1405D"/>
    <w:rsid w:val="00A140E7"/>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0CD"/>
    <w:rsid w:val="00A26297"/>
    <w:rsid w:val="00A264D0"/>
    <w:rsid w:val="00A26956"/>
    <w:rsid w:val="00A26D5D"/>
    <w:rsid w:val="00A27486"/>
    <w:rsid w:val="00A27DEC"/>
    <w:rsid w:val="00A3016A"/>
    <w:rsid w:val="00A306A7"/>
    <w:rsid w:val="00A30F21"/>
    <w:rsid w:val="00A312D5"/>
    <w:rsid w:val="00A3139A"/>
    <w:rsid w:val="00A32532"/>
    <w:rsid w:val="00A326DA"/>
    <w:rsid w:val="00A32B40"/>
    <w:rsid w:val="00A32F97"/>
    <w:rsid w:val="00A338BD"/>
    <w:rsid w:val="00A34120"/>
    <w:rsid w:val="00A345D5"/>
    <w:rsid w:val="00A358DA"/>
    <w:rsid w:val="00A35A5F"/>
    <w:rsid w:val="00A35D05"/>
    <w:rsid w:val="00A36371"/>
    <w:rsid w:val="00A369A8"/>
    <w:rsid w:val="00A37841"/>
    <w:rsid w:val="00A40385"/>
    <w:rsid w:val="00A408CC"/>
    <w:rsid w:val="00A411E5"/>
    <w:rsid w:val="00A4143C"/>
    <w:rsid w:val="00A418BE"/>
    <w:rsid w:val="00A42217"/>
    <w:rsid w:val="00A42250"/>
    <w:rsid w:val="00A438E3"/>
    <w:rsid w:val="00A43CB2"/>
    <w:rsid w:val="00A4431F"/>
    <w:rsid w:val="00A4610C"/>
    <w:rsid w:val="00A46443"/>
    <w:rsid w:val="00A46528"/>
    <w:rsid w:val="00A46756"/>
    <w:rsid w:val="00A512EC"/>
    <w:rsid w:val="00A52389"/>
    <w:rsid w:val="00A53724"/>
    <w:rsid w:val="00A537E9"/>
    <w:rsid w:val="00A540AD"/>
    <w:rsid w:val="00A541B2"/>
    <w:rsid w:val="00A546D8"/>
    <w:rsid w:val="00A54F76"/>
    <w:rsid w:val="00A54FAF"/>
    <w:rsid w:val="00A552D1"/>
    <w:rsid w:val="00A5550D"/>
    <w:rsid w:val="00A56066"/>
    <w:rsid w:val="00A5675C"/>
    <w:rsid w:val="00A57271"/>
    <w:rsid w:val="00A57753"/>
    <w:rsid w:val="00A57D52"/>
    <w:rsid w:val="00A57FEE"/>
    <w:rsid w:val="00A61370"/>
    <w:rsid w:val="00A63618"/>
    <w:rsid w:val="00A64D4C"/>
    <w:rsid w:val="00A65777"/>
    <w:rsid w:val="00A66429"/>
    <w:rsid w:val="00A664BB"/>
    <w:rsid w:val="00A670C5"/>
    <w:rsid w:val="00A672B8"/>
    <w:rsid w:val="00A67525"/>
    <w:rsid w:val="00A675B7"/>
    <w:rsid w:val="00A708DE"/>
    <w:rsid w:val="00A70F51"/>
    <w:rsid w:val="00A718A2"/>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87873"/>
    <w:rsid w:val="00A87B36"/>
    <w:rsid w:val="00A91704"/>
    <w:rsid w:val="00A9293D"/>
    <w:rsid w:val="00A92B0E"/>
    <w:rsid w:val="00A92BA1"/>
    <w:rsid w:val="00A92E1E"/>
    <w:rsid w:val="00A931E7"/>
    <w:rsid w:val="00A93527"/>
    <w:rsid w:val="00A936E2"/>
    <w:rsid w:val="00A93807"/>
    <w:rsid w:val="00A947B5"/>
    <w:rsid w:val="00A94CA2"/>
    <w:rsid w:val="00A94EB9"/>
    <w:rsid w:val="00A95350"/>
    <w:rsid w:val="00A9586A"/>
    <w:rsid w:val="00A95A32"/>
    <w:rsid w:val="00A95A5E"/>
    <w:rsid w:val="00A95BBD"/>
    <w:rsid w:val="00A95CDE"/>
    <w:rsid w:val="00A96280"/>
    <w:rsid w:val="00A96B57"/>
    <w:rsid w:val="00A977EB"/>
    <w:rsid w:val="00A97921"/>
    <w:rsid w:val="00AA08EA"/>
    <w:rsid w:val="00AA093C"/>
    <w:rsid w:val="00AA1F2A"/>
    <w:rsid w:val="00AA2519"/>
    <w:rsid w:val="00AA26A2"/>
    <w:rsid w:val="00AA2C90"/>
    <w:rsid w:val="00AA3583"/>
    <w:rsid w:val="00AA41F6"/>
    <w:rsid w:val="00AA4669"/>
    <w:rsid w:val="00AA5210"/>
    <w:rsid w:val="00AA52F9"/>
    <w:rsid w:val="00AA54DF"/>
    <w:rsid w:val="00AA5547"/>
    <w:rsid w:val="00AA5D2E"/>
    <w:rsid w:val="00AA697E"/>
    <w:rsid w:val="00AA7437"/>
    <w:rsid w:val="00AA76F5"/>
    <w:rsid w:val="00AA778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050"/>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5AFA"/>
    <w:rsid w:val="00AD7338"/>
    <w:rsid w:val="00AD76E8"/>
    <w:rsid w:val="00AD7774"/>
    <w:rsid w:val="00AE0094"/>
    <w:rsid w:val="00AE02D2"/>
    <w:rsid w:val="00AE0776"/>
    <w:rsid w:val="00AE0BAB"/>
    <w:rsid w:val="00AE1BC8"/>
    <w:rsid w:val="00AE2A54"/>
    <w:rsid w:val="00AE317C"/>
    <w:rsid w:val="00AE3690"/>
    <w:rsid w:val="00AE48C7"/>
    <w:rsid w:val="00AE62D6"/>
    <w:rsid w:val="00AE65E2"/>
    <w:rsid w:val="00AE7197"/>
    <w:rsid w:val="00AF01BC"/>
    <w:rsid w:val="00AF121E"/>
    <w:rsid w:val="00AF1460"/>
    <w:rsid w:val="00AF1EBF"/>
    <w:rsid w:val="00AF3277"/>
    <w:rsid w:val="00AF3CCF"/>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C24"/>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075"/>
    <w:rsid w:val="00B2351D"/>
    <w:rsid w:val="00B23A06"/>
    <w:rsid w:val="00B23B37"/>
    <w:rsid w:val="00B249D5"/>
    <w:rsid w:val="00B25827"/>
    <w:rsid w:val="00B267BA"/>
    <w:rsid w:val="00B26CE8"/>
    <w:rsid w:val="00B27380"/>
    <w:rsid w:val="00B277D2"/>
    <w:rsid w:val="00B27831"/>
    <w:rsid w:val="00B31C77"/>
    <w:rsid w:val="00B32B6B"/>
    <w:rsid w:val="00B32FED"/>
    <w:rsid w:val="00B34A1F"/>
    <w:rsid w:val="00B35A79"/>
    <w:rsid w:val="00B35D03"/>
    <w:rsid w:val="00B360EF"/>
    <w:rsid w:val="00B365ED"/>
    <w:rsid w:val="00B370E5"/>
    <w:rsid w:val="00B37A61"/>
    <w:rsid w:val="00B400A1"/>
    <w:rsid w:val="00B40E3C"/>
    <w:rsid w:val="00B40F8D"/>
    <w:rsid w:val="00B421C2"/>
    <w:rsid w:val="00B4305A"/>
    <w:rsid w:val="00B43EAF"/>
    <w:rsid w:val="00B44B2B"/>
    <w:rsid w:val="00B44D87"/>
    <w:rsid w:val="00B4596D"/>
    <w:rsid w:val="00B4597E"/>
    <w:rsid w:val="00B46406"/>
    <w:rsid w:val="00B469B5"/>
    <w:rsid w:val="00B46ED6"/>
    <w:rsid w:val="00B47EE9"/>
    <w:rsid w:val="00B500B0"/>
    <w:rsid w:val="00B50124"/>
    <w:rsid w:val="00B504E4"/>
    <w:rsid w:val="00B50902"/>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3BEE"/>
    <w:rsid w:val="00B63C6A"/>
    <w:rsid w:val="00B6438C"/>
    <w:rsid w:val="00B65824"/>
    <w:rsid w:val="00B65D22"/>
    <w:rsid w:val="00B65F19"/>
    <w:rsid w:val="00B66AC9"/>
    <w:rsid w:val="00B67543"/>
    <w:rsid w:val="00B67EA4"/>
    <w:rsid w:val="00B700D0"/>
    <w:rsid w:val="00B70404"/>
    <w:rsid w:val="00B705A0"/>
    <w:rsid w:val="00B706ED"/>
    <w:rsid w:val="00B70D39"/>
    <w:rsid w:val="00B714C8"/>
    <w:rsid w:val="00B72080"/>
    <w:rsid w:val="00B731CA"/>
    <w:rsid w:val="00B73A10"/>
    <w:rsid w:val="00B7598A"/>
    <w:rsid w:val="00B7626D"/>
    <w:rsid w:val="00B76687"/>
    <w:rsid w:val="00B766A7"/>
    <w:rsid w:val="00B76C2E"/>
    <w:rsid w:val="00B77E99"/>
    <w:rsid w:val="00B802E6"/>
    <w:rsid w:val="00B81318"/>
    <w:rsid w:val="00B814EF"/>
    <w:rsid w:val="00B81BF2"/>
    <w:rsid w:val="00B82130"/>
    <w:rsid w:val="00B82650"/>
    <w:rsid w:val="00B8280D"/>
    <w:rsid w:val="00B82EC2"/>
    <w:rsid w:val="00B83367"/>
    <w:rsid w:val="00B84114"/>
    <w:rsid w:val="00B853B1"/>
    <w:rsid w:val="00B859A4"/>
    <w:rsid w:val="00B85FAA"/>
    <w:rsid w:val="00B86C79"/>
    <w:rsid w:val="00B86CAE"/>
    <w:rsid w:val="00B872D8"/>
    <w:rsid w:val="00B90016"/>
    <w:rsid w:val="00B91FF7"/>
    <w:rsid w:val="00B922D4"/>
    <w:rsid w:val="00B9258B"/>
    <w:rsid w:val="00B92F88"/>
    <w:rsid w:val="00B93086"/>
    <w:rsid w:val="00B93298"/>
    <w:rsid w:val="00B94870"/>
    <w:rsid w:val="00B94ECA"/>
    <w:rsid w:val="00B951E6"/>
    <w:rsid w:val="00B952BB"/>
    <w:rsid w:val="00B956C5"/>
    <w:rsid w:val="00B95846"/>
    <w:rsid w:val="00B95D40"/>
    <w:rsid w:val="00B97DC8"/>
    <w:rsid w:val="00BA07CE"/>
    <w:rsid w:val="00BA0C91"/>
    <w:rsid w:val="00BA1218"/>
    <w:rsid w:val="00BA19ED"/>
    <w:rsid w:val="00BA24CB"/>
    <w:rsid w:val="00BA25E1"/>
    <w:rsid w:val="00BA3BBA"/>
    <w:rsid w:val="00BA3BC4"/>
    <w:rsid w:val="00BA4B8D"/>
    <w:rsid w:val="00BA5A56"/>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1721"/>
    <w:rsid w:val="00BC2009"/>
    <w:rsid w:val="00BC2CCB"/>
    <w:rsid w:val="00BC31DD"/>
    <w:rsid w:val="00BC3583"/>
    <w:rsid w:val="00BC45D5"/>
    <w:rsid w:val="00BC46AD"/>
    <w:rsid w:val="00BC56A1"/>
    <w:rsid w:val="00BC6019"/>
    <w:rsid w:val="00BC7884"/>
    <w:rsid w:val="00BD14FB"/>
    <w:rsid w:val="00BD1B90"/>
    <w:rsid w:val="00BD1C3E"/>
    <w:rsid w:val="00BD3F06"/>
    <w:rsid w:val="00BD41D1"/>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CF6"/>
    <w:rsid w:val="00BE4F43"/>
    <w:rsid w:val="00BE522B"/>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94"/>
    <w:rsid w:val="00C104BE"/>
    <w:rsid w:val="00C107ED"/>
    <w:rsid w:val="00C12930"/>
    <w:rsid w:val="00C140B3"/>
    <w:rsid w:val="00C143B3"/>
    <w:rsid w:val="00C14851"/>
    <w:rsid w:val="00C1496A"/>
    <w:rsid w:val="00C16996"/>
    <w:rsid w:val="00C202D4"/>
    <w:rsid w:val="00C21A4D"/>
    <w:rsid w:val="00C21D37"/>
    <w:rsid w:val="00C22901"/>
    <w:rsid w:val="00C22DAA"/>
    <w:rsid w:val="00C268B4"/>
    <w:rsid w:val="00C279C0"/>
    <w:rsid w:val="00C30991"/>
    <w:rsid w:val="00C33079"/>
    <w:rsid w:val="00C33F46"/>
    <w:rsid w:val="00C34357"/>
    <w:rsid w:val="00C345C2"/>
    <w:rsid w:val="00C34658"/>
    <w:rsid w:val="00C34C3D"/>
    <w:rsid w:val="00C35A2B"/>
    <w:rsid w:val="00C35BA5"/>
    <w:rsid w:val="00C36581"/>
    <w:rsid w:val="00C3769F"/>
    <w:rsid w:val="00C37908"/>
    <w:rsid w:val="00C37FBE"/>
    <w:rsid w:val="00C405D4"/>
    <w:rsid w:val="00C41491"/>
    <w:rsid w:val="00C419FD"/>
    <w:rsid w:val="00C41ADC"/>
    <w:rsid w:val="00C42BB8"/>
    <w:rsid w:val="00C43372"/>
    <w:rsid w:val="00C442B1"/>
    <w:rsid w:val="00C447A2"/>
    <w:rsid w:val="00C44B04"/>
    <w:rsid w:val="00C4501E"/>
    <w:rsid w:val="00C45231"/>
    <w:rsid w:val="00C453AE"/>
    <w:rsid w:val="00C463E7"/>
    <w:rsid w:val="00C466C8"/>
    <w:rsid w:val="00C4792C"/>
    <w:rsid w:val="00C47B9A"/>
    <w:rsid w:val="00C51948"/>
    <w:rsid w:val="00C51DD9"/>
    <w:rsid w:val="00C52529"/>
    <w:rsid w:val="00C528EF"/>
    <w:rsid w:val="00C52951"/>
    <w:rsid w:val="00C52AD9"/>
    <w:rsid w:val="00C53199"/>
    <w:rsid w:val="00C53856"/>
    <w:rsid w:val="00C54BDF"/>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738"/>
    <w:rsid w:val="00C65A45"/>
    <w:rsid w:val="00C65E5B"/>
    <w:rsid w:val="00C66258"/>
    <w:rsid w:val="00C662D2"/>
    <w:rsid w:val="00C675D3"/>
    <w:rsid w:val="00C6779E"/>
    <w:rsid w:val="00C67B49"/>
    <w:rsid w:val="00C71CD8"/>
    <w:rsid w:val="00C72833"/>
    <w:rsid w:val="00C73332"/>
    <w:rsid w:val="00C74208"/>
    <w:rsid w:val="00C74BDF"/>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8610B"/>
    <w:rsid w:val="00C8672C"/>
    <w:rsid w:val="00C90F8A"/>
    <w:rsid w:val="00C912EE"/>
    <w:rsid w:val="00C91962"/>
    <w:rsid w:val="00C91BB9"/>
    <w:rsid w:val="00C91CFE"/>
    <w:rsid w:val="00C91F05"/>
    <w:rsid w:val="00C93938"/>
    <w:rsid w:val="00C93CB4"/>
    <w:rsid w:val="00C93CF5"/>
    <w:rsid w:val="00C93F40"/>
    <w:rsid w:val="00C94016"/>
    <w:rsid w:val="00C949CA"/>
    <w:rsid w:val="00C955FA"/>
    <w:rsid w:val="00C96345"/>
    <w:rsid w:val="00C96C6E"/>
    <w:rsid w:val="00C9728D"/>
    <w:rsid w:val="00C97ADE"/>
    <w:rsid w:val="00CA0C3F"/>
    <w:rsid w:val="00CA1D1D"/>
    <w:rsid w:val="00CA1D2A"/>
    <w:rsid w:val="00CA26D0"/>
    <w:rsid w:val="00CA2FA0"/>
    <w:rsid w:val="00CA3010"/>
    <w:rsid w:val="00CA3500"/>
    <w:rsid w:val="00CA373F"/>
    <w:rsid w:val="00CA375A"/>
    <w:rsid w:val="00CA3D0C"/>
    <w:rsid w:val="00CA496D"/>
    <w:rsid w:val="00CA5A35"/>
    <w:rsid w:val="00CA5A83"/>
    <w:rsid w:val="00CA5CA7"/>
    <w:rsid w:val="00CA6820"/>
    <w:rsid w:val="00CB1D19"/>
    <w:rsid w:val="00CB4AD1"/>
    <w:rsid w:val="00CB58BF"/>
    <w:rsid w:val="00CB5C4C"/>
    <w:rsid w:val="00CB65AE"/>
    <w:rsid w:val="00CB71DD"/>
    <w:rsid w:val="00CB7492"/>
    <w:rsid w:val="00CB7F0E"/>
    <w:rsid w:val="00CC0B6F"/>
    <w:rsid w:val="00CC0E78"/>
    <w:rsid w:val="00CC13B2"/>
    <w:rsid w:val="00CC20A2"/>
    <w:rsid w:val="00CC2236"/>
    <w:rsid w:val="00CC249E"/>
    <w:rsid w:val="00CC28ED"/>
    <w:rsid w:val="00CC2EF6"/>
    <w:rsid w:val="00CC3658"/>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4E3"/>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CF7EE3"/>
    <w:rsid w:val="00D01309"/>
    <w:rsid w:val="00D018DA"/>
    <w:rsid w:val="00D018F9"/>
    <w:rsid w:val="00D01949"/>
    <w:rsid w:val="00D01B65"/>
    <w:rsid w:val="00D01D1C"/>
    <w:rsid w:val="00D02E5B"/>
    <w:rsid w:val="00D03918"/>
    <w:rsid w:val="00D03B6F"/>
    <w:rsid w:val="00D03D1D"/>
    <w:rsid w:val="00D040A7"/>
    <w:rsid w:val="00D04256"/>
    <w:rsid w:val="00D05203"/>
    <w:rsid w:val="00D05669"/>
    <w:rsid w:val="00D0583F"/>
    <w:rsid w:val="00D05B09"/>
    <w:rsid w:val="00D07EDB"/>
    <w:rsid w:val="00D105A1"/>
    <w:rsid w:val="00D10869"/>
    <w:rsid w:val="00D10969"/>
    <w:rsid w:val="00D116D2"/>
    <w:rsid w:val="00D119AE"/>
    <w:rsid w:val="00D12325"/>
    <w:rsid w:val="00D12982"/>
    <w:rsid w:val="00D12B15"/>
    <w:rsid w:val="00D12D5E"/>
    <w:rsid w:val="00D13212"/>
    <w:rsid w:val="00D13653"/>
    <w:rsid w:val="00D13841"/>
    <w:rsid w:val="00D13A54"/>
    <w:rsid w:val="00D14865"/>
    <w:rsid w:val="00D1597B"/>
    <w:rsid w:val="00D16A3C"/>
    <w:rsid w:val="00D17480"/>
    <w:rsid w:val="00D17553"/>
    <w:rsid w:val="00D176E4"/>
    <w:rsid w:val="00D20CF6"/>
    <w:rsid w:val="00D2124F"/>
    <w:rsid w:val="00D2164F"/>
    <w:rsid w:val="00D21898"/>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5263"/>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4775C"/>
    <w:rsid w:val="00D516A3"/>
    <w:rsid w:val="00D526FB"/>
    <w:rsid w:val="00D52F17"/>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53B"/>
    <w:rsid w:val="00D647C0"/>
    <w:rsid w:val="00D64C09"/>
    <w:rsid w:val="00D654B2"/>
    <w:rsid w:val="00D67284"/>
    <w:rsid w:val="00D675A9"/>
    <w:rsid w:val="00D70317"/>
    <w:rsid w:val="00D703BF"/>
    <w:rsid w:val="00D707F9"/>
    <w:rsid w:val="00D7080D"/>
    <w:rsid w:val="00D70ED4"/>
    <w:rsid w:val="00D71675"/>
    <w:rsid w:val="00D738D6"/>
    <w:rsid w:val="00D7429C"/>
    <w:rsid w:val="00D74E5D"/>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1ECD"/>
    <w:rsid w:val="00D92076"/>
    <w:rsid w:val="00D920A3"/>
    <w:rsid w:val="00D92CBC"/>
    <w:rsid w:val="00D938E6"/>
    <w:rsid w:val="00D93E64"/>
    <w:rsid w:val="00D94593"/>
    <w:rsid w:val="00D94660"/>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437"/>
    <w:rsid w:val="00DA35AA"/>
    <w:rsid w:val="00DA3B5B"/>
    <w:rsid w:val="00DA4377"/>
    <w:rsid w:val="00DA4AF9"/>
    <w:rsid w:val="00DA50E9"/>
    <w:rsid w:val="00DA539E"/>
    <w:rsid w:val="00DA56D4"/>
    <w:rsid w:val="00DA5CE6"/>
    <w:rsid w:val="00DA5D37"/>
    <w:rsid w:val="00DA6D08"/>
    <w:rsid w:val="00DA7A03"/>
    <w:rsid w:val="00DB0B0A"/>
    <w:rsid w:val="00DB0FE7"/>
    <w:rsid w:val="00DB0FFE"/>
    <w:rsid w:val="00DB10FC"/>
    <w:rsid w:val="00DB1137"/>
    <w:rsid w:val="00DB168F"/>
    <w:rsid w:val="00DB1818"/>
    <w:rsid w:val="00DB1AE4"/>
    <w:rsid w:val="00DB321C"/>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3AD"/>
    <w:rsid w:val="00DC4BF0"/>
    <w:rsid w:val="00DC4DA2"/>
    <w:rsid w:val="00DC5B23"/>
    <w:rsid w:val="00DC5F00"/>
    <w:rsid w:val="00DC632E"/>
    <w:rsid w:val="00DC73A0"/>
    <w:rsid w:val="00DC7692"/>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D7962"/>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63B"/>
    <w:rsid w:val="00DE6FF4"/>
    <w:rsid w:val="00DE72EB"/>
    <w:rsid w:val="00DE79EC"/>
    <w:rsid w:val="00DE7F54"/>
    <w:rsid w:val="00DF0254"/>
    <w:rsid w:val="00DF038E"/>
    <w:rsid w:val="00DF04F3"/>
    <w:rsid w:val="00DF10CD"/>
    <w:rsid w:val="00DF1735"/>
    <w:rsid w:val="00DF2B1F"/>
    <w:rsid w:val="00DF34DE"/>
    <w:rsid w:val="00DF5973"/>
    <w:rsid w:val="00DF62CD"/>
    <w:rsid w:val="00DF669C"/>
    <w:rsid w:val="00DF6CDF"/>
    <w:rsid w:val="00DF7174"/>
    <w:rsid w:val="00DF77F3"/>
    <w:rsid w:val="00DF7A8A"/>
    <w:rsid w:val="00E00439"/>
    <w:rsid w:val="00E00D10"/>
    <w:rsid w:val="00E01928"/>
    <w:rsid w:val="00E0230D"/>
    <w:rsid w:val="00E0374E"/>
    <w:rsid w:val="00E03E6D"/>
    <w:rsid w:val="00E042C1"/>
    <w:rsid w:val="00E046E5"/>
    <w:rsid w:val="00E05667"/>
    <w:rsid w:val="00E0613B"/>
    <w:rsid w:val="00E0663B"/>
    <w:rsid w:val="00E06EDD"/>
    <w:rsid w:val="00E0723D"/>
    <w:rsid w:val="00E0733A"/>
    <w:rsid w:val="00E1030F"/>
    <w:rsid w:val="00E1040B"/>
    <w:rsid w:val="00E10884"/>
    <w:rsid w:val="00E10A90"/>
    <w:rsid w:val="00E10BEE"/>
    <w:rsid w:val="00E11342"/>
    <w:rsid w:val="00E11CC2"/>
    <w:rsid w:val="00E12229"/>
    <w:rsid w:val="00E127B8"/>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16"/>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26BB"/>
    <w:rsid w:val="00E44582"/>
    <w:rsid w:val="00E445E5"/>
    <w:rsid w:val="00E460CF"/>
    <w:rsid w:val="00E465DE"/>
    <w:rsid w:val="00E4753A"/>
    <w:rsid w:val="00E47F4C"/>
    <w:rsid w:val="00E47FC0"/>
    <w:rsid w:val="00E5014A"/>
    <w:rsid w:val="00E5077A"/>
    <w:rsid w:val="00E51757"/>
    <w:rsid w:val="00E52697"/>
    <w:rsid w:val="00E53B23"/>
    <w:rsid w:val="00E53E7D"/>
    <w:rsid w:val="00E54361"/>
    <w:rsid w:val="00E54D39"/>
    <w:rsid w:val="00E552BA"/>
    <w:rsid w:val="00E5542F"/>
    <w:rsid w:val="00E558D5"/>
    <w:rsid w:val="00E55ACE"/>
    <w:rsid w:val="00E55D02"/>
    <w:rsid w:val="00E55F97"/>
    <w:rsid w:val="00E56983"/>
    <w:rsid w:val="00E5795B"/>
    <w:rsid w:val="00E57E4D"/>
    <w:rsid w:val="00E6162D"/>
    <w:rsid w:val="00E629EB"/>
    <w:rsid w:val="00E63FB9"/>
    <w:rsid w:val="00E650F3"/>
    <w:rsid w:val="00E65616"/>
    <w:rsid w:val="00E65C65"/>
    <w:rsid w:val="00E65E97"/>
    <w:rsid w:val="00E66544"/>
    <w:rsid w:val="00E66E8F"/>
    <w:rsid w:val="00E67170"/>
    <w:rsid w:val="00E67B5E"/>
    <w:rsid w:val="00E67DED"/>
    <w:rsid w:val="00E67EE6"/>
    <w:rsid w:val="00E704AD"/>
    <w:rsid w:val="00E70EB4"/>
    <w:rsid w:val="00E70F90"/>
    <w:rsid w:val="00E71282"/>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5CD"/>
    <w:rsid w:val="00E91A8F"/>
    <w:rsid w:val="00E91B18"/>
    <w:rsid w:val="00E91C5E"/>
    <w:rsid w:val="00E9290A"/>
    <w:rsid w:val="00E92AB9"/>
    <w:rsid w:val="00E92B82"/>
    <w:rsid w:val="00E935A5"/>
    <w:rsid w:val="00E939A3"/>
    <w:rsid w:val="00E96629"/>
    <w:rsid w:val="00E9666C"/>
    <w:rsid w:val="00E9669D"/>
    <w:rsid w:val="00E96BE7"/>
    <w:rsid w:val="00EA0108"/>
    <w:rsid w:val="00EA028D"/>
    <w:rsid w:val="00EA0437"/>
    <w:rsid w:val="00EA0CCA"/>
    <w:rsid w:val="00EA1039"/>
    <w:rsid w:val="00EA10F5"/>
    <w:rsid w:val="00EA1565"/>
    <w:rsid w:val="00EA15B0"/>
    <w:rsid w:val="00EA1AC5"/>
    <w:rsid w:val="00EA370E"/>
    <w:rsid w:val="00EA42F4"/>
    <w:rsid w:val="00EA4488"/>
    <w:rsid w:val="00EA46ED"/>
    <w:rsid w:val="00EA498A"/>
    <w:rsid w:val="00EA56F5"/>
    <w:rsid w:val="00EA5D4C"/>
    <w:rsid w:val="00EA5EA7"/>
    <w:rsid w:val="00EA6342"/>
    <w:rsid w:val="00EA6AEA"/>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4C4"/>
    <w:rsid w:val="00EB66F3"/>
    <w:rsid w:val="00EB6CC1"/>
    <w:rsid w:val="00EB6DF7"/>
    <w:rsid w:val="00EC0968"/>
    <w:rsid w:val="00EC1661"/>
    <w:rsid w:val="00EC1D19"/>
    <w:rsid w:val="00EC23A8"/>
    <w:rsid w:val="00EC2BF5"/>
    <w:rsid w:val="00EC2CBA"/>
    <w:rsid w:val="00EC2E36"/>
    <w:rsid w:val="00EC300E"/>
    <w:rsid w:val="00EC3F6D"/>
    <w:rsid w:val="00EC411E"/>
    <w:rsid w:val="00EC47AE"/>
    <w:rsid w:val="00EC4A25"/>
    <w:rsid w:val="00EC537A"/>
    <w:rsid w:val="00EC5EE7"/>
    <w:rsid w:val="00EC6E88"/>
    <w:rsid w:val="00ED1967"/>
    <w:rsid w:val="00ED1C43"/>
    <w:rsid w:val="00ED20B3"/>
    <w:rsid w:val="00ED210B"/>
    <w:rsid w:val="00ED3156"/>
    <w:rsid w:val="00ED31C4"/>
    <w:rsid w:val="00ED3A6F"/>
    <w:rsid w:val="00ED3FB0"/>
    <w:rsid w:val="00ED5DF4"/>
    <w:rsid w:val="00ED5EC0"/>
    <w:rsid w:val="00ED601D"/>
    <w:rsid w:val="00ED6BCA"/>
    <w:rsid w:val="00ED722B"/>
    <w:rsid w:val="00ED74C6"/>
    <w:rsid w:val="00ED7BDE"/>
    <w:rsid w:val="00EE1AC5"/>
    <w:rsid w:val="00EE30AF"/>
    <w:rsid w:val="00EE35F4"/>
    <w:rsid w:val="00EE38A0"/>
    <w:rsid w:val="00EE4A7F"/>
    <w:rsid w:val="00EE5073"/>
    <w:rsid w:val="00EE72C2"/>
    <w:rsid w:val="00EE7440"/>
    <w:rsid w:val="00EF037D"/>
    <w:rsid w:val="00EF0F13"/>
    <w:rsid w:val="00EF21B1"/>
    <w:rsid w:val="00EF328B"/>
    <w:rsid w:val="00EF3932"/>
    <w:rsid w:val="00EF3F9E"/>
    <w:rsid w:val="00EF4B75"/>
    <w:rsid w:val="00EF4FD3"/>
    <w:rsid w:val="00EF57EA"/>
    <w:rsid w:val="00EF608C"/>
    <w:rsid w:val="00EF61F8"/>
    <w:rsid w:val="00EF62AB"/>
    <w:rsid w:val="00EF6875"/>
    <w:rsid w:val="00EF68D8"/>
    <w:rsid w:val="00EF7086"/>
    <w:rsid w:val="00EF70BA"/>
    <w:rsid w:val="00EF741C"/>
    <w:rsid w:val="00EF7C34"/>
    <w:rsid w:val="00EF7C74"/>
    <w:rsid w:val="00F01833"/>
    <w:rsid w:val="00F01CD2"/>
    <w:rsid w:val="00F020B8"/>
    <w:rsid w:val="00F020E7"/>
    <w:rsid w:val="00F0230E"/>
    <w:rsid w:val="00F02496"/>
    <w:rsid w:val="00F025A2"/>
    <w:rsid w:val="00F028A7"/>
    <w:rsid w:val="00F03AD9"/>
    <w:rsid w:val="00F03B2D"/>
    <w:rsid w:val="00F03C3E"/>
    <w:rsid w:val="00F04628"/>
    <w:rsid w:val="00F04712"/>
    <w:rsid w:val="00F05A86"/>
    <w:rsid w:val="00F05B9B"/>
    <w:rsid w:val="00F061EA"/>
    <w:rsid w:val="00F063AC"/>
    <w:rsid w:val="00F064DE"/>
    <w:rsid w:val="00F07E67"/>
    <w:rsid w:val="00F1000A"/>
    <w:rsid w:val="00F10902"/>
    <w:rsid w:val="00F112DD"/>
    <w:rsid w:val="00F11659"/>
    <w:rsid w:val="00F117E0"/>
    <w:rsid w:val="00F126D2"/>
    <w:rsid w:val="00F13360"/>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23E"/>
    <w:rsid w:val="00F20614"/>
    <w:rsid w:val="00F20B0E"/>
    <w:rsid w:val="00F20BA4"/>
    <w:rsid w:val="00F226F5"/>
    <w:rsid w:val="00F22D34"/>
    <w:rsid w:val="00F22EC7"/>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067"/>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4D6E"/>
    <w:rsid w:val="00F56F69"/>
    <w:rsid w:val="00F5783F"/>
    <w:rsid w:val="00F613A3"/>
    <w:rsid w:val="00F61D0C"/>
    <w:rsid w:val="00F61F68"/>
    <w:rsid w:val="00F6276B"/>
    <w:rsid w:val="00F62AAF"/>
    <w:rsid w:val="00F63515"/>
    <w:rsid w:val="00F63A7D"/>
    <w:rsid w:val="00F640A8"/>
    <w:rsid w:val="00F653B8"/>
    <w:rsid w:val="00F65484"/>
    <w:rsid w:val="00F660A0"/>
    <w:rsid w:val="00F662DD"/>
    <w:rsid w:val="00F66CDD"/>
    <w:rsid w:val="00F676C3"/>
    <w:rsid w:val="00F701A6"/>
    <w:rsid w:val="00F70436"/>
    <w:rsid w:val="00F70757"/>
    <w:rsid w:val="00F70CBE"/>
    <w:rsid w:val="00F71051"/>
    <w:rsid w:val="00F71D3D"/>
    <w:rsid w:val="00F71D83"/>
    <w:rsid w:val="00F71D90"/>
    <w:rsid w:val="00F723BA"/>
    <w:rsid w:val="00F72C70"/>
    <w:rsid w:val="00F72F5C"/>
    <w:rsid w:val="00F73532"/>
    <w:rsid w:val="00F736C2"/>
    <w:rsid w:val="00F7557B"/>
    <w:rsid w:val="00F769C4"/>
    <w:rsid w:val="00F76B76"/>
    <w:rsid w:val="00F76C2B"/>
    <w:rsid w:val="00F7786D"/>
    <w:rsid w:val="00F77E2B"/>
    <w:rsid w:val="00F80A23"/>
    <w:rsid w:val="00F8174A"/>
    <w:rsid w:val="00F81A38"/>
    <w:rsid w:val="00F81C38"/>
    <w:rsid w:val="00F81EB3"/>
    <w:rsid w:val="00F8261A"/>
    <w:rsid w:val="00F82814"/>
    <w:rsid w:val="00F82F29"/>
    <w:rsid w:val="00F8362E"/>
    <w:rsid w:val="00F838F9"/>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560"/>
    <w:rsid w:val="00F956A3"/>
    <w:rsid w:val="00F95D7E"/>
    <w:rsid w:val="00F97306"/>
    <w:rsid w:val="00F977B8"/>
    <w:rsid w:val="00FA0D70"/>
    <w:rsid w:val="00FA1121"/>
    <w:rsid w:val="00FA1266"/>
    <w:rsid w:val="00FA2DEF"/>
    <w:rsid w:val="00FA3115"/>
    <w:rsid w:val="00FA36C8"/>
    <w:rsid w:val="00FA3A2F"/>
    <w:rsid w:val="00FA3D43"/>
    <w:rsid w:val="00FA469A"/>
    <w:rsid w:val="00FA4E0F"/>
    <w:rsid w:val="00FA56E1"/>
    <w:rsid w:val="00FA5A79"/>
    <w:rsid w:val="00FA5C2D"/>
    <w:rsid w:val="00FA5F39"/>
    <w:rsid w:val="00FA69A3"/>
    <w:rsid w:val="00FA6A03"/>
    <w:rsid w:val="00FB072D"/>
    <w:rsid w:val="00FB0829"/>
    <w:rsid w:val="00FB0F8A"/>
    <w:rsid w:val="00FB1339"/>
    <w:rsid w:val="00FB1546"/>
    <w:rsid w:val="00FB225C"/>
    <w:rsid w:val="00FB296E"/>
    <w:rsid w:val="00FB2C96"/>
    <w:rsid w:val="00FB3795"/>
    <w:rsid w:val="00FB4725"/>
    <w:rsid w:val="00FB5897"/>
    <w:rsid w:val="00FB5CEF"/>
    <w:rsid w:val="00FB6506"/>
    <w:rsid w:val="00FB6932"/>
    <w:rsid w:val="00FB6AC9"/>
    <w:rsid w:val="00FB7070"/>
    <w:rsid w:val="00FB7193"/>
    <w:rsid w:val="00FB7607"/>
    <w:rsid w:val="00FB7901"/>
    <w:rsid w:val="00FC04C4"/>
    <w:rsid w:val="00FC0DA4"/>
    <w:rsid w:val="00FC0F62"/>
    <w:rsid w:val="00FC1192"/>
    <w:rsid w:val="00FC16B2"/>
    <w:rsid w:val="00FC1915"/>
    <w:rsid w:val="00FC2A89"/>
    <w:rsid w:val="00FC3490"/>
    <w:rsid w:val="00FC47F2"/>
    <w:rsid w:val="00FC5FAF"/>
    <w:rsid w:val="00FC67E7"/>
    <w:rsid w:val="00FC7895"/>
    <w:rsid w:val="00FC7E4A"/>
    <w:rsid w:val="00FD0463"/>
    <w:rsid w:val="00FD051E"/>
    <w:rsid w:val="00FD0E25"/>
    <w:rsid w:val="00FD118D"/>
    <w:rsid w:val="00FD1A2D"/>
    <w:rsid w:val="00FD1F77"/>
    <w:rsid w:val="00FD23EB"/>
    <w:rsid w:val="00FD2D5D"/>
    <w:rsid w:val="00FD329B"/>
    <w:rsid w:val="00FD368D"/>
    <w:rsid w:val="00FD68CA"/>
    <w:rsid w:val="00FD6B15"/>
    <w:rsid w:val="00FD737B"/>
    <w:rsid w:val="00FD7B81"/>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0E15"/>
    <w:rsid w:val="00FF1901"/>
    <w:rsid w:val="00FF1990"/>
    <w:rsid w:val="00FF2691"/>
    <w:rsid w:val="00FF2C54"/>
    <w:rsid w:val="00FF3100"/>
    <w:rsid w:val="00FF4126"/>
    <w:rsid w:val="00FF5117"/>
    <w:rsid w:val="00FF582F"/>
    <w:rsid w:val="00FF644B"/>
    <w:rsid w:val="00FF7EF3"/>
    <w:rsid w:val="00FF7F46"/>
    <w:rsid w:val="0385148F"/>
    <w:rsid w:val="04BF2E45"/>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21D0276"/>
    <w:rsid w:val="24AE1429"/>
    <w:rsid w:val="25610F69"/>
    <w:rsid w:val="2777F759"/>
    <w:rsid w:val="28EA6428"/>
    <w:rsid w:val="2A7F08D6"/>
    <w:rsid w:val="2AEC596F"/>
    <w:rsid w:val="2B161AD7"/>
    <w:rsid w:val="2B1E71BE"/>
    <w:rsid w:val="2C300E8E"/>
    <w:rsid w:val="2C722DA8"/>
    <w:rsid w:val="2F1D77C3"/>
    <w:rsid w:val="329F0927"/>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B580881"/>
    <w:rsid w:val="4CC37196"/>
    <w:rsid w:val="4D5909A2"/>
    <w:rsid w:val="4DAD0D38"/>
    <w:rsid w:val="4DD82EB6"/>
    <w:rsid w:val="4F6657B3"/>
    <w:rsid w:val="4FA56DD5"/>
    <w:rsid w:val="50906E2A"/>
    <w:rsid w:val="52323B16"/>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59E9B2F"/>
    <w:rsid w:val="66576EC4"/>
    <w:rsid w:val="668A6699"/>
    <w:rsid w:val="66A34374"/>
    <w:rsid w:val="66CC5976"/>
    <w:rsid w:val="67573C9F"/>
    <w:rsid w:val="67ED6D73"/>
    <w:rsid w:val="68FE191F"/>
    <w:rsid w:val="69045B35"/>
    <w:rsid w:val="6A496717"/>
    <w:rsid w:val="6AE7FAC1"/>
    <w:rsid w:val="6AEA1488"/>
    <w:rsid w:val="6B7F23BD"/>
    <w:rsid w:val="6C284F95"/>
    <w:rsid w:val="6E99D8E5"/>
    <w:rsid w:val="6F0F7928"/>
    <w:rsid w:val="6F250582"/>
    <w:rsid w:val="6FBA6F06"/>
    <w:rsid w:val="6FF346A1"/>
    <w:rsid w:val="6FFFF3B6"/>
    <w:rsid w:val="747D319F"/>
    <w:rsid w:val="767FC4C9"/>
    <w:rsid w:val="7720E406"/>
    <w:rsid w:val="77530CB5"/>
    <w:rsid w:val="77E72869"/>
    <w:rsid w:val="79D04BA2"/>
    <w:rsid w:val="7CAA2A70"/>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9407C87"/>
  <w15:docId w15:val="{2DC85AD2-C813-4164-BA5E-12600B0C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5571BB"/>
    <w:pPr>
      <w:spacing w:after="180" w:line="259" w:lineRule="auto"/>
      <w:jc w:val="both"/>
    </w:pPr>
  </w:style>
  <w:style w:type="paragraph" w:styleId="1">
    <w:name w:val="heading 1"/>
    <w:basedOn w:val="a4"/>
    <w:next w:val="a4"/>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1">
    <w:name w:val="heading 3"/>
    <w:basedOn w:val="21"/>
    <w:next w:val="a4"/>
    <w:link w:val="32"/>
    <w:qFormat/>
    <w:pPr>
      <w:spacing w:before="120"/>
      <w:outlineLvl w:val="2"/>
    </w:pPr>
    <w:rPr>
      <w:sz w:val="28"/>
    </w:rPr>
  </w:style>
  <w:style w:type="paragraph" w:styleId="41">
    <w:name w:val="heading 4"/>
    <w:basedOn w:val="31"/>
    <w:next w:val="a4"/>
    <w:link w:val="42"/>
    <w:qFormat/>
    <w:pPr>
      <w:ind w:left="1418" w:hanging="1418"/>
      <w:outlineLvl w:val="3"/>
    </w:pPr>
    <w:rPr>
      <w:sz w:val="24"/>
    </w:rPr>
  </w:style>
  <w:style w:type="paragraph" w:styleId="51">
    <w:name w:val="heading 5"/>
    <w:basedOn w:val="41"/>
    <w:next w:val="a4"/>
    <w:link w:val="52"/>
    <w:uiPriority w:val="9"/>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qFormat/>
    <w:pPr>
      <w:outlineLvl w:val="6"/>
    </w:pPr>
  </w:style>
  <w:style w:type="paragraph" w:styleId="8">
    <w:name w:val="heading 8"/>
    <w:basedOn w:val="1"/>
    <w:next w:val="a4"/>
    <w:link w:val="80"/>
    <w:qFormat/>
    <w:pPr>
      <w:ind w:left="0" w:firstLine="0"/>
      <w:outlineLvl w:val="7"/>
    </w:pPr>
  </w:style>
  <w:style w:type="paragraph" w:styleId="9">
    <w:name w:val="heading 9"/>
    <w:basedOn w:val="8"/>
    <w:next w:val="a4"/>
    <w:link w:val="90"/>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4"/>
    <w:qFormat/>
    <w:pPr>
      <w:ind w:left="1985" w:hanging="1985"/>
      <w:outlineLvl w:val="9"/>
    </w:pPr>
    <w:rPr>
      <w:sz w:val="20"/>
    </w:rPr>
  </w:style>
  <w:style w:type="paragraph" w:styleId="33">
    <w:name w:val="List 3"/>
    <w:basedOn w:val="a4"/>
    <w:link w:val="34"/>
    <w:qFormat/>
    <w:pPr>
      <w:ind w:left="849" w:hanging="283"/>
      <w:contextualSpacing/>
    </w:pPr>
  </w:style>
  <w:style w:type="paragraph" w:styleId="TOC7">
    <w:name w:val="toc 7"/>
    <w:basedOn w:val="TOC6"/>
    <w:next w:val="a4"/>
    <w:uiPriority w:val="39"/>
    <w:qFormat/>
    <w:pPr>
      <w:ind w:left="2268" w:hanging="2268"/>
    </w:pPr>
  </w:style>
  <w:style w:type="paragraph" w:styleId="TOC6">
    <w:name w:val="toc 6"/>
    <w:basedOn w:val="TOC5"/>
    <w:next w:val="a4"/>
    <w:uiPriority w:val="39"/>
    <w:qFormat/>
    <w:pPr>
      <w:ind w:left="1985" w:hanging="1985"/>
    </w:pPr>
  </w:style>
  <w:style w:type="paragraph" w:styleId="TOC5">
    <w:name w:val="toc 5"/>
    <w:basedOn w:val="TOC4"/>
    <w:next w:val="a4"/>
    <w:uiPriority w:val="39"/>
    <w:qFormat/>
    <w:pPr>
      <w:ind w:left="1701" w:hanging="1701"/>
    </w:pPr>
  </w:style>
  <w:style w:type="paragraph" w:styleId="TOC4">
    <w:name w:val="toc 4"/>
    <w:basedOn w:val="TOC3"/>
    <w:next w:val="a4"/>
    <w:uiPriority w:val="39"/>
    <w:qFormat/>
    <w:pPr>
      <w:ind w:left="1418" w:hanging="1418"/>
    </w:pPr>
  </w:style>
  <w:style w:type="paragraph" w:styleId="TOC3">
    <w:name w:val="toc 3"/>
    <w:basedOn w:val="TOC2"/>
    <w:next w:val="a4"/>
    <w:uiPriority w:val="39"/>
    <w:qFormat/>
    <w:pPr>
      <w:ind w:left="1134" w:hanging="1134"/>
    </w:pPr>
  </w:style>
  <w:style w:type="paragraph" w:styleId="TOC2">
    <w:name w:val="toc 2"/>
    <w:basedOn w:val="TOC1"/>
    <w:next w:val="a4"/>
    <w:uiPriority w:val="39"/>
    <w:qFormat/>
    <w:pPr>
      <w:keepNext w:val="0"/>
      <w:spacing w:before="0"/>
      <w:ind w:left="851" w:hanging="851"/>
    </w:pPr>
    <w:rPr>
      <w:sz w:val="20"/>
    </w:rPr>
  </w:style>
  <w:style w:type="paragraph" w:styleId="TOC1">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4"/>
    <w:qFormat/>
    <w:pPr>
      <w:numPr>
        <w:numId w:val="1"/>
      </w:numPr>
      <w:contextualSpacing/>
    </w:pPr>
  </w:style>
  <w:style w:type="paragraph" w:styleId="aa">
    <w:name w:val="table of authorities"/>
    <w:basedOn w:val="a4"/>
    <w:next w:val="a4"/>
    <w:qFormat/>
    <w:pPr>
      <w:ind w:left="200" w:hanging="200"/>
    </w:pPr>
  </w:style>
  <w:style w:type="paragraph" w:styleId="ab">
    <w:name w:val="Note Heading"/>
    <w:basedOn w:val="a4"/>
    <w:next w:val="a4"/>
    <w:link w:val="ac"/>
    <w:qFormat/>
  </w:style>
  <w:style w:type="paragraph" w:styleId="40">
    <w:name w:val="List Bullet 4"/>
    <w:basedOn w:val="a4"/>
    <w:qFormat/>
    <w:pPr>
      <w:numPr>
        <w:numId w:val="2"/>
      </w:numPr>
      <w:contextualSpacing/>
    </w:pPr>
  </w:style>
  <w:style w:type="paragraph" w:styleId="81">
    <w:name w:val="index 8"/>
    <w:basedOn w:val="a4"/>
    <w:next w:val="a4"/>
    <w:qFormat/>
    <w:pPr>
      <w:ind w:left="1600" w:hanging="200"/>
    </w:pPr>
  </w:style>
  <w:style w:type="paragraph" w:styleId="ad">
    <w:name w:val="E-mail Signature"/>
    <w:basedOn w:val="a4"/>
    <w:link w:val="ae"/>
    <w:qFormat/>
  </w:style>
  <w:style w:type="paragraph" w:styleId="a">
    <w:name w:val="List Number"/>
    <w:basedOn w:val="a4"/>
    <w:qFormat/>
    <w:pPr>
      <w:numPr>
        <w:numId w:val="3"/>
      </w:numPr>
      <w:contextualSpacing/>
    </w:pPr>
  </w:style>
  <w:style w:type="paragraph" w:styleId="af">
    <w:name w:val="Normal Indent"/>
    <w:basedOn w:val="a4"/>
    <w:qFormat/>
    <w:pPr>
      <w:ind w:left="720"/>
    </w:pPr>
  </w:style>
  <w:style w:type="paragraph" w:styleId="af0">
    <w:name w:val="caption"/>
    <w:basedOn w:val="a4"/>
    <w:next w:val="a4"/>
    <w:link w:val="af1"/>
    <w:unhideWhenUsed/>
    <w:qFormat/>
    <w:rPr>
      <w:b/>
      <w:bCs/>
    </w:rPr>
  </w:style>
  <w:style w:type="paragraph" w:styleId="53">
    <w:name w:val="index 5"/>
    <w:basedOn w:val="a4"/>
    <w:next w:val="a4"/>
    <w:qFormat/>
    <w:pPr>
      <w:ind w:left="1000" w:hanging="200"/>
    </w:pPr>
  </w:style>
  <w:style w:type="paragraph" w:styleId="a0">
    <w:name w:val="List Bullet"/>
    <w:basedOn w:val="a4"/>
    <w:qFormat/>
    <w:pPr>
      <w:numPr>
        <w:numId w:val="4"/>
      </w:numPr>
      <w:contextualSpacing/>
    </w:pPr>
  </w:style>
  <w:style w:type="paragraph" w:styleId="a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3">
    <w:name w:val="Document Map"/>
    <w:basedOn w:val="a4"/>
    <w:link w:val="af4"/>
    <w:uiPriority w:val="99"/>
    <w:qFormat/>
    <w:rPr>
      <w:rFonts w:ascii="Segoe UI" w:hAnsi="Segoe UI" w:cs="Segoe UI"/>
      <w:sz w:val="16"/>
      <w:szCs w:val="16"/>
    </w:rPr>
  </w:style>
  <w:style w:type="paragraph" w:styleId="af5">
    <w:name w:val="toa heading"/>
    <w:basedOn w:val="a4"/>
    <w:next w:val="a4"/>
    <w:qFormat/>
    <w:pPr>
      <w:spacing w:before="120"/>
    </w:pPr>
    <w:rPr>
      <w:rFonts w:ascii="Calibri Light" w:hAnsi="Calibri Light"/>
      <w:b/>
      <w:bCs/>
      <w:sz w:val="24"/>
      <w:szCs w:val="24"/>
    </w:rPr>
  </w:style>
  <w:style w:type="paragraph" w:styleId="af6">
    <w:name w:val="annotation text"/>
    <w:basedOn w:val="a4"/>
    <w:link w:val="af7"/>
    <w:uiPriority w:val="99"/>
    <w:qFormat/>
  </w:style>
  <w:style w:type="paragraph" w:styleId="61">
    <w:name w:val="index 6"/>
    <w:basedOn w:val="a4"/>
    <w:next w:val="a4"/>
    <w:qFormat/>
    <w:pPr>
      <w:ind w:left="1200" w:hanging="200"/>
    </w:pPr>
  </w:style>
  <w:style w:type="paragraph" w:styleId="af8">
    <w:name w:val="Salutation"/>
    <w:basedOn w:val="a4"/>
    <w:next w:val="a4"/>
    <w:link w:val="af9"/>
    <w:qFormat/>
  </w:style>
  <w:style w:type="paragraph" w:styleId="35">
    <w:name w:val="Body Text 3"/>
    <w:basedOn w:val="a4"/>
    <w:link w:val="36"/>
    <w:qFormat/>
    <w:pPr>
      <w:spacing w:after="120"/>
    </w:pPr>
    <w:rPr>
      <w:sz w:val="16"/>
      <w:szCs w:val="16"/>
    </w:rPr>
  </w:style>
  <w:style w:type="paragraph" w:styleId="afa">
    <w:name w:val="Closing"/>
    <w:basedOn w:val="a4"/>
    <w:link w:val="afb"/>
    <w:qFormat/>
    <w:pPr>
      <w:ind w:left="4252"/>
    </w:pPr>
  </w:style>
  <w:style w:type="paragraph" w:styleId="30">
    <w:name w:val="List Bullet 3"/>
    <w:basedOn w:val="a4"/>
    <w:qFormat/>
    <w:pPr>
      <w:numPr>
        <w:numId w:val="5"/>
      </w:numPr>
      <w:contextualSpacing/>
    </w:pPr>
  </w:style>
  <w:style w:type="paragraph" w:styleId="afc">
    <w:name w:val="Body Text"/>
    <w:basedOn w:val="a4"/>
    <w:link w:val="11"/>
    <w:uiPriority w:val="99"/>
    <w:qFormat/>
    <w:pPr>
      <w:spacing w:after="120"/>
    </w:pPr>
  </w:style>
  <w:style w:type="paragraph" w:styleId="afd">
    <w:name w:val="Body Text Indent"/>
    <w:basedOn w:val="a4"/>
    <w:link w:val="afe"/>
    <w:uiPriority w:val="99"/>
    <w:qFormat/>
    <w:pPr>
      <w:spacing w:after="120"/>
      <w:ind w:left="283"/>
    </w:pPr>
  </w:style>
  <w:style w:type="paragraph" w:styleId="3">
    <w:name w:val="List Number 3"/>
    <w:basedOn w:val="a4"/>
    <w:qFormat/>
    <w:pPr>
      <w:numPr>
        <w:numId w:val="6"/>
      </w:numPr>
      <w:contextualSpacing/>
    </w:pPr>
  </w:style>
  <w:style w:type="paragraph" w:styleId="23">
    <w:name w:val="List 2"/>
    <w:basedOn w:val="a4"/>
    <w:link w:val="24"/>
    <w:qFormat/>
    <w:pPr>
      <w:ind w:left="566" w:hanging="283"/>
      <w:contextualSpacing/>
    </w:pPr>
  </w:style>
  <w:style w:type="paragraph" w:styleId="aff">
    <w:name w:val="List Continue"/>
    <w:basedOn w:val="a4"/>
    <w:qFormat/>
    <w:pPr>
      <w:spacing w:after="120"/>
      <w:ind w:left="283"/>
      <w:contextualSpacing/>
    </w:pPr>
  </w:style>
  <w:style w:type="paragraph" w:styleId="aff0">
    <w:name w:val="Block Text"/>
    <w:basedOn w:val="a4"/>
    <w:qFormat/>
    <w:pPr>
      <w:spacing w:after="120"/>
      <w:ind w:left="1440" w:right="1440"/>
    </w:pPr>
  </w:style>
  <w:style w:type="paragraph" w:styleId="20">
    <w:name w:val="List Bullet 2"/>
    <w:basedOn w:val="a4"/>
    <w:qFormat/>
    <w:pPr>
      <w:numPr>
        <w:numId w:val="7"/>
      </w:numPr>
      <w:contextualSpacing/>
    </w:pPr>
  </w:style>
  <w:style w:type="paragraph" w:styleId="HTML">
    <w:name w:val="HTML Address"/>
    <w:basedOn w:val="a4"/>
    <w:link w:val="HTML0"/>
    <w:qFormat/>
    <w:rPr>
      <w:i/>
      <w:iCs/>
    </w:rPr>
  </w:style>
  <w:style w:type="paragraph" w:styleId="43">
    <w:name w:val="index 4"/>
    <w:basedOn w:val="a4"/>
    <w:next w:val="a4"/>
    <w:qFormat/>
    <w:pPr>
      <w:ind w:left="800" w:hanging="200"/>
    </w:pPr>
  </w:style>
  <w:style w:type="paragraph" w:styleId="aff1">
    <w:name w:val="Plain Text"/>
    <w:basedOn w:val="a4"/>
    <w:link w:val="aff2"/>
    <w:uiPriority w:val="99"/>
    <w:qFormat/>
    <w:rPr>
      <w:rFonts w:ascii="Courier New" w:hAnsi="Courier New" w:cs="Courier New"/>
    </w:rPr>
  </w:style>
  <w:style w:type="paragraph" w:styleId="50">
    <w:name w:val="List Bullet 5"/>
    <w:basedOn w:val="a4"/>
    <w:qFormat/>
    <w:pPr>
      <w:numPr>
        <w:numId w:val="8"/>
      </w:numPr>
      <w:contextualSpacing/>
    </w:pPr>
  </w:style>
  <w:style w:type="paragraph" w:styleId="4">
    <w:name w:val="List Number 4"/>
    <w:basedOn w:val="a4"/>
    <w:qFormat/>
    <w:pPr>
      <w:numPr>
        <w:numId w:val="9"/>
      </w:numPr>
      <w:contextualSpacing/>
    </w:pPr>
  </w:style>
  <w:style w:type="paragraph" w:styleId="TOC8">
    <w:name w:val="toc 8"/>
    <w:basedOn w:val="TOC1"/>
    <w:next w:val="a4"/>
    <w:uiPriority w:val="39"/>
    <w:qFormat/>
    <w:pPr>
      <w:spacing w:before="180"/>
      <w:ind w:left="2693" w:hanging="2693"/>
    </w:pPr>
    <w:rPr>
      <w:b/>
    </w:rPr>
  </w:style>
  <w:style w:type="paragraph" w:styleId="37">
    <w:name w:val="index 3"/>
    <w:basedOn w:val="a4"/>
    <w:next w:val="a4"/>
    <w:qFormat/>
    <w:pPr>
      <w:ind w:left="600" w:hanging="200"/>
    </w:pPr>
  </w:style>
  <w:style w:type="paragraph" w:styleId="aff3">
    <w:name w:val="Date"/>
    <w:basedOn w:val="a4"/>
    <w:next w:val="a4"/>
    <w:link w:val="aff4"/>
    <w:uiPriority w:val="99"/>
    <w:qFormat/>
  </w:style>
  <w:style w:type="paragraph" w:styleId="25">
    <w:name w:val="Body Text Indent 2"/>
    <w:basedOn w:val="a4"/>
    <w:link w:val="26"/>
    <w:qFormat/>
    <w:pPr>
      <w:spacing w:after="120" w:line="480" w:lineRule="auto"/>
      <w:ind w:left="283"/>
    </w:pPr>
  </w:style>
  <w:style w:type="paragraph" w:styleId="aff5">
    <w:name w:val="endnote text"/>
    <w:basedOn w:val="a4"/>
    <w:link w:val="aff6"/>
    <w:qFormat/>
  </w:style>
  <w:style w:type="paragraph" w:styleId="54">
    <w:name w:val="List Continue 5"/>
    <w:basedOn w:val="a4"/>
    <w:qFormat/>
    <w:pPr>
      <w:spacing w:after="120"/>
      <w:ind w:left="1415"/>
      <w:contextualSpacing/>
    </w:pPr>
  </w:style>
  <w:style w:type="paragraph" w:styleId="aff7">
    <w:name w:val="Balloon Text"/>
    <w:basedOn w:val="a4"/>
    <w:link w:val="aff8"/>
    <w:uiPriority w:val="99"/>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link w:val="affc"/>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d">
    <w:name w:val="envelope return"/>
    <w:basedOn w:val="a4"/>
    <w:qFormat/>
    <w:rPr>
      <w:rFonts w:ascii="Calibri Light" w:hAnsi="Calibri Light"/>
    </w:rPr>
  </w:style>
  <w:style w:type="paragraph" w:styleId="affe">
    <w:name w:val="Signature"/>
    <w:basedOn w:val="a4"/>
    <w:link w:val="afff"/>
    <w:qFormat/>
    <w:pPr>
      <w:ind w:left="4252"/>
    </w:pPr>
  </w:style>
  <w:style w:type="paragraph" w:styleId="44">
    <w:name w:val="List Continue 4"/>
    <w:basedOn w:val="a4"/>
    <w:qFormat/>
    <w:pPr>
      <w:spacing w:after="120"/>
      <w:ind w:left="1132"/>
      <w:contextualSpacing/>
    </w:pPr>
  </w:style>
  <w:style w:type="paragraph" w:styleId="afff0">
    <w:name w:val="index heading"/>
    <w:basedOn w:val="a4"/>
    <w:next w:val="12"/>
    <w:uiPriority w:val="99"/>
    <w:qFormat/>
    <w:rPr>
      <w:rFonts w:ascii="Calibri Light" w:hAnsi="Calibri Light"/>
      <w:b/>
      <w:bCs/>
    </w:rPr>
  </w:style>
  <w:style w:type="paragraph" w:styleId="12">
    <w:name w:val="index 1"/>
    <w:basedOn w:val="a4"/>
    <w:next w:val="a4"/>
    <w:qFormat/>
    <w:pPr>
      <w:ind w:left="200" w:hanging="200"/>
    </w:pPr>
  </w:style>
  <w:style w:type="paragraph" w:styleId="afff1">
    <w:name w:val="Subtitle"/>
    <w:basedOn w:val="a4"/>
    <w:next w:val="a4"/>
    <w:link w:val="afff2"/>
    <w:uiPriority w:val="11"/>
    <w:qFormat/>
    <w:pPr>
      <w:spacing w:after="60"/>
      <w:jc w:val="center"/>
      <w:outlineLvl w:val="1"/>
    </w:pPr>
    <w:rPr>
      <w:rFonts w:ascii="Calibri Light" w:hAnsi="Calibri Light"/>
      <w:sz w:val="24"/>
      <w:szCs w:val="24"/>
    </w:rPr>
  </w:style>
  <w:style w:type="paragraph" w:styleId="5">
    <w:name w:val="List Number 5"/>
    <w:basedOn w:val="a4"/>
    <w:qFormat/>
    <w:pPr>
      <w:numPr>
        <w:numId w:val="10"/>
      </w:numPr>
      <w:contextualSpacing/>
    </w:pPr>
  </w:style>
  <w:style w:type="paragraph" w:styleId="afff3">
    <w:name w:val="List"/>
    <w:basedOn w:val="a4"/>
    <w:link w:val="afff4"/>
    <w:qFormat/>
    <w:pPr>
      <w:ind w:left="283" w:hanging="283"/>
      <w:contextualSpacing/>
    </w:pPr>
  </w:style>
  <w:style w:type="paragraph" w:styleId="afff5">
    <w:name w:val="footnote text"/>
    <w:basedOn w:val="a4"/>
    <w:link w:val="afff6"/>
    <w:qFormat/>
  </w:style>
  <w:style w:type="paragraph" w:styleId="55">
    <w:name w:val="List 5"/>
    <w:basedOn w:val="a4"/>
    <w:qFormat/>
    <w:pPr>
      <w:ind w:left="1415" w:hanging="283"/>
      <w:contextualSpacing/>
    </w:pPr>
  </w:style>
  <w:style w:type="paragraph" w:styleId="38">
    <w:name w:val="Body Text Indent 3"/>
    <w:basedOn w:val="a4"/>
    <w:link w:val="39"/>
    <w:qFormat/>
    <w:pPr>
      <w:spacing w:after="120"/>
      <w:ind w:left="283"/>
    </w:pPr>
    <w:rPr>
      <w:sz w:val="16"/>
      <w:szCs w:val="16"/>
    </w:rPr>
  </w:style>
  <w:style w:type="paragraph" w:styleId="71">
    <w:name w:val="index 7"/>
    <w:basedOn w:val="a4"/>
    <w:next w:val="a4"/>
    <w:qFormat/>
    <w:pPr>
      <w:ind w:left="1400" w:hanging="200"/>
    </w:pPr>
  </w:style>
  <w:style w:type="paragraph" w:styleId="91">
    <w:name w:val="index 9"/>
    <w:basedOn w:val="a4"/>
    <w:next w:val="a4"/>
    <w:qFormat/>
    <w:pPr>
      <w:ind w:left="1800" w:hanging="200"/>
    </w:pPr>
  </w:style>
  <w:style w:type="paragraph" w:styleId="afff7">
    <w:name w:val="table of figures"/>
    <w:basedOn w:val="a4"/>
    <w:next w:val="a4"/>
    <w:qFormat/>
  </w:style>
  <w:style w:type="paragraph" w:styleId="TOC9">
    <w:name w:val="toc 9"/>
    <w:basedOn w:val="TOC8"/>
    <w:next w:val="a4"/>
    <w:uiPriority w:val="39"/>
    <w:qFormat/>
    <w:pPr>
      <w:ind w:left="1418" w:hanging="1418"/>
    </w:pPr>
  </w:style>
  <w:style w:type="paragraph" w:styleId="27">
    <w:name w:val="Body Text 2"/>
    <w:basedOn w:val="a4"/>
    <w:link w:val="28"/>
    <w:qFormat/>
    <w:pPr>
      <w:spacing w:after="120" w:line="480" w:lineRule="auto"/>
    </w:pPr>
  </w:style>
  <w:style w:type="paragraph" w:styleId="45">
    <w:name w:val="List 4"/>
    <w:basedOn w:val="a4"/>
    <w:qFormat/>
    <w:pPr>
      <w:ind w:left="1132" w:hanging="283"/>
      <w:contextualSpacing/>
    </w:pPr>
  </w:style>
  <w:style w:type="paragraph" w:styleId="29">
    <w:name w:val="List Continue 2"/>
    <w:basedOn w:val="a4"/>
    <w:qFormat/>
    <w:pPr>
      <w:spacing w:after="120"/>
      <w:ind w:left="566"/>
      <w:contextualSpacing/>
    </w:pPr>
  </w:style>
  <w:style w:type="paragraph" w:styleId="afff8">
    <w:name w:val="Message Header"/>
    <w:basedOn w:val="a4"/>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4"/>
    <w:link w:val="HTML2"/>
    <w:qFormat/>
    <w:rPr>
      <w:rFonts w:ascii="Courier New" w:hAnsi="Courier New" w:cs="Courier New"/>
    </w:rPr>
  </w:style>
  <w:style w:type="paragraph" w:styleId="afffa">
    <w:name w:val="Normal (Web)"/>
    <w:basedOn w:val="a4"/>
    <w:uiPriority w:val="99"/>
    <w:qFormat/>
    <w:rPr>
      <w:sz w:val="24"/>
      <w:szCs w:val="24"/>
    </w:rPr>
  </w:style>
  <w:style w:type="paragraph" w:styleId="3a">
    <w:name w:val="List Continue 3"/>
    <w:basedOn w:val="a4"/>
    <w:qFormat/>
    <w:pPr>
      <w:spacing w:after="120"/>
      <w:ind w:left="849"/>
      <w:contextualSpacing/>
    </w:pPr>
  </w:style>
  <w:style w:type="paragraph" w:styleId="2a">
    <w:name w:val="index 2"/>
    <w:basedOn w:val="a4"/>
    <w:next w:val="a4"/>
    <w:qFormat/>
    <w:pPr>
      <w:ind w:left="400" w:hanging="200"/>
    </w:pPr>
  </w:style>
  <w:style w:type="paragraph" w:styleId="afffb">
    <w:name w:val="Title"/>
    <w:basedOn w:val="a4"/>
    <w:next w:val="a4"/>
    <w:link w:val="afffc"/>
    <w:qFormat/>
    <w:pPr>
      <w:spacing w:before="240" w:after="60"/>
      <w:jc w:val="center"/>
      <w:outlineLvl w:val="0"/>
    </w:pPr>
    <w:rPr>
      <w:rFonts w:ascii="Calibri Light" w:hAnsi="Calibri Light"/>
      <w:b/>
      <w:bCs/>
      <w:kern w:val="28"/>
      <w:sz w:val="32"/>
      <w:szCs w:val="32"/>
    </w:rPr>
  </w:style>
  <w:style w:type="paragraph" w:styleId="afffd">
    <w:name w:val="annotation subject"/>
    <w:basedOn w:val="af6"/>
    <w:next w:val="af6"/>
    <w:link w:val="afffe"/>
    <w:uiPriority w:val="99"/>
    <w:qFormat/>
    <w:rPr>
      <w:b/>
      <w:bCs/>
    </w:rPr>
  </w:style>
  <w:style w:type="paragraph" w:styleId="affff">
    <w:name w:val="Body Text First Indent"/>
    <w:basedOn w:val="afc"/>
    <w:link w:val="affff0"/>
    <w:qFormat/>
    <w:pPr>
      <w:ind w:firstLine="210"/>
    </w:pPr>
  </w:style>
  <w:style w:type="paragraph" w:styleId="2b">
    <w:name w:val="Body Text First Indent 2"/>
    <w:basedOn w:val="afd"/>
    <w:link w:val="2c"/>
    <w:qFormat/>
    <w:pPr>
      <w:ind w:firstLine="210"/>
    </w:pPr>
  </w:style>
  <w:style w:type="table" w:styleId="affff1">
    <w:name w:val="Table 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2">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3">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Grid 1"/>
    <w:basedOn w:val="a6"/>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Strong"/>
    <w:basedOn w:val="a5"/>
    <w:uiPriority w:val="22"/>
    <w:qFormat/>
    <w:rPr>
      <w:b/>
      <w:bCs/>
    </w:rPr>
  </w:style>
  <w:style w:type="character" w:styleId="affff5">
    <w:name w:val="page number"/>
    <w:qFormat/>
  </w:style>
  <w:style w:type="character" w:styleId="affff6">
    <w:name w:val="FollowedHyperlink"/>
    <w:uiPriority w:val="99"/>
    <w:qFormat/>
    <w:rPr>
      <w:color w:val="954F72"/>
      <w:u w:val="single"/>
    </w:rPr>
  </w:style>
  <w:style w:type="character" w:styleId="affff7">
    <w:name w:val="Emphasis"/>
    <w:uiPriority w:val="20"/>
    <w:qFormat/>
    <w:rPr>
      <w:i/>
      <w:iCs/>
    </w:rPr>
  </w:style>
  <w:style w:type="character" w:styleId="affff8">
    <w:name w:val="line number"/>
    <w:qFormat/>
    <w:rPr>
      <w:rFonts w:ascii="Arial" w:eastAsia="宋体" w:hAnsi="Arial" w:cs="Arial"/>
      <w:color w:val="0000FF"/>
      <w:kern w:val="2"/>
      <w:sz w:val="18"/>
      <w:lang w:val="en-US" w:eastAsia="zh-CN" w:bidi="ar-SA"/>
    </w:rPr>
  </w:style>
  <w:style w:type="character" w:styleId="HTML3">
    <w:name w:val="HTML Typewriter"/>
    <w:uiPriority w:val="99"/>
    <w:unhideWhenUsed/>
    <w:qFormat/>
    <w:rPr>
      <w:rFonts w:ascii="Courier New" w:eastAsia="Calibri" w:hAnsi="Courier New" w:cs="Courier New" w:hint="default"/>
      <w:sz w:val="20"/>
      <w:szCs w:val="20"/>
    </w:rPr>
  </w:style>
  <w:style w:type="character" w:styleId="affff9">
    <w:name w:val="Hyperlink"/>
    <w:uiPriority w:val="99"/>
    <w:qFormat/>
    <w:rPr>
      <w:color w:val="0563C1"/>
      <w:u w:val="single"/>
    </w:rPr>
  </w:style>
  <w:style w:type="character" w:styleId="HTML4">
    <w:name w:val="HTML Code"/>
    <w:uiPriority w:val="99"/>
    <w:unhideWhenUsed/>
    <w:qFormat/>
    <w:rPr>
      <w:rFonts w:ascii="Courier New" w:eastAsia="Times New Roman" w:hAnsi="Courier New" w:cs="Courier New"/>
      <w:sz w:val="20"/>
      <w:szCs w:val="20"/>
    </w:rPr>
  </w:style>
  <w:style w:type="character" w:styleId="affffa">
    <w:name w:val="annotation reference"/>
    <w:qFormat/>
    <w:rPr>
      <w:sz w:val="16"/>
      <w:szCs w:val="16"/>
    </w:rPr>
  </w:style>
  <w:style w:type="character" w:styleId="affffb">
    <w:name w:val="footnote reference"/>
    <w:qFormat/>
    <w:rPr>
      <w:b/>
      <w:position w:val="6"/>
      <w:sz w:val="16"/>
    </w:rPr>
  </w:style>
  <w:style w:type="character" w:customStyle="1" w:styleId="aff8">
    <w:name w:val="批注框文本 字符"/>
    <w:link w:val="aff7"/>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3"/>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link w:val="afc"/>
    <w:uiPriority w:val="99"/>
    <w:qFormat/>
    <w:rPr>
      <w:lang w:eastAsia="en-US"/>
    </w:rPr>
  </w:style>
  <w:style w:type="character" w:customStyle="1" w:styleId="28">
    <w:name w:val="正文文本 2 字符"/>
    <w:link w:val="27"/>
    <w:qFormat/>
    <w:rPr>
      <w:lang w:eastAsia="en-US"/>
    </w:rPr>
  </w:style>
  <w:style w:type="character" w:customStyle="1" w:styleId="36">
    <w:name w:val="正文文本 3 字符"/>
    <w:link w:val="35"/>
    <w:qFormat/>
    <w:rPr>
      <w:sz w:val="16"/>
      <w:szCs w:val="16"/>
      <w:lang w:eastAsia="en-US"/>
    </w:rPr>
  </w:style>
  <w:style w:type="character" w:customStyle="1" w:styleId="affff0">
    <w:name w:val="正文文本首行缩进 字符"/>
    <w:basedOn w:val="11"/>
    <w:link w:val="affff"/>
    <w:qFormat/>
    <w:rPr>
      <w:lang w:eastAsia="en-US"/>
    </w:rPr>
  </w:style>
  <w:style w:type="character" w:customStyle="1" w:styleId="afe">
    <w:name w:val="正文文本缩进 字符"/>
    <w:link w:val="afd"/>
    <w:uiPriority w:val="99"/>
    <w:qFormat/>
    <w:rPr>
      <w:lang w:eastAsia="en-US"/>
    </w:rPr>
  </w:style>
  <w:style w:type="character" w:customStyle="1" w:styleId="2c">
    <w:name w:val="正文文本首行缩进 2 字符"/>
    <w:basedOn w:val="afe"/>
    <w:link w:val="2b"/>
    <w:qFormat/>
    <w:rPr>
      <w:lang w:eastAsia="en-US"/>
    </w:rPr>
  </w:style>
  <w:style w:type="character" w:customStyle="1" w:styleId="26">
    <w:name w:val="正文文本缩进 2 字符"/>
    <w:link w:val="25"/>
    <w:qFormat/>
    <w:rPr>
      <w:lang w:eastAsia="en-US"/>
    </w:rPr>
  </w:style>
  <w:style w:type="character" w:customStyle="1" w:styleId="39">
    <w:name w:val="正文文本缩进 3 字符"/>
    <w:link w:val="38"/>
    <w:qFormat/>
    <w:rPr>
      <w:sz w:val="16"/>
      <w:szCs w:val="16"/>
      <w:lang w:eastAsia="en-US"/>
    </w:rPr>
  </w:style>
  <w:style w:type="character" w:customStyle="1" w:styleId="afb">
    <w:name w:val="结束语 字符"/>
    <w:link w:val="afa"/>
    <w:qFormat/>
    <w:rPr>
      <w:lang w:eastAsia="en-US"/>
    </w:rPr>
  </w:style>
  <w:style w:type="character" w:customStyle="1" w:styleId="af7">
    <w:name w:val="批注文字 字符"/>
    <w:link w:val="af6"/>
    <w:uiPriority w:val="99"/>
    <w:qFormat/>
    <w:rPr>
      <w:lang w:eastAsia="en-US"/>
    </w:rPr>
  </w:style>
  <w:style w:type="character" w:customStyle="1" w:styleId="afffe">
    <w:name w:val="批注主题 字符"/>
    <w:link w:val="afffd"/>
    <w:uiPriority w:val="99"/>
    <w:qFormat/>
    <w:rPr>
      <w:b/>
      <w:bCs/>
      <w:lang w:eastAsia="en-US"/>
    </w:rPr>
  </w:style>
  <w:style w:type="character" w:customStyle="1" w:styleId="aff4">
    <w:name w:val="日期 字符"/>
    <w:link w:val="aff3"/>
    <w:uiPriority w:val="99"/>
    <w:qFormat/>
    <w:rPr>
      <w:lang w:eastAsia="en-US"/>
    </w:rPr>
  </w:style>
  <w:style w:type="character" w:customStyle="1" w:styleId="af4">
    <w:name w:val="文档结构图 字符"/>
    <w:link w:val="af3"/>
    <w:uiPriority w:val="99"/>
    <w:qFormat/>
    <w:rPr>
      <w:rFonts w:ascii="Segoe UI" w:hAnsi="Segoe UI" w:cs="Segoe UI"/>
      <w:sz w:val="16"/>
      <w:szCs w:val="16"/>
      <w:lang w:eastAsia="en-US"/>
    </w:rPr>
  </w:style>
  <w:style w:type="character" w:customStyle="1" w:styleId="ae">
    <w:name w:val="电子邮件签名 字符"/>
    <w:link w:val="ad"/>
    <w:qFormat/>
    <w:rPr>
      <w:lang w:eastAsia="en-US"/>
    </w:rPr>
  </w:style>
  <w:style w:type="character" w:customStyle="1" w:styleId="aff6">
    <w:name w:val="尾注文本 字符"/>
    <w:link w:val="aff5"/>
    <w:qFormat/>
    <w:rPr>
      <w:lang w:eastAsia="en-US"/>
    </w:rPr>
  </w:style>
  <w:style w:type="character" w:customStyle="1" w:styleId="afff6">
    <w:name w:val="脚注文本 字符"/>
    <w:link w:val="af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basedOn w:val="a4"/>
    <w:link w:val="3c"/>
    <w:uiPriority w:val="34"/>
    <w:qFormat/>
    <w:pPr>
      <w:ind w:left="720"/>
    </w:pPr>
  </w:style>
  <w:style w:type="character" w:customStyle="1" w:styleId="a9">
    <w:name w:val="宏文本 字符"/>
    <w:link w:val="a8"/>
    <w:qFormat/>
    <w:rPr>
      <w:rFonts w:ascii="Courier New" w:hAnsi="Courier New" w:cs="Courier New"/>
      <w:lang w:eastAsia="en-US"/>
    </w:rPr>
  </w:style>
  <w:style w:type="character" w:customStyle="1" w:styleId="afff9">
    <w:name w:val="信息标题 字符"/>
    <w:link w:val="afff8"/>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c">
    <w:name w:val="注释标题 字符"/>
    <w:link w:val="ab"/>
    <w:qFormat/>
    <w:rPr>
      <w:lang w:eastAsia="en-US"/>
    </w:rPr>
  </w:style>
  <w:style w:type="character" w:customStyle="1" w:styleId="aff2">
    <w:name w:val="纯文本 字符"/>
    <w:link w:val="aff1"/>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9">
    <w:name w:val="称呼 字符"/>
    <w:link w:val="af8"/>
    <w:qFormat/>
    <w:rPr>
      <w:lang w:eastAsia="en-US"/>
    </w:rPr>
  </w:style>
  <w:style w:type="character" w:customStyle="1" w:styleId="afff">
    <w:name w:val="签名 字符"/>
    <w:link w:val="affe"/>
    <w:qFormat/>
    <w:rPr>
      <w:lang w:eastAsia="en-US"/>
    </w:rPr>
  </w:style>
  <w:style w:type="character" w:customStyle="1" w:styleId="afff2">
    <w:name w:val="副标题 字符"/>
    <w:link w:val="afff1"/>
    <w:uiPriority w:val="11"/>
    <w:qFormat/>
    <w:rPr>
      <w:rFonts w:ascii="Calibri Light" w:eastAsia="Times New Roman" w:hAnsi="Calibri Light" w:cs="Times New Roman"/>
      <w:sz w:val="24"/>
      <w:szCs w:val="24"/>
      <w:lang w:eastAsia="en-US"/>
    </w:rPr>
  </w:style>
  <w:style w:type="character" w:customStyle="1" w:styleId="afffc">
    <w:name w:val="标题 字符"/>
    <w:link w:val="afffb"/>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rPr>
  </w:style>
  <w:style w:type="paragraph" w:customStyle="1" w:styleId="font6">
    <w:name w:val="font6"/>
    <w:basedOn w:val="a4"/>
    <w:qFormat/>
    <w:pPr>
      <w:spacing w:before="100" w:beforeAutospacing="1" w:after="100" w:afterAutospacing="1"/>
    </w:pPr>
    <w:rPr>
      <w:rFonts w:eastAsia="宋体"/>
      <w:sz w:val="22"/>
      <w:szCs w:val="22"/>
    </w:rPr>
  </w:style>
  <w:style w:type="paragraph" w:customStyle="1" w:styleId="font7">
    <w:name w:val="font7"/>
    <w:basedOn w:val="a4"/>
    <w:qFormat/>
    <w:pPr>
      <w:spacing w:before="100" w:beforeAutospacing="1" w:after="100" w:afterAutospacing="1"/>
    </w:pPr>
    <w:rPr>
      <w:rFonts w:eastAsia="宋体"/>
    </w:rPr>
  </w:style>
  <w:style w:type="paragraph" w:customStyle="1" w:styleId="font8">
    <w:name w:val="font8"/>
    <w:basedOn w:val="a4"/>
    <w:qFormat/>
    <w:pPr>
      <w:spacing w:before="100" w:beforeAutospacing="1" w:after="100" w:afterAutospacing="1"/>
    </w:pPr>
    <w:rPr>
      <w:rFonts w:eastAsia="宋体"/>
      <w:sz w:val="18"/>
      <w:szCs w:val="18"/>
    </w:rPr>
  </w:style>
  <w:style w:type="paragraph" w:customStyle="1" w:styleId="font9">
    <w:name w:val="font9"/>
    <w:basedOn w:val="a4"/>
    <w:qFormat/>
    <w:pPr>
      <w:spacing w:before="100" w:beforeAutospacing="1" w:after="100" w:afterAutospacing="1"/>
    </w:pPr>
    <w:rPr>
      <w:rFonts w:eastAsia="宋体"/>
      <w:b/>
      <w:bCs/>
      <w:sz w:val="18"/>
      <w:szCs w:val="18"/>
    </w:rPr>
  </w:style>
  <w:style w:type="paragraph" w:customStyle="1" w:styleId="font10">
    <w:name w:val="font10"/>
    <w:basedOn w:val="a4"/>
    <w:qFormat/>
    <w:pPr>
      <w:spacing w:before="100" w:beforeAutospacing="1" w:after="100" w:afterAutospacing="1"/>
    </w:pPr>
    <w:rPr>
      <w:rFonts w:ascii="宋体" w:eastAsia="宋体" w:hAnsi="宋体" w:cs="宋体"/>
      <w:sz w:val="18"/>
      <w:szCs w:val="18"/>
    </w:rPr>
  </w:style>
  <w:style w:type="paragraph" w:customStyle="1" w:styleId="font11">
    <w:name w:val="font11"/>
    <w:basedOn w:val="a4"/>
    <w:qFormat/>
    <w:pPr>
      <w:spacing w:before="100" w:beforeAutospacing="1" w:after="100" w:afterAutospacing="1"/>
    </w:pPr>
    <w:rPr>
      <w:rFonts w:ascii="宋体" w:eastAsia="宋体" w:hAnsi="宋体" w:cs="宋体"/>
      <w:sz w:val="22"/>
      <w:szCs w:val="22"/>
    </w:rPr>
  </w:style>
  <w:style w:type="paragraph" w:customStyle="1" w:styleId="font12">
    <w:name w:val="font12"/>
    <w:basedOn w:val="a4"/>
    <w:qFormat/>
    <w:pPr>
      <w:spacing w:before="100" w:beforeAutospacing="1" w:after="100" w:afterAutospacing="1"/>
    </w:pPr>
    <w:rPr>
      <w:rFonts w:ascii="宋体" w:eastAsia="宋体" w:hAnsi="宋体" w:cs="宋体"/>
    </w:rPr>
  </w:style>
  <w:style w:type="paragraph" w:customStyle="1" w:styleId="xl69">
    <w:name w:val="xl69"/>
    <w:basedOn w:val="a4"/>
    <w:qFormat/>
    <w:pPr>
      <w:spacing w:before="100" w:beforeAutospacing="1" w:after="100" w:afterAutospacing="1"/>
      <w:jc w:val="center"/>
    </w:pPr>
    <w:rPr>
      <w:rFonts w:eastAsia="宋体"/>
      <w:sz w:val="28"/>
      <w:szCs w:val="28"/>
    </w:rPr>
  </w:style>
  <w:style w:type="paragraph" w:customStyle="1" w:styleId="xl70">
    <w:name w:val="xl70"/>
    <w:basedOn w:val="a4"/>
    <w:qFormat/>
    <w:pPr>
      <w:spacing w:before="100" w:beforeAutospacing="1" w:after="100" w:afterAutospacing="1"/>
    </w:pPr>
    <w:rPr>
      <w:rFonts w:eastAsia="宋体"/>
      <w:sz w:val="24"/>
      <w:szCs w:val="24"/>
    </w:rPr>
  </w:style>
  <w:style w:type="paragraph" w:customStyle="1" w:styleId="xl71">
    <w:name w:val="xl71"/>
    <w:basedOn w:val="a4"/>
    <w:qFormat/>
    <w:pPr>
      <w:spacing w:before="100" w:beforeAutospacing="1" w:after="100" w:afterAutospacing="1"/>
      <w:jc w:val="center"/>
    </w:pPr>
    <w:rPr>
      <w:rFonts w:eastAsia="宋体"/>
      <w:sz w:val="24"/>
      <w:szCs w:val="24"/>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xl74">
    <w:name w:val="xl74"/>
    <w:basedOn w:val="a4"/>
    <w:qFormat/>
    <w:pPr>
      <w:spacing w:before="100" w:beforeAutospacing="1" w:after="100" w:afterAutospacing="1"/>
    </w:pPr>
    <w:rPr>
      <w:rFonts w:eastAsia="宋体"/>
      <w:sz w:val="24"/>
      <w:szCs w:val="24"/>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rPr>
  </w:style>
  <w:style w:type="paragraph" w:customStyle="1" w:styleId="xl98">
    <w:name w:val="xl98"/>
    <w:basedOn w:val="a4"/>
    <w:qFormat/>
    <w:pPr>
      <w:pBdr>
        <w:left w:val="single" w:sz="4" w:space="0" w:color="auto"/>
      </w:pBdr>
      <w:spacing w:before="100" w:beforeAutospacing="1" w:after="100" w:afterAutospacing="1"/>
      <w:jc w:val="center"/>
    </w:pPr>
    <w:rPr>
      <w:rFonts w:eastAsia="宋体"/>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rPr>
  </w:style>
  <w:style w:type="paragraph" w:customStyle="1" w:styleId="afffff2">
    <w:name w:val="表格"/>
    <w:basedOn w:val="a4"/>
    <w:link w:val="Char"/>
    <w:qFormat/>
    <w:pPr>
      <w:spacing w:after="0"/>
      <w:jc w:val="center"/>
    </w:pPr>
    <w:rPr>
      <w:rFonts w:eastAsia="Times New Roman"/>
      <w:sz w:val="12"/>
      <w:szCs w:val="12"/>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basedOn w:val="a5"/>
    <w:link w:val="31"/>
    <w:uiPriority w:val="10"/>
    <w:qFormat/>
    <w:rPr>
      <w:rFonts w:ascii="Arial" w:hAnsi="Arial"/>
      <w:sz w:val="28"/>
      <w:lang w:eastAsia="en-US"/>
    </w:rPr>
  </w:style>
  <w:style w:type="character" w:customStyle="1" w:styleId="42">
    <w:name w:val="标题 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rPr>
  </w:style>
  <w:style w:type="character" w:customStyle="1" w:styleId="af1">
    <w:name w:val="题注 字符"/>
    <w:link w:val="af0"/>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lang w:eastAsia="zh-CN"/>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c">
    <w:name w:val="页眉 字符"/>
    <w:link w:val="affa"/>
    <w:qFormat/>
    <w:rPr>
      <w:rFonts w:ascii="Arial" w:hAnsi="Arial"/>
      <w:b/>
      <w:sz w:val="18"/>
      <w:lang w:eastAsia="ja-JP"/>
    </w:rPr>
  </w:style>
  <w:style w:type="table" w:customStyle="1" w:styleId="18">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fc"/>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fc"/>
    <w:qFormat/>
    <w:pPr>
      <w:numPr>
        <w:numId w:val="21"/>
      </w:numPr>
      <w:tabs>
        <w:tab w:val="left" w:pos="360"/>
      </w:tabs>
      <w:spacing w:line="240" w:lineRule="auto"/>
      <w:jc w:val="left"/>
    </w:pPr>
    <w:rPr>
      <w:rFonts w:ascii="Times" w:eastAsia="Times New Roman" w:hAnsi="Times"/>
      <w:szCs w:val="24"/>
      <w:lang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b">
    <w:name w:val="页脚 字符"/>
    <w:link w:val="aff9"/>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basedOn w:val="a5"/>
    <w:link w:val="8"/>
    <w:uiPriority w:val="9"/>
    <w:qFormat/>
    <w:rPr>
      <w:rFonts w:ascii="Arial" w:hAnsi="Arial"/>
      <w:sz w:val="36"/>
      <w:lang w:val="en-GB" w:eastAsia="en-US"/>
    </w:rPr>
  </w:style>
  <w:style w:type="character" w:customStyle="1" w:styleId="90">
    <w:name w:val="标题 9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eastAsia="ko-KR"/>
    </w:rPr>
  </w:style>
  <w:style w:type="character" w:customStyle="1" w:styleId="Cat-c-ProposalChar">
    <w:name w:val="Cat-c-Proposal Char"/>
    <w:basedOn w:val="a5"/>
    <w:link w:val="Cat-c-Proposal"/>
    <w:qFormat/>
    <w:rPr>
      <w:rFonts w:asciiTheme="minorHAnsi" w:hAnsiTheme="minorHAnsi" w:cstheme="minorBidi"/>
      <w:b/>
      <w:kern w:val="2"/>
      <w:szCs w:val="22"/>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fc"/>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eastAsia="zh-CN"/>
    </w:rPr>
  </w:style>
  <w:style w:type="paragraph" w:customStyle="1" w:styleId="TdocHeader1">
    <w:name w:val="Tdoc_Header_1"/>
    <w:basedOn w:val="affa"/>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c"/>
    <w:link w:val="3GPPNormalTextChar"/>
    <w:qFormat/>
    <w:pPr>
      <w:spacing w:line="240" w:lineRule="auto"/>
    </w:pPr>
    <w:rPr>
      <w:rFonts w:eastAsia="MS Mincho"/>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rPr>
  </w:style>
  <w:style w:type="paragraph" w:customStyle="1" w:styleId="IvDbodytext">
    <w:name w:val="IvD bodytext"/>
    <w:basedOn w:val="afc"/>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eastAsia="ko-KR"/>
    </w:rPr>
  </w:style>
  <w:style w:type="character" w:customStyle="1" w:styleId="afffff7">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eastAsia="ko-KR"/>
    </w:rPr>
  </w:style>
  <w:style w:type="paragraph" w:customStyle="1" w:styleId="xmsolistparagraph">
    <w:name w:val="x_msolistparagraph"/>
    <w:basedOn w:val="a4"/>
    <w:qFormat/>
    <w:pPr>
      <w:spacing w:before="100" w:beforeAutospacing="1" w:after="100" w:afterAutospacing="1" w:line="240" w:lineRule="auto"/>
      <w:jc w:val="left"/>
    </w:pPr>
    <w:rPr>
      <w:rFonts w:ascii="宋体" w:eastAsia="宋体" w:hAnsi="宋体"/>
      <w:sz w:val="24"/>
      <w:szCs w:val="24"/>
      <w:lang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c"/>
    <w:qFormat/>
    <w:pPr>
      <w:tabs>
        <w:tab w:val="left" w:pos="1701"/>
        <w:tab w:val="right" w:pos="9639"/>
      </w:tabs>
      <w:spacing w:after="240"/>
    </w:pPr>
    <w:rPr>
      <w:rFonts w:ascii="Arial" w:eastAsia="Calibri" w:hAnsi="Arial"/>
      <w:b/>
      <w:sz w:val="24"/>
      <w:szCs w:val="22"/>
    </w:rPr>
  </w:style>
  <w:style w:type="paragraph" w:customStyle="1" w:styleId="DraftProposal">
    <w:name w:val="Draft Proposal"/>
    <w:basedOn w:val="afc"/>
    <w:next w:val="a4"/>
    <w:uiPriority w:val="99"/>
    <w:qFormat/>
    <w:pPr>
      <w:tabs>
        <w:tab w:val="left" w:pos="720"/>
        <w:tab w:val="left" w:pos="1701"/>
      </w:tabs>
      <w:spacing w:after="160"/>
      <w:ind w:left="720" w:hanging="360"/>
      <w:jc w:val="left"/>
    </w:pPr>
    <w:rPr>
      <w:rFonts w:ascii="Arial" w:eastAsia="Calibri" w:hAnsi="Arial" w:cs="Arial"/>
      <w:b/>
      <w:bCs/>
      <w:sz w:val="22"/>
      <w:szCs w:val="22"/>
      <w:lang w:eastAsia="en-US"/>
    </w:rPr>
  </w:style>
  <w:style w:type="paragraph" w:customStyle="1" w:styleId="Prop1">
    <w:name w:val="Prop1"/>
    <w:basedOn w:val="affffe"/>
    <w:uiPriority w:val="99"/>
    <w:qFormat/>
    <w:pPr>
      <w:spacing w:after="0" w:line="240" w:lineRule="auto"/>
      <w:ind w:left="0"/>
      <w:jc w:val="left"/>
    </w:pPr>
    <w:rPr>
      <w:rFonts w:eastAsia="宋体"/>
      <w:b/>
      <w:szCs w:val="21"/>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eastAsia="ko-KR"/>
    </w:rPr>
  </w:style>
  <w:style w:type="character" w:customStyle="1" w:styleId="3f1">
    <w:name w:val="見出し 3 (文字)"/>
    <w:qFormat/>
    <w:locked/>
    <w:rPr>
      <w:rFonts w:ascii="Arial" w:hAnsi="Arial" w:cs="Arial"/>
    </w:rPr>
  </w:style>
  <w:style w:type="character" w:customStyle="1" w:styleId="afffff8">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a"/>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eastAsia="en-US"/>
    </w:rPr>
  </w:style>
  <w:style w:type="paragraph" w:customStyle="1" w:styleId="tablecolhead">
    <w:name w:val="table col head"/>
    <w:basedOn w:val="a4"/>
    <w:uiPriority w:val="99"/>
    <w:qFormat/>
    <w:pPr>
      <w:spacing w:after="0"/>
      <w:jc w:val="center"/>
    </w:pPr>
    <w:rPr>
      <w:rFonts w:eastAsia="Times New Roman"/>
      <w:b/>
      <w:bCs/>
      <w:sz w:val="16"/>
      <w:szCs w:val="16"/>
      <w:lang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fc"/>
    <w:next w:val="a4"/>
    <w:link w:val="proposalChar0"/>
    <w:qFormat/>
    <w:pPr>
      <w:spacing w:beforeLines="50" w:before="120" w:afterLines="50" w:line="240" w:lineRule="auto"/>
      <w:ind w:left="1134" w:hanging="1134"/>
    </w:pPr>
    <w:rPr>
      <w:rFonts w:eastAsia="宋体"/>
      <w:b/>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style>
  <w:style w:type="paragraph" w:customStyle="1" w:styleId="1d">
    <w:name w:val="无间隔1"/>
    <w:uiPriority w:val="99"/>
    <w:qFormat/>
    <w:pPr>
      <w:spacing w:after="160" w:line="252" w:lineRule="auto"/>
    </w:pPr>
    <w:rPr>
      <w:rFonts w:eastAsia="宋体"/>
      <w:sz w:val="22"/>
      <w:szCs w:val="22"/>
    </w:rPr>
  </w:style>
  <w:style w:type="paragraph" w:customStyle="1" w:styleId="PaperTableCell">
    <w:name w:val="PaperTableCell"/>
    <w:basedOn w:val="a4"/>
    <w:qFormat/>
    <w:pPr>
      <w:spacing w:after="0" w:line="240" w:lineRule="auto"/>
    </w:pPr>
    <w:rPr>
      <w:rFonts w:eastAsia="Times New Roman"/>
      <w:sz w:val="16"/>
      <w:szCs w:val="24"/>
      <w:lang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rPr>
  </w:style>
  <w:style w:type="paragraph" w:customStyle="1" w:styleId="-110">
    <w:name w:val="彩色底纹 - 强调文字颜色 11"/>
    <w:uiPriority w:val="71"/>
    <w:qFormat/>
    <w:pPr>
      <w:spacing w:after="160" w:line="252" w:lineRule="auto"/>
    </w:pPr>
    <w:rPr>
      <w:rFonts w:eastAsia="宋体"/>
      <w:sz w:val="22"/>
      <w:szCs w:val="22"/>
    </w:rPr>
  </w:style>
  <w:style w:type="character" w:customStyle="1" w:styleId="RAN1bullet1Char">
    <w:name w:val="RAN1 bullet1 Char"/>
    <w:link w:val="RAN1bullet1"/>
    <w:qFormat/>
    <w:locked/>
    <w:rPr>
      <w:rFonts w:ascii="t" w:eastAsia="t" w:hAnsi="t"/>
      <w:szCs w:val="22"/>
      <w:lang w:eastAsia="zh-CN"/>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rPr>
  </w:style>
  <w:style w:type="paragraph" w:customStyle="1" w:styleId="Style2">
    <w:name w:val="_Style 2"/>
    <w:uiPriority w:val="99"/>
    <w:qFormat/>
    <w:pPr>
      <w:spacing w:after="160" w:line="252" w:lineRule="auto"/>
    </w:pPr>
    <w:rPr>
      <w:rFonts w:eastAsia="宋体"/>
      <w:sz w:val="22"/>
      <w:szCs w:val="22"/>
    </w:rPr>
  </w:style>
  <w:style w:type="paragraph" w:customStyle="1" w:styleId="Style10">
    <w:name w:val="_Style 1"/>
    <w:uiPriority w:val="99"/>
    <w:qFormat/>
    <w:pPr>
      <w:spacing w:after="160" w:line="252" w:lineRule="auto"/>
    </w:pPr>
    <w:rPr>
      <w:rFonts w:eastAsia="宋体"/>
      <w:sz w:val="22"/>
      <w:szCs w:val="22"/>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fc"/>
    <w:link w:val="RAN1textChar"/>
    <w:qFormat/>
    <w:pPr>
      <w:widowControl w:val="0"/>
      <w:spacing w:after="0" w:line="240" w:lineRule="auto"/>
    </w:pPr>
    <w:rPr>
      <w:rFonts w:ascii="MS Mincho" w:hAnsi="MS Mincho"/>
      <w:color w:val="0000FF"/>
      <w:kern w:val="2"/>
      <w:sz w:val="21"/>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rPr>
  </w:style>
  <w:style w:type="paragraph" w:customStyle="1" w:styleId="1e">
    <w:name w:val="正文1"/>
    <w:uiPriority w:val="99"/>
    <w:qFormat/>
    <w:pPr>
      <w:spacing w:after="160" w:line="252" w:lineRule="auto"/>
      <w:jc w:val="both"/>
    </w:pPr>
    <w:rPr>
      <w:rFonts w:eastAsia="宋体"/>
      <w:kern w:val="2"/>
      <w:sz w:val="21"/>
      <w:szCs w:val="21"/>
    </w:rPr>
  </w:style>
  <w:style w:type="paragraph" w:customStyle="1" w:styleId="2f7">
    <w:name w:val="正文2"/>
    <w:uiPriority w:val="99"/>
    <w:qFormat/>
    <w:pPr>
      <w:spacing w:after="160" w:line="252" w:lineRule="auto"/>
      <w:jc w:val="both"/>
    </w:pPr>
    <w:rPr>
      <w:rFonts w:eastAsia="宋体"/>
      <w:kern w:val="2"/>
      <w:sz w:val="21"/>
      <w:szCs w:val="21"/>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rPr>
  </w:style>
  <w:style w:type="paragraph" w:customStyle="1" w:styleId="3f2">
    <w:name w:val="正文3"/>
    <w:uiPriority w:val="99"/>
    <w:qFormat/>
    <w:pPr>
      <w:spacing w:before="100" w:beforeAutospacing="1" w:after="180" w:line="252" w:lineRule="auto"/>
    </w:pPr>
    <w:rPr>
      <w:rFonts w:eastAsia="宋体"/>
      <w:sz w:val="24"/>
      <w:szCs w:val="24"/>
    </w:rPr>
  </w:style>
  <w:style w:type="paragraph" w:customStyle="1" w:styleId="04Proposal1">
    <w:name w:val="04_Proposal1"/>
    <w:basedOn w:val="a4"/>
    <w:uiPriority w:val="99"/>
    <w:qFormat/>
    <w:pPr>
      <w:spacing w:after="200" w:line="276" w:lineRule="auto"/>
      <w:jc w:val="left"/>
    </w:pPr>
    <w:rPr>
      <w:rFonts w:eastAsia="t"/>
      <w:bCs/>
      <w:i/>
      <w:iCs/>
      <w:szCs w:val="22"/>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rPr>
  </w:style>
  <w:style w:type="paragraph" w:customStyle="1" w:styleId="48">
    <w:name w:val="正文4"/>
    <w:uiPriority w:val="99"/>
    <w:qFormat/>
    <w:pPr>
      <w:spacing w:before="100" w:beforeAutospacing="1" w:after="180" w:line="252" w:lineRule="auto"/>
    </w:pPr>
    <w:rPr>
      <w:rFonts w:eastAsia="宋体"/>
      <w:sz w:val="24"/>
      <w:szCs w:val="24"/>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lang w:eastAsia="zh-CN"/>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afff4">
    <w:name w:val="列表 字符"/>
    <w:link w:val="afff3"/>
    <w:qFormat/>
    <w:rPr>
      <w:lang w:val="en-GB" w:eastAsia="en-GB"/>
    </w:rPr>
  </w:style>
  <w:style w:type="character" w:customStyle="1" w:styleId="24">
    <w:name w:val="列表 2 字符"/>
    <w:link w:val="23"/>
    <w:qFormat/>
    <w:rPr>
      <w:lang w:val="en-GB" w:eastAsia="en-GB"/>
    </w:rPr>
  </w:style>
  <w:style w:type="character" w:customStyle="1" w:styleId="34">
    <w:name w:val="列表 3 字符"/>
    <w:link w:val="33"/>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lang w:eastAsia="zh-CN"/>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fd"/>
    <w:qFormat/>
    <w:pPr>
      <w:overflowPunct w:val="0"/>
      <w:autoSpaceDE w:val="0"/>
      <w:autoSpaceDN w:val="0"/>
      <w:adjustRightInd w:val="0"/>
      <w:spacing w:line="240" w:lineRule="auto"/>
      <w:ind w:left="426" w:hanging="426"/>
      <w:textAlignment w:val="baseline"/>
    </w:pPr>
    <w:rPr>
      <w:rFonts w:eastAsia="MS Mincho"/>
      <w:sz w:val="22"/>
      <w:lang w:val="zh-CN"/>
    </w:rPr>
  </w:style>
  <w:style w:type="paragraph" w:customStyle="1" w:styleId="HDStyleLS">
    <w:name w:val="HDStyle_LS"/>
    <w:basedOn w:val="affa"/>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fc"/>
    <w:qFormat/>
    <w:pPr>
      <w:widowControl w:val="0"/>
      <w:spacing w:after="0" w:line="240" w:lineRule="auto"/>
    </w:pPr>
    <w:rPr>
      <w:rFonts w:eastAsia="Malgun Gothic"/>
      <w:color w:val="0000FF"/>
      <w:kern w:val="2"/>
      <w:sz w:val="21"/>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rPr>
  </w:style>
  <w:style w:type="paragraph" w:customStyle="1" w:styleId="FigureCaption">
    <w:name w:val="Figure Caption"/>
    <w:basedOn w:val="a4"/>
    <w:qFormat/>
    <w:pPr>
      <w:keepLines/>
      <w:spacing w:before="60" w:after="120" w:line="300" w:lineRule="atLeast"/>
      <w:ind w:left="1008" w:hanging="1008"/>
    </w:pPr>
    <w:rPr>
      <w:rFonts w:eastAsia="????"/>
      <w:lang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eastAsia="en-US"/>
    </w:rPr>
  </w:style>
  <w:style w:type="paragraph" w:customStyle="1" w:styleId="Style10ptChar">
    <w:name w:val="Style 10 pt Char"/>
    <w:basedOn w:val="a4"/>
    <w:qFormat/>
    <w:pPr>
      <w:spacing w:before="120" w:after="0" w:line="240" w:lineRule="exact"/>
    </w:pPr>
    <w:rPr>
      <w:rFonts w:eastAsia="MS Mincho"/>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fc"/>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eastAsia="en-US"/>
    </w:rPr>
  </w:style>
  <w:style w:type="paragraph" w:customStyle="1" w:styleId="410">
    <w:name w:val="标题41"/>
    <w:basedOn w:val="a4"/>
    <w:next w:val="af"/>
    <w:qFormat/>
    <w:pPr>
      <w:widowControl w:val="0"/>
      <w:spacing w:after="0" w:line="240" w:lineRule="auto"/>
      <w:ind w:firstLine="420"/>
    </w:pPr>
    <w:rPr>
      <w:rFonts w:eastAsia="Times New Roman"/>
      <w:kern w:val="2"/>
      <w:sz w:val="21"/>
    </w:rPr>
  </w:style>
  <w:style w:type="paragraph" w:customStyle="1" w:styleId="BodyTextIndent1">
    <w:name w:val="Body Text Indent1"/>
    <w:basedOn w:val="a4"/>
    <w:next w:val="afd"/>
    <w:uiPriority w:val="99"/>
    <w:unhideWhenUsed/>
    <w:qFormat/>
    <w:pPr>
      <w:spacing w:after="120" w:line="276" w:lineRule="auto"/>
      <w:ind w:left="360"/>
      <w:jc w:val="left"/>
    </w:pPr>
    <w:rPr>
      <w:rFonts w:ascii="CG Times (WN)" w:eastAsia="Times New Roman" w:hAnsi="CG Times (W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8"/>
    <w:qFormat/>
    <w:pPr>
      <w:overflowPunct w:val="0"/>
      <w:autoSpaceDE w:val="0"/>
      <w:autoSpaceDN w:val="0"/>
      <w:adjustRightInd w:val="0"/>
      <w:spacing w:after="0" w:line="240" w:lineRule="auto"/>
      <w:ind w:left="1080"/>
      <w:jc w:val="left"/>
      <w:textAlignment w:val="baseline"/>
    </w:pPr>
    <w:rPr>
      <w:rFonts w:eastAsia="宋体"/>
      <w:lang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eastAsia="ko-KR"/>
    </w:rPr>
  </w:style>
  <w:style w:type="character" w:customStyle="1" w:styleId="PatApplChar">
    <w:name w:val="Pat Appl Char"/>
    <w:basedOn w:val="a5"/>
    <w:link w:val="PatAppl"/>
    <w:qFormat/>
    <w:locked/>
    <w:rPr>
      <w:rFonts w:eastAsia="t"/>
      <w:szCs w:val="22"/>
      <w:lang w:eastAsia="zh-CN"/>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eastAsia="en-US"/>
    </w:rPr>
  </w:style>
  <w:style w:type="character" w:customStyle="1" w:styleId="xnormaltextrun">
    <w:name w:val="x_normaltextrun"/>
    <w:basedOn w:val="a5"/>
  </w:style>
  <w:style w:type="paragraph" w:customStyle="1" w:styleId="1f7">
    <w:name w:val="수정1"/>
    <w:hidden/>
    <w:uiPriority w:val="99"/>
    <w:semiHidden/>
    <w:rPr>
      <w:lang w:val="en-GB" w:eastAsia="en-GB"/>
    </w:rPr>
  </w:style>
  <w:style w:type="character" w:customStyle="1" w:styleId="49">
    <w:name w:val="未处理的提及4"/>
    <w:basedOn w:val="a5"/>
    <w:uiPriority w:val="99"/>
    <w:semiHidden/>
    <w:unhideWhenUsed/>
    <w:rPr>
      <w:color w:val="605E5C"/>
      <w:shd w:val="clear" w:color="auto" w:fill="E1DFDD"/>
    </w:rPr>
  </w:style>
  <w:style w:type="table" w:customStyle="1" w:styleId="TableGrid50">
    <w:name w:val="TableGrid5"/>
    <w:basedOn w:val="a6"/>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修订6"/>
    <w:hidden/>
    <w:uiPriority w:val="99"/>
    <w:semiHidden/>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DA7B3F71-535C-41FB-893A-2AE60DEFE68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3660</Words>
  <Characters>20862</Characters>
  <Application>Microsoft Office Word</Application>
  <DocSecurity>0</DocSecurity>
  <Lines>173</Lines>
  <Paragraphs>48</Paragraphs>
  <ScaleCrop>false</ScaleCrop>
  <Company>ETSI</Company>
  <LinksUpToDate>false</LinksUpToDate>
  <CharactersWithSpaces>24474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2019-02-28T13:35:00Z</cp:lastPrinted>
  <dcterms:created xsi:type="dcterms:W3CDTF">2024-08-21T07:54:00Z</dcterms:created>
  <dcterms:modified xsi:type="dcterms:W3CDTF">2024-08-21T07:54:00Z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2052-11.8.2.12085</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(3)hMszWBL4cZLzlAtmqXgy2BAQ9y46xMv8sdw4VjJZ5UFo1EWGfpGhgd+RU2uYWRWrjNXZQsDo
1LwAvASuJYgu8JDechXsQc9JYyMoTl+z8hTV2BWdQK8+1ZEHYQvu/C35JT5VGZ1zMeOM54Fc
CAp7Q5hMAMwK0P+Q1rarVQipUO3VAxyEab/gDFMLRlL5vq+THWY0ZBCoOf6iImn/7UNalzVF
mAixDr/6aprQfd75n8</vt:lpwstr>
  </property>
  <property fmtid="{D5CDD505-2E9C-101B-9397-08002B2CF9AE}" pid="12" name="_2015_ms_pID_7253431">
    <vt:lpwstr>nvhh0hjVmaXBCo/mqiZyRot4XfE/nA0NYjHnMIhU0pfnT2LiwTHRbm
O2FkyfLzYx6q21CO5sXUgy0pQOQqx/s+gJpK+OsY3IhtI775soipbnfpllHC1hB/6HlNYeST
e44/U/m/8x+b7IQeXn55jMK/exdupvYUJM0JjALMoaEdxOOhxqVntXWSDb42NSsfMQhKOynz
eLVVlKwlQX2fk2URFyndXb0ZB0f+GmINJKnV</vt:lpwstr>
  </property>
  <property fmtid="{D5CDD505-2E9C-101B-9397-08002B2CF9AE}" pid="13" name="_2015_ms_pID_7253432">
    <vt:lpwstr>IQ==</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