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5EF3" w:rsidRDefault="00FE1FEC">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w:t>
      </w:r>
      <w:r>
        <w:rPr>
          <w:rFonts w:ascii="Arial" w:hAnsi="Arial" w:cs="Arial" w:hint="eastAsia"/>
          <w:b/>
          <w:bCs/>
          <w:sz w:val="22"/>
          <w:szCs w:val="22"/>
        </w:rPr>
        <w:t>7</w:t>
      </w:r>
      <w:r>
        <w:rPr>
          <w:rFonts w:ascii="Arial" w:hAnsi="Arial" w:cs="Arial"/>
          <w:b/>
          <w:bCs/>
          <w:sz w:val="22"/>
          <w:szCs w:val="22"/>
          <w:lang w:eastAsia="ja-JP"/>
        </w:rPr>
        <w:tab/>
      </w:r>
      <w:r>
        <w:rPr>
          <w:rFonts w:ascii="Arial" w:hAnsi="Arial" w:cs="Arial"/>
          <w:b/>
          <w:bCs/>
          <w:sz w:val="22"/>
          <w:szCs w:val="22"/>
          <w:lang w:eastAsia="ja-JP"/>
        </w:rPr>
        <w:tab/>
        <w:t xml:space="preserve">                                   R1-</w:t>
      </w:r>
      <w:r>
        <w:rPr>
          <w:rFonts w:ascii="Arial" w:hAnsi="Arial" w:cs="Arial" w:hint="eastAsia"/>
          <w:b/>
          <w:bCs/>
          <w:sz w:val="22"/>
          <w:szCs w:val="22"/>
          <w:lang w:eastAsia="ja-JP"/>
        </w:rPr>
        <w:t>24</w:t>
      </w:r>
      <w:r>
        <w:rPr>
          <w:rFonts w:ascii="Arial" w:hAnsi="Arial" w:cs="Arial" w:hint="eastAsia"/>
          <w:b/>
          <w:bCs/>
          <w:sz w:val="22"/>
          <w:szCs w:val="22"/>
        </w:rPr>
        <w:t>04562</w:t>
      </w:r>
    </w:p>
    <w:p w:rsidR="00095EF3" w:rsidRDefault="00FE1FEC">
      <w:pPr>
        <w:spacing w:before="120" w:after="120"/>
        <w:rPr>
          <w:rFonts w:ascii="Arial" w:hAnsi="Arial" w:cs="Arial"/>
          <w:b/>
          <w:bCs/>
          <w:sz w:val="22"/>
          <w:szCs w:val="22"/>
        </w:rPr>
      </w:pPr>
      <w:r>
        <w:rPr>
          <w:rFonts w:ascii="Arial" w:hAnsi="Arial" w:cs="Arial" w:hint="eastAsia"/>
          <w:b/>
          <w:bCs/>
          <w:sz w:val="22"/>
          <w:szCs w:val="22"/>
        </w:rPr>
        <w:t>Fukuoka</w:t>
      </w:r>
      <w:r>
        <w:rPr>
          <w:rFonts w:ascii="Arial" w:hAnsi="Arial" w:cs="Arial"/>
          <w:b/>
          <w:bCs/>
          <w:sz w:val="22"/>
          <w:szCs w:val="22"/>
          <w:lang w:eastAsia="ja-JP"/>
        </w:rPr>
        <w:t xml:space="preserve">, </w:t>
      </w:r>
      <w:r>
        <w:rPr>
          <w:rFonts w:ascii="Arial" w:hAnsi="Arial" w:cs="Arial" w:hint="eastAsia"/>
          <w:b/>
          <w:bCs/>
          <w:sz w:val="22"/>
          <w:szCs w:val="22"/>
        </w:rPr>
        <w:t>Japan, May 20</w:t>
      </w:r>
      <w:r>
        <w:rPr>
          <w:rFonts w:ascii="Arial" w:hAnsi="Arial" w:cs="Arial" w:hint="eastAsia"/>
          <w:b/>
          <w:bCs/>
          <w:sz w:val="22"/>
          <w:szCs w:val="22"/>
          <w:vertAlign w:val="superscript"/>
        </w:rPr>
        <w:t>th</w:t>
      </w:r>
      <w:r>
        <w:rPr>
          <w:rFonts w:ascii="Arial" w:eastAsia="MS Mincho" w:hAnsi="Arial" w:cs="Arial"/>
          <w:b/>
          <w:bCs/>
          <w:sz w:val="22"/>
          <w:szCs w:val="22"/>
        </w:rPr>
        <w:t xml:space="preserve"> – </w:t>
      </w:r>
      <w:r>
        <w:rPr>
          <w:rFonts w:ascii="Arial" w:hAnsi="Arial" w:cs="Arial" w:hint="eastAsia"/>
          <w:b/>
          <w:bCs/>
          <w:sz w:val="22"/>
          <w:szCs w:val="22"/>
        </w:rPr>
        <w:t>May 24</w:t>
      </w:r>
      <w:r>
        <w:rPr>
          <w:rFonts w:ascii="Arial" w:hAnsi="Arial" w:cs="Arial" w:hint="eastAsia"/>
          <w:b/>
          <w:bCs/>
          <w:sz w:val="22"/>
          <w:szCs w:val="22"/>
          <w:vertAlign w:val="superscript"/>
        </w:rPr>
        <w:t>th</w:t>
      </w:r>
      <w:r>
        <w:rPr>
          <w:rFonts w:ascii="Arial" w:hAnsi="Arial" w:cs="Arial"/>
          <w:b/>
          <w:bCs/>
          <w:sz w:val="22"/>
          <w:szCs w:val="22"/>
          <w:lang w:eastAsia="ja-JP"/>
        </w:rPr>
        <w:t>, 202</w:t>
      </w:r>
      <w:r>
        <w:rPr>
          <w:rFonts w:ascii="Arial" w:hAnsi="Arial" w:cs="Arial" w:hint="eastAsia"/>
          <w:b/>
          <w:bCs/>
          <w:sz w:val="22"/>
          <w:szCs w:val="22"/>
        </w:rPr>
        <w:t>4</w:t>
      </w:r>
    </w:p>
    <w:p w:rsidR="00095EF3" w:rsidRDefault="00FE1FEC">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Discussio</w:t>
      </w:r>
      <w:r>
        <w:rPr>
          <w:rFonts w:ascii="Arial" w:hAnsi="Arial" w:hint="eastAsia"/>
          <w:b/>
          <w:sz w:val="22"/>
          <w:szCs w:val="22"/>
        </w:rPr>
        <w:t xml:space="preserve">n on </w:t>
      </w:r>
      <w:r>
        <w:rPr>
          <w:rFonts w:ascii="Arial" w:hAnsi="Arial"/>
          <w:b/>
          <w:sz w:val="22"/>
          <w:szCs w:val="22"/>
        </w:rPr>
        <w:t>com</w:t>
      </w:r>
      <w:r w:rsidR="008531F2">
        <w:rPr>
          <w:rFonts w:ascii="Arial" w:hAnsi="Arial"/>
          <w:b/>
          <w:sz w:val="22"/>
          <w:szCs w:val="22"/>
        </w:rPr>
        <w:t xml:space="preserve">mon signal/channel </w:t>
      </w:r>
      <w:r>
        <w:rPr>
          <w:rFonts w:ascii="Arial" w:hAnsi="Arial" w:hint="eastAsia"/>
          <w:b/>
          <w:sz w:val="22"/>
          <w:szCs w:val="22"/>
        </w:rPr>
        <w:t>for NES</w:t>
      </w:r>
      <w:r>
        <w:rPr>
          <w:rFonts w:ascii="Arial" w:hAnsi="Arial"/>
          <w:b/>
          <w:sz w:val="22"/>
          <w:szCs w:val="22"/>
        </w:rPr>
        <w:t> </w:t>
      </w:r>
    </w:p>
    <w:p w:rsidR="00095EF3" w:rsidRDefault="00FE1FEC">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 xml:space="preserve">ZTE, </w:t>
      </w:r>
      <w:proofErr w:type="spellStart"/>
      <w:r>
        <w:rPr>
          <w:rFonts w:ascii="Arial" w:hAnsi="Arial"/>
          <w:b/>
          <w:sz w:val="22"/>
          <w:szCs w:val="22"/>
        </w:rPr>
        <w:t>Sanechips</w:t>
      </w:r>
      <w:proofErr w:type="spellEnd"/>
    </w:p>
    <w:p w:rsidR="00095EF3" w:rsidRDefault="00FE1FEC">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9.5.3</w:t>
      </w:r>
    </w:p>
    <w:p w:rsidR="00095EF3" w:rsidRDefault="00FE1FEC">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095EF3" w:rsidRDefault="00FE1FEC">
      <w:pPr>
        <w:pStyle w:val="1"/>
        <w:spacing w:before="120" w:after="120"/>
        <w:ind w:left="0"/>
        <w:rPr>
          <w:rFonts w:eastAsia="宋体"/>
        </w:rPr>
      </w:pPr>
      <w:r>
        <w:rPr>
          <w:rFonts w:eastAsia="宋体" w:hint="eastAsia"/>
        </w:rPr>
        <w:t>Introduction</w:t>
      </w:r>
    </w:p>
    <w:p w:rsidR="00095EF3" w:rsidRDefault="00FE1FEC">
      <w:pPr>
        <w:spacing w:before="120" w:after="120"/>
        <w:rPr>
          <w:szCs w:val="21"/>
        </w:rPr>
      </w:pPr>
      <w:r>
        <w:rPr>
          <w:rFonts w:hint="eastAsia"/>
          <w:szCs w:val="21"/>
        </w:rPr>
        <w:t xml:space="preserve">In this paper, </w:t>
      </w:r>
      <w:r>
        <w:rPr>
          <w:szCs w:val="21"/>
        </w:rPr>
        <w:t>we further explore the adaptation of SSB in the time domain, focusing on its applicable scenarios and potential schemes in Section 2</w:t>
      </w:r>
      <w:r>
        <w:rPr>
          <w:rFonts w:hint="eastAsia"/>
          <w:szCs w:val="21"/>
        </w:rPr>
        <w:t xml:space="preserve">. The adaptation of PRACH in </w:t>
      </w:r>
      <w:r>
        <w:rPr>
          <w:szCs w:val="21"/>
        </w:rPr>
        <w:t xml:space="preserve">the </w:t>
      </w:r>
      <w:r w:rsidR="002B0CC5">
        <w:rPr>
          <w:rFonts w:hint="eastAsia"/>
          <w:szCs w:val="21"/>
        </w:rPr>
        <w:t>time/</w:t>
      </w:r>
      <w:r>
        <w:rPr>
          <w:rFonts w:hint="eastAsia"/>
          <w:szCs w:val="21"/>
        </w:rPr>
        <w:t xml:space="preserve">spatial domain </w:t>
      </w:r>
      <w:r>
        <w:rPr>
          <w:szCs w:val="21"/>
        </w:rPr>
        <w:t>is</w:t>
      </w:r>
      <w:r>
        <w:rPr>
          <w:rFonts w:hint="eastAsia"/>
          <w:szCs w:val="21"/>
        </w:rPr>
        <w:t xml:space="preserve"> discussed in Section 3 and Section 4. Moreover, adaptation of paging occasions</w:t>
      </w:r>
      <w:r>
        <w:rPr>
          <w:szCs w:val="21"/>
        </w:rPr>
        <w:t xml:space="preserve"> and </w:t>
      </w:r>
      <w:r>
        <w:rPr>
          <w:rFonts w:hint="eastAsia"/>
          <w:szCs w:val="21"/>
        </w:rPr>
        <w:t xml:space="preserve">the unified signaling for </w:t>
      </w:r>
      <w:r>
        <w:rPr>
          <w:rFonts w:hint="eastAsia"/>
        </w:rPr>
        <w:t xml:space="preserve">adaptation of common signal/channel </w:t>
      </w:r>
      <w:r>
        <w:t>are</w:t>
      </w:r>
      <w:r>
        <w:rPr>
          <w:rFonts w:hint="eastAsia"/>
        </w:rPr>
        <w:t xml:space="preserve"> </w:t>
      </w:r>
      <w:r>
        <w:t>considered</w:t>
      </w:r>
      <w:r>
        <w:rPr>
          <w:rFonts w:hint="eastAsia"/>
        </w:rPr>
        <w:t>.</w:t>
      </w:r>
    </w:p>
    <w:p w:rsidR="00095EF3" w:rsidRDefault="00FE1FEC">
      <w:pPr>
        <w:pStyle w:val="1"/>
        <w:spacing w:before="120" w:after="120"/>
        <w:ind w:left="0"/>
      </w:pPr>
      <w:r>
        <w:rPr>
          <w:rFonts w:eastAsia="宋体" w:hint="eastAsia"/>
        </w:rPr>
        <w:t>Adaptation of SSB in time domain</w:t>
      </w:r>
    </w:p>
    <w:p w:rsidR="00095EF3" w:rsidRDefault="00FE1FEC">
      <w:pPr>
        <w:pStyle w:val="2"/>
        <w:spacing w:before="120" w:after="120"/>
        <w:ind w:left="991" w:right="210" w:hangingChars="354" w:hanging="991"/>
      </w:pPr>
      <w:r>
        <w:rPr>
          <w:rFonts w:eastAsia="宋体" w:hint="eastAsia"/>
        </w:rPr>
        <w:t>Scenarios for adaptation of SSB in time domain</w:t>
      </w:r>
    </w:p>
    <w:p w:rsidR="00095EF3" w:rsidRDefault="00FE1FEC">
      <w:pPr>
        <w:spacing w:before="120" w:after="120"/>
      </w:pPr>
      <w:r>
        <w:rPr>
          <w:rFonts w:hint="eastAsia"/>
        </w:rPr>
        <w:t xml:space="preserve">In RAN1#116bis meeting, </w:t>
      </w:r>
      <w:r>
        <w:t xml:space="preserve">the </w:t>
      </w:r>
      <w:r>
        <w:rPr>
          <w:rFonts w:hint="eastAsia"/>
        </w:rPr>
        <w:t>agreement for applicable scenario is agreed as follows [1].</w:t>
      </w:r>
    </w:p>
    <w:tbl>
      <w:tblPr>
        <w:tblStyle w:val="af3"/>
        <w:tblW w:w="0" w:type="auto"/>
        <w:tblLook w:val="04A0" w:firstRow="1" w:lastRow="0" w:firstColumn="1" w:lastColumn="0" w:noHBand="0" w:noVBand="1"/>
      </w:tblPr>
      <w:tblGrid>
        <w:gridCol w:w="9650"/>
      </w:tblGrid>
      <w:tr w:rsidR="00095EF3">
        <w:tc>
          <w:tcPr>
            <w:tcW w:w="9752" w:type="dxa"/>
          </w:tcPr>
          <w:p w:rsidR="00095EF3" w:rsidRDefault="00FE1FEC">
            <w:pPr>
              <w:spacing w:beforeLines="0" w:afterLines="0" w:after="0" w:line="240" w:lineRule="auto"/>
              <w:rPr>
                <w:b/>
                <w:bCs/>
                <w:highlight w:val="green"/>
              </w:rPr>
            </w:pPr>
            <w:r>
              <w:rPr>
                <w:b/>
                <w:bCs/>
                <w:highlight w:val="green"/>
              </w:rPr>
              <w:t>Agreement</w:t>
            </w:r>
          </w:p>
          <w:p w:rsidR="00095EF3" w:rsidRDefault="00FE1FEC">
            <w:pPr>
              <w:pStyle w:val="a9"/>
              <w:spacing w:beforeLines="0" w:afterLines="0" w:after="0" w:line="240" w:lineRule="auto"/>
              <w:rPr>
                <w:rFonts w:ascii="Times New Roman" w:hAnsi="Times New Roman"/>
                <w:szCs w:val="20"/>
              </w:rPr>
            </w:pPr>
            <w:r>
              <w:rPr>
                <w:rFonts w:ascii="Times New Roman" w:hAnsi="Times New Roman"/>
                <w:szCs w:val="20"/>
              </w:rPr>
              <w:t xml:space="preserve">Adaptation mechanism(s) of SSB in time-domain is supported at least for one of the following </w:t>
            </w:r>
            <w:proofErr w:type="gramStart"/>
            <w:r>
              <w:rPr>
                <w:rFonts w:ascii="Times New Roman" w:hAnsi="Times New Roman"/>
                <w:szCs w:val="20"/>
              </w:rPr>
              <w:t>scenario</w:t>
            </w:r>
            <w:proofErr w:type="gramEnd"/>
            <w:r>
              <w:rPr>
                <w:rFonts w:ascii="Times New Roman" w:hAnsi="Times New Roman"/>
                <w:szCs w:val="20"/>
              </w:rPr>
              <w:t xml:space="preserve">(s): </w:t>
            </w:r>
          </w:p>
          <w:p w:rsidR="00095EF3" w:rsidRDefault="00FE1FEC">
            <w:pPr>
              <w:pStyle w:val="a9"/>
              <w:numPr>
                <w:ilvl w:val="0"/>
                <w:numId w:val="5"/>
              </w:numPr>
              <w:spacing w:beforeLines="0" w:afterLines="0" w:after="0" w:line="240" w:lineRule="auto"/>
              <w:ind w:left="583" w:hanging="291"/>
              <w:jc w:val="left"/>
              <w:rPr>
                <w:rFonts w:ascii="Times New Roman" w:hAnsi="Times New Roman"/>
                <w:szCs w:val="20"/>
              </w:rPr>
            </w:pPr>
            <w:r>
              <w:rPr>
                <w:rFonts w:ascii="Times New Roman" w:hAnsi="Times New Roman"/>
                <w:szCs w:val="20"/>
              </w:rPr>
              <w:t xml:space="preserve">For cell with both legacy UEs and Rel-19 NES-capable UEs </w:t>
            </w:r>
          </w:p>
          <w:p w:rsidR="00095EF3" w:rsidRDefault="00FE1FEC">
            <w:pPr>
              <w:pStyle w:val="a9"/>
              <w:numPr>
                <w:ilvl w:val="1"/>
                <w:numId w:val="5"/>
              </w:numPr>
              <w:spacing w:beforeLines="0" w:afterLines="0" w:after="0" w:line="240" w:lineRule="auto"/>
              <w:ind w:left="1166" w:hanging="291"/>
              <w:jc w:val="left"/>
              <w:rPr>
                <w:rFonts w:ascii="Times New Roman" w:hAnsi="Times New Roman"/>
                <w:szCs w:val="20"/>
              </w:rPr>
            </w:pPr>
            <w:r>
              <w:rPr>
                <w:rFonts w:ascii="Times New Roman" w:hAnsi="Times New Roman"/>
                <w:szCs w:val="20"/>
              </w:rPr>
              <w:t xml:space="preserve">Rel-19 NES-capable UE’s </w:t>
            </w:r>
            <w:proofErr w:type="spellStart"/>
            <w:r>
              <w:rPr>
                <w:rFonts w:ascii="Times New Roman" w:hAnsi="Times New Roman"/>
                <w:szCs w:val="20"/>
              </w:rPr>
              <w:t>PCell</w:t>
            </w:r>
            <w:proofErr w:type="spellEnd"/>
            <w:r>
              <w:rPr>
                <w:rFonts w:ascii="Times New Roman" w:hAnsi="Times New Roman"/>
                <w:szCs w:val="20"/>
              </w:rPr>
              <w:t xml:space="preserve"> (Connected mode) </w:t>
            </w:r>
          </w:p>
          <w:p w:rsidR="00095EF3" w:rsidRDefault="00FE1FEC">
            <w:pPr>
              <w:pStyle w:val="a9"/>
              <w:numPr>
                <w:ilvl w:val="2"/>
                <w:numId w:val="5"/>
              </w:numPr>
              <w:spacing w:beforeLines="0" w:afterLines="0" w:after="0" w:line="240" w:lineRule="auto"/>
              <w:ind w:left="1749" w:hanging="291"/>
              <w:jc w:val="left"/>
              <w:rPr>
                <w:rFonts w:ascii="Times New Roman" w:hAnsi="Times New Roman"/>
                <w:szCs w:val="20"/>
              </w:rPr>
            </w:pPr>
            <w:r>
              <w:rPr>
                <w:rFonts w:ascii="Times New Roman" w:hAnsi="Times New Roman"/>
                <w:szCs w:val="20"/>
              </w:rPr>
              <w:t>Study from the following options:</w:t>
            </w:r>
          </w:p>
          <w:p w:rsidR="00095EF3" w:rsidRDefault="00FE1FEC">
            <w:pPr>
              <w:pStyle w:val="a9"/>
              <w:numPr>
                <w:ilvl w:val="3"/>
                <w:numId w:val="5"/>
              </w:numPr>
              <w:spacing w:beforeLines="0" w:afterLines="0" w:after="0" w:line="240" w:lineRule="auto"/>
              <w:ind w:left="2332" w:hanging="291"/>
              <w:jc w:val="left"/>
              <w:rPr>
                <w:rFonts w:ascii="Times New Roman" w:hAnsi="Times New Roman"/>
                <w:szCs w:val="20"/>
              </w:rPr>
            </w:pPr>
            <w:r>
              <w:rPr>
                <w:rFonts w:ascii="Times New Roman" w:hAnsi="Times New Roman"/>
                <w:szCs w:val="20"/>
              </w:rPr>
              <w:t>Option A1: adaptation for CD-SSB</w:t>
            </w:r>
          </w:p>
          <w:p w:rsidR="00095EF3" w:rsidRDefault="00FE1FEC">
            <w:pPr>
              <w:pStyle w:val="a9"/>
              <w:numPr>
                <w:ilvl w:val="3"/>
                <w:numId w:val="5"/>
              </w:numPr>
              <w:spacing w:beforeLines="0" w:afterLines="0" w:after="0" w:line="240" w:lineRule="auto"/>
              <w:ind w:left="2332" w:hanging="291"/>
              <w:jc w:val="left"/>
              <w:rPr>
                <w:rFonts w:ascii="Times New Roman" w:hAnsi="Times New Roman"/>
                <w:szCs w:val="20"/>
              </w:rPr>
            </w:pPr>
            <w:r>
              <w:rPr>
                <w:rFonts w:ascii="Times New Roman" w:hAnsi="Times New Roman"/>
                <w:szCs w:val="20"/>
              </w:rPr>
              <w:t>Option A2: adaptation for SSB that is not CD-SSB</w:t>
            </w:r>
          </w:p>
          <w:p w:rsidR="00095EF3" w:rsidRDefault="00FE1FEC">
            <w:pPr>
              <w:pStyle w:val="a9"/>
              <w:numPr>
                <w:ilvl w:val="3"/>
                <w:numId w:val="5"/>
              </w:numPr>
              <w:spacing w:beforeLines="0" w:afterLines="0" w:after="0" w:line="240" w:lineRule="auto"/>
              <w:ind w:left="2332" w:hanging="291"/>
              <w:jc w:val="left"/>
              <w:rPr>
                <w:rFonts w:ascii="Times New Roman" w:hAnsi="Times New Roman"/>
                <w:szCs w:val="20"/>
              </w:rPr>
            </w:pPr>
            <w:bookmarkStart w:id="0" w:name="_Hlk164286497"/>
            <w:r>
              <w:rPr>
                <w:rFonts w:ascii="Times New Roman" w:hAnsi="Times New Roman"/>
                <w:szCs w:val="20"/>
              </w:rPr>
              <w:t>Option A3: adaptation for SSB not on sync raster</w:t>
            </w:r>
          </w:p>
          <w:bookmarkEnd w:id="0"/>
          <w:p w:rsidR="00095EF3" w:rsidRDefault="00FE1FEC">
            <w:pPr>
              <w:pStyle w:val="a9"/>
              <w:numPr>
                <w:ilvl w:val="1"/>
                <w:numId w:val="5"/>
              </w:numPr>
              <w:spacing w:beforeLines="0" w:afterLines="0" w:after="0" w:line="240" w:lineRule="auto"/>
              <w:ind w:left="1166" w:hanging="291"/>
              <w:jc w:val="left"/>
              <w:rPr>
                <w:rFonts w:ascii="Times New Roman" w:hAnsi="Times New Roman"/>
                <w:szCs w:val="20"/>
              </w:rPr>
            </w:pPr>
            <w:r>
              <w:rPr>
                <w:rFonts w:ascii="Times New Roman" w:hAnsi="Times New Roman"/>
                <w:szCs w:val="20"/>
              </w:rPr>
              <w:t xml:space="preserve">Rel-19 NES-capable UE’s </w:t>
            </w:r>
            <w:proofErr w:type="spellStart"/>
            <w:r>
              <w:rPr>
                <w:rFonts w:ascii="Times New Roman" w:hAnsi="Times New Roman"/>
                <w:szCs w:val="20"/>
              </w:rPr>
              <w:t>SCell</w:t>
            </w:r>
            <w:proofErr w:type="spellEnd"/>
            <w:r>
              <w:rPr>
                <w:rFonts w:ascii="Times New Roman" w:hAnsi="Times New Roman"/>
                <w:szCs w:val="20"/>
              </w:rPr>
              <w:t xml:space="preserve"> </w:t>
            </w:r>
          </w:p>
          <w:p w:rsidR="00095EF3" w:rsidRDefault="00FE1FEC">
            <w:pPr>
              <w:pStyle w:val="a9"/>
              <w:numPr>
                <w:ilvl w:val="2"/>
                <w:numId w:val="5"/>
              </w:numPr>
              <w:spacing w:beforeLines="0" w:afterLines="0" w:after="0" w:line="240" w:lineRule="auto"/>
              <w:ind w:left="1749" w:hanging="291"/>
              <w:jc w:val="left"/>
              <w:rPr>
                <w:rFonts w:ascii="Times New Roman" w:hAnsi="Times New Roman"/>
                <w:szCs w:val="20"/>
              </w:rPr>
            </w:pPr>
            <w:r>
              <w:rPr>
                <w:rFonts w:ascii="Times New Roman" w:hAnsi="Times New Roman"/>
                <w:szCs w:val="20"/>
              </w:rPr>
              <w:t>Study from the following options:</w:t>
            </w:r>
          </w:p>
          <w:p w:rsidR="00095EF3" w:rsidRDefault="00FE1FEC">
            <w:pPr>
              <w:pStyle w:val="a9"/>
              <w:numPr>
                <w:ilvl w:val="3"/>
                <w:numId w:val="5"/>
              </w:numPr>
              <w:spacing w:beforeLines="0" w:afterLines="0" w:after="0" w:line="240" w:lineRule="auto"/>
              <w:ind w:left="2332" w:hanging="291"/>
              <w:jc w:val="left"/>
              <w:rPr>
                <w:rFonts w:ascii="Times New Roman" w:hAnsi="Times New Roman"/>
                <w:szCs w:val="20"/>
              </w:rPr>
            </w:pPr>
            <w:r>
              <w:rPr>
                <w:rFonts w:ascii="Times New Roman" w:hAnsi="Times New Roman"/>
                <w:szCs w:val="20"/>
              </w:rPr>
              <w:t>Option B1: adaptation for CD-SSB</w:t>
            </w:r>
          </w:p>
          <w:p w:rsidR="00095EF3" w:rsidRDefault="00FE1FEC">
            <w:pPr>
              <w:pStyle w:val="a9"/>
              <w:numPr>
                <w:ilvl w:val="3"/>
                <w:numId w:val="5"/>
              </w:numPr>
              <w:spacing w:beforeLines="0" w:afterLines="0" w:after="0" w:line="240" w:lineRule="auto"/>
              <w:ind w:left="2332" w:hanging="291"/>
              <w:jc w:val="left"/>
              <w:rPr>
                <w:rFonts w:ascii="Times New Roman" w:hAnsi="Times New Roman"/>
                <w:szCs w:val="20"/>
              </w:rPr>
            </w:pPr>
            <w:r>
              <w:rPr>
                <w:rFonts w:ascii="Times New Roman" w:hAnsi="Times New Roman"/>
                <w:szCs w:val="20"/>
              </w:rPr>
              <w:t>Option B2: adaptation for SSB that is not CD-SSB</w:t>
            </w:r>
          </w:p>
          <w:p w:rsidR="00095EF3" w:rsidRDefault="00FE1FEC">
            <w:pPr>
              <w:pStyle w:val="a9"/>
              <w:numPr>
                <w:ilvl w:val="3"/>
                <w:numId w:val="5"/>
              </w:numPr>
              <w:spacing w:beforeLines="0" w:afterLines="0" w:after="0" w:line="240" w:lineRule="auto"/>
              <w:ind w:left="2332" w:hanging="291"/>
              <w:jc w:val="left"/>
              <w:rPr>
                <w:rFonts w:ascii="Times New Roman" w:hAnsi="Times New Roman"/>
                <w:szCs w:val="20"/>
              </w:rPr>
            </w:pPr>
            <w:r>
              <w:rPr>
                <w:rFonts w:ascii="Times New Roman" w:hAnsi="Times New Roman"/>
                <w:szCs w:val="20"/>
              </w:rPr>
              <w:t>Option B3: adaptation for SSB not on sync raster</w:t>
            </w:r>
          </w:p>
          <w:p w:rsidR="00095EF3" w:rsidRDefault="00FE1FEC">
            <w:pPr>
              <w:pStyle w:val="a9"/>
              <w:numPr>
                <w:ilvl w:val="1"/>
                <w:numId w:val="5"/>
              </w:numPr>
              <w:spacing w:beforeLines="0" w:afterLines="0" w:after="0" w:line="240" w:lineRule="auto"/>
              <w:ind w:left="1166" w:hanging="291"/>
              <w:jc w:val="left"/>
              <w:rPr>
                <w:rFonts w:ascii="Times New Roman" w:hAnsi="Times New Roman"/>
                <w:szCs w:val="20"/>
              </w:rPr>
            </w:pPr>
            <w:r>
              <w:rPr>
                <w:rFonts w:ascii="Times New Roman" w:hAnsi="Times New Roman"/>
                <w:szCs w:val="20"/>
              </w:rPr>
              <w:t>FFS: Rel-19 NES-capable UE in idle/inactive mode</w:t>
            </w:r>
          </w:p>
          <w:p w:rsidR="00095EF3" w:rsidRDefault="00FE1FEC">
            <w:pPr>
              <w:pStyle w:val="a9"/>
              <w:numPr>
                <w:ilvl w:val="0"/>
                <w:numId w:val="5"/>
              </w:numPr>
              <w:spacing w:beforeLines="0" w:afterLines="0" w:after="0" w:line="240" w:lineRule="auto"/>
              <w:ind w:left="583" w:hanging="291"/>
              <w:jc w:val="left"/>
            </w:pPr>
            <w:r>
              <w:rPr>
                <w:rFonts w:ascii="Times New Roman" w:hAnsi="Times New Roman"/>
                <w:szCs w:val="20"/>
              </w:rPr>
              <w:t xml:space="preserve">Note: Impact to idle/inactive UEs shall be minimized </w:t>
            </w:r>
          </w:p>
        </w:tc>
      </w:tr>
    </w:tbl>
    <w:p w:rsidR="00095EF3" w:rsidRDefault="00FE1FEC">
      <w:pPr>
        <w:spacing w:before="120" w:after="120"/>
      </w:pPr>
      <w:r>
        <w:rPr>
          <w:rFonts w:hint="eastAsia"/>
        </w:rPr>
        <w:t>In this agreement, adaptation of SSB in time domain is supported at the scenario for cell</w:t>
      </w:r>
      <w:r>
        <w:t>s</w:t>
      </w:r>
      <w:r>
        <w:rPr>
          <w:rFonts w:hint="eastAsia"/>
        </w:rPr>
        <w:t xml:space="preserve"> with both legacy UEs and Rel-19 NES-capable UEs, where </w:t>
      </w:r>
      <w:r>
        <w:t xml:space="preserve">both </w:t>
      </w:r>
      <w:proofErr w:type="spellStart"/>
      <w:r>
        <w:rPr>
          <w:rFonts w:hint="eastAsia"/>
        </w:rPr>
        <w:t>PCell</w:t>
      </w:r>
      <w:proofErr w:type="spellEnd"/>
      <w:r>
        <w:rPr>
          <w:rFonts w:hint="eastAsia"/>
        </w:rPr>
        <w:t xml:space="preserve"> and </w:t>
      </w:r>
      <w:proofErr w:type="spellStart"/>
      <w:r>
        <w:rPr>
          <w:rFonts w:hint="eastAsia"/>
        </w:rPr>
        <w:t>SCell</w:t>
      </w:r>
      <w:proofErr w:type="spellEnd"/>
      <w:r>
        <w:rPr>
          <w:rFonts w:hint="eastAsia"/>
        </w:rPr>
        <w:t xml:space="preserve"> are considered.</w:t>
      </w:r>
    </w:p>
    <w:p w:rsidR="00095EF3" w:rsidRDefault="00FE1FEC">
      <w:pPr>
        <w:spacing w:before="120" w:after="120"/>
      </w:pPr>
      <w:r>
        <w:t xml:space="preserve">Let us consider a scenario where a </w:t>
      </w:r>
      <w:proofErr w:type="spellStart"/>
      <w:r>
        <w:t>PCell</w:t>
      </w:r>
      <w:proofErr w:type="spellEnd"/>
      <w:r>
        <w:t xml:space="preserve"> serves both UEs</w:t>
      </w:r>
      <w:r>
        <w:rPr>
          <w:rFonts w:hint="eastAsia"/>
        </w:rPr>
        <w:t xml:space="preserve"> in idle/inactive mode</w:t>
      </w:r>
      <w:r>
        <w:t xml:space="preserve"> and UEs</w:t>
      </w:r>
      <w:r>
        <w:rPr>
          <w:rFonts w:hint="eastAsia"/>
        </w:rPr>
        <w:t xml:space="preserve"> in connected mode</w:t>
      </w:r>
      <w:r>
        <w:t xml:space="preserve">. If the </w:t>
      </w:r>
      <w:proofErr w:type="spellStart"/>
      <w:r>
        <w:t>PCell</w:t>
      </w:r>
      <w:proofErr w:type="spellEnd"/>
      <w:r>
        <w:t xml:space="preserve"> is exclusively configured with </w:t>
      </w:r>
      <w:r>
        <w:rPr>
          <w:rFonts w:hint="eastAsia"/>
        </w:rPr>
        <w:t xml:space="preserve">cell-defining </w:t>
      </w:r>
      <w:r>
        <w:t>SSB, and the SSB burst periodicity is increased beyond 20</w:t>
      </w:r>
      <w:r>
        <w:rPr>
          <w:rFonts w:hint="eastAsia"/>
        </w:rPr>
        <w:t>ms</w:t>
      </w:r>
      <w:r>
        <w:t xml:space="preserve"> to maximize NES gain, this may affect measurements for connected</w:t>
      </w:r>
      <w:r>
        <w:rPr>
          <w:rFonts w:hint="eastAsia"/>
        </w:rPr>
        <w:t xml:space="preserve"> mode</w:t>
      </w:r>
      <w:r>
        <w:t xml:space="preserve"> UEs that rely on SSB, although such impacts may be deemed acceptable. Conversely, for </w:t>
      </w:r>
      <w:r>
        <w:rPr>
          <w:rFonts w:hint="eastAsia"/>
        </w:rPr>
        <w:t xml:space="preserve">legacy or Rel-19 NES-capable </w:t>
      </w:r>
      <w:r>
        <w:t>UEs</w:t>
      </w:r>
      <w:r>
        <w:rPr>
          <w:rFonts w:hint="eastAsia"/>
        </w:rPr>
        <w:t xml:space="preserve"> in idle/inactive mode</w:t>
      </w:r>
      <w:r>
        <w:t xml:space="preserve"> (might be served), </w:t>
      </w:r>
      <w:r>
        <w:rPr>
          <w:rFonts w:hint="eastAsia"/>
        </w:rPr>
        <w:t>the SSB adaptation</w:t>
      </w:r>
      <w:r>
        <w:t xml:space="preserve"> could impact the initial access implementation process. On the other hand, if the </w:t>
      </w:r>
      <w:proofErr w:type="spellStart"/>
      <w:r>
        <w:t>PCell</w:t>
      </w:r>
      <w:proofErr w:type="spellEnd"/>
      <w:r>
        <w:t xml:space="preserve"> is configured with both </w:t>
      </w:r>
      <w:r>
        <w:rPr>
          <w:rFonts w:hint="eastAsia"/>
        </w:rPr>
        <w:t xml:space="preserve">cell-defining </w:t>
      </w:r>
      <w:r>
        <w:t xml:space="preserve">SSB and </w:t>
      </w:r>
      <w:r>
        <w:rPr>
          <w:rFonts w:hint="eastAsia"/>
        </w:rPr>
        <w:t xml:space="preserve">not cell defining </w:t>
      </w:r>
      <w:r>
        <w:t xml:space="preserve">SSB, </w:t>
      </w:r>
      <w:r w:rsidR="002B0CC5">
        <w:t xml:space="preserve">and </w:t>
      </w:r>
      <w:r>
        <w:rPr>
          <w:rFonts w:hint="eastAsia"/>
        </w:rPr>
        <w:t xml:space="preserve">if the adaptation of cell-defining SSB is considered, the NES gain and the impact on idle/inactive UEs is the same as the analysis mentioned above. While if the adaptation of only not cell-defining SSB is considered, marginal </w:t>
      </w:r>
      <w:r>
        <w:t>NES gain</w:t>
      </w:r>
      <w:r>
        <w:rPr>
          <w:rFonts w:hint="eastAsia"/>
        </w:rPr>
        <w:t xml:space="preserve"> can be harvested, since there is always a </w:t>
      </w:r>
      <w:r>
        <w:t xml:space="preserve">periodic (i.e., </w:t>
      </w:r>
      <w:r>
        <w:rPr>
          <w:rFonts w:hint="eastAsia"/>
        </w:rPr>
        <w:t>20ms</w:t>
      </w:r>
      <w:r>
        <w:t>)</w:t>
      </w:r>
      <w:r>
        <w:rPr>
          <w:rFonts w:hint="eastAsia"/>
        </w:rPr>
        <w:t xml:space="preserve"> cell-defining SSB transmission for UEs in idle/inactive mode</w:t>
      </w:r>
      <w:r>
        <w:t xml:space="preserve">. </w:t>
      </w:r>
      <w:r>
        <w:rPr>
          <w:rFonts w:hint="eastAsia"/>
        </w:rPr>
        <w:t>However</w:t>
      </w:r>
      <w:r>
        <w:t xml:space="preserve">, this approach </w:t>
      </w:r>
      <w:r>
        <w:lastRenderedPageBreak/>
        <w:t>does not introduce increased latency for the initial access of UEs</w:t>
      </w:r>
      <w:r>
        <w:rPr>
          <w:rFonts w:hint="eastAsia"/>
        </w:rPr>
        <w:t xml:space="preserve"> in idle/inactive mode, especially for legacy UEs in idle/inactive mode</w:t>
      </w:r>
      <w:r>
        <w:t>.</w:t>
      </w:r>
    </w:p>
    <w:p w:rsidR="00095EF3" w:rsidRDefault="00FE1FEC">
      <w:pPr>
        <w:spacing w:before="120" w:after="120"/>
      </w:pPr>
      <w:r>
        <w:t xml:space="preserve">To effectively explore NES opportunities, particularly in scenarios where the </w:t>
      </w:r>
      <w:r>
        <w:rPr>
          <w:rFonts w:hint="eastAsia"/>
        </w:rPr>
        <w:t xml:space="preserve">cell-defining </w:t>
      </w:r>
      <w:r w:rsidR="002B0CC5">
        <w:t xml:space="preserve">SSB is deployed, it is </w:t>
      </w:r>
      <w:r>
        <w:t xml:space="preserve">necessary to adapt the periodicity of the </w:t>
      </w:r>
      <w:r>
        <w:rPr>
          <w:rFonts w:hint="eastAsia"/>
        </w:rPr>
        <w:t xml:space="preserve">cell-defining </w:t>
      </w:r>
      <w:r>
        <w:t>SSB. Concurrently, it is important to minimize the impact on UE</w:t>
      </w:r>
      <w:r>
        <w:rPr>
          <w:rFonts w:hint="eastAsia"/>
        </w:rPr>
        <w:t>s in idle/inactive mode</w:t>
      </w:r>
      <w:r>
        <w:t xml:space="preserve">. </w:t>
      </w:r>
      <w:r>
        <w:rPr>
          <w:rFonts w:hint="eastAsia"/>
        </w:rPr>
        <w:t xml:space="preserve">Towards the legacy UEs in idle/inactive mode, </w:t>
      </w:r>
      <w:r>
        <w:t xml:space="preserve">enabling </w:t>
      </w:r>
      <w:r>
        <w:rPr>
          <w:rFonts w:hint="eastAsia"/>
        </w:rPr>
        <w:t>cell-barring in the MIB</w:t>
      </w:r>
      <w:r>
        <w:t xml:space="preserve"> can restrict </w:t>
      </w:r>
      <w:r>
        <w:rPr>
          <w:rFonts w:hint="eastAsia"/>
        </w:rPr>
        <w:t xml:space="preserve">their initial </w:t>
      </w:r>
      <w:r>
        <w:t>access</w:t>
      </w:r>
      <w:r w:rsidR="002B0CC5">
        <w:t xml:space="preserve"> to NES cell</w:t>
      </w:r>
      <w:r>
        <w:rPr>
          <w:rFonts w:hint="eastAsia"/>
        </w:rPr>
        <w:t>.</w:t>
      </w:r>
      <w:r>
        <w:t xml:space="preserve"> </w:t>
      </w:r>
      <w:r>
        <w:rPr>
          <w:rFonts w:hint="eastAsia"/>
        </w:rPr>
        <w:t>While t</w:t>
      </w:r>
      <w:r>
        <w:t xml:space="preserve">o accommodate Rel-19 </w:t>
      </w:r>
      <w:r>
        <w:rPr>
          <w:rFonts w:hint="eastAsia"/>
        </w:rPr>
        <w:t xml:space="preserve">NES-capable </w:t>
      </w:r>
      <w:r>
        <w:t>UEs</w:t>
      </w:r>
      <w:r>
        <w:rPr>
          <w:rFonts w:hint="eastAsia"/>
        </w:rPr>
        <w:t xml:space="preserve"> in idle/inactive mode</w:t>
      </w:r>
      <w:r>
        <w:t xml:space="preserve">, </w:t>
      </w:r>
      <w:r>
        <w:rPr>
          <w:rFonts w:hint="eastAsia"/>
        </w:rPr>
        <w:t xml:space="preserve">an </w:t>
      </w:r>
      <w:r>
        <w:t>additional</w:t>
      </w:r>
      <w:r>
        <w:rPr>
          <w:rFonts w:hint="eastAsia"/>
        </w:rPr>
        <w:t xml:space="preserve"> indication</w:t>
      </w:r>
      <w:r>
        <w:t xml:space="preserve"> should be employed,</w:t>
      </w:r>
      <w:r>
        <w:rPr>
          <w:rFonts w:hint="eastAsia"/>
        </w:rPr>
        <w:t xml:space="preserve"> e.g. </w:t>
      </w:r>
      <w:r>
        <w:t xml:space="preserve">a </w:t>
      </w:r>
      <w:r>
        <w:rPr>
          <w:rFonts w:hint="eastAsia"/>
        </w:rPr>
        <w:t>bit in MIB</w:t>
      </w:r>
      <w:r>
        <w:t xml:space="preserve">/SIB1 </w:t>
      </w:r>
      <w:r>
        <w:rPr>
          <w:rFonts w:hint="eastAsia"/>
        </w:rPr>
        <w:t xml:space="preserve">in CD-SSB </w:t>
      </w:r>
      <w:r>
        <w:t>is</w:t>
      </w:r>
      <w:r>
        <w:rPr>
          <w:rFonts w:hint="eastAsia"/>
        </w:rPr>
        <w:t xml:space="preserve"> </w:t>
      </w:r>
      <w:r>
        <w:t>used</w:t>
      </w:r>
      <w:r>
        <w:rPr>
          <w:rFonts w:hint="eastAsia"/>
        </w:rPr>
        <w:t xml:space="preserve"> to </w:t>
      </w:r>
      <w:r>
        <w:t>override the barring indication</w:t>
      </w:r>
      <w:r>
        <w:rPr>
          <w:rFonts w:hint="eastAsia"/>
        </w:rPr>
        <w:t xml:space="preserve"> and enable the initial access of these UEs. </w:t>
      </w:r>
      <w:r>
        <w:t xml:space="preserve">Furthermore, it is assumed that Rel-19 </w:t>
      </w:r>
      <w:r>
        <w:rPr>
          <w:rFonts w:hint="eastAsia"/>
        </w:rPr>
        <w:t xml:space="preserve">NES-capable </w:t>
      </w:r>
      <w:r>
        <w:t>UE</w:t>
      </w:r>
      <w:r>
        <w:rPr>
          <w:rFonts w:hint="eastAsia"/>
        </w:rPr>
        <w:t>s in idle/inactive mode</w:t>
      </w:r>
      <w:r>
        <w:t xml:space="preserve"> would be capable of accessing cells configured with SSB </w:t>
      </w:r>
      <w:r>
        <w:rPr>
          <w:rFonts w:hint="eastAsia"/>
        </w:rPr>
        <w:t xml:space="preserve">burst </w:t>
      </w:r>
      <w:r>
        <w:t xml:space="preserve">periodicity greater than 20ms. </w:t>
      </w:r>
    </w:p>
    <w:p w:rsidR="00095EF3" w:rsidRDefault="00FE1FEC">
      <w:pPr>
        <w:spacing w:before="120" w:after="120"/>
      </w:pPr>
      <w:r>
        <w:rPr>
          <w:rFonts w:hint="eastAsia"/>
        </w:rPr>
        <w:t xml:space="preserve">Moreover, we think the SSB not on sync raster is a subset of </w:t>
      </w:r>
      <w:r>
        <w:t>Option A2 (</w:t>
      </w:r>
      <w:r>
        <w:rPr>
          <w:rFonts w:hint="eastAsia"/>
        </w:rPr>
        <w:t>not cell-defining SSB</w:t>
      </w:r>
      <w:r>
        <w:t>)</w:t>
      </w:r>
      <w:r>
        <w:rPr>
          <w:rFonts w:hint="eastAsia"/>
        </w:rPr>
        <w:t xml:space="preserve">, and there would be further limited NES gain if we consider adaptation of SSB </w:t>
      </w:r>
      <w:r>
        <w:t xml:space="preserve">that is </w:t>
      </w:r>
      <w:r>
        <w:rPr>
          <w:rFonts w:hint="eastAsia"/>
        </w:rPr>
        <w:t xml:space="preserve">not on sync raster. </w:t>
      </w:r>
    </w:p>
    <w:p w:rsidR="00095EF3" w:rsidRDefault="00FE1FEC">
      <w:pPr>
        <w:pStyle w:val="YJ-Observation"/>
        <w:spacing w:before="120" w:after="120"/>
      </w:pPr>
      <w:bookmarkStart w:id="1" w:name="_Toc21238"/>
      <w:r>
        <w:t>If only adaptation of not cell-defining SSB is considered, there is limited negative impact on UEs in idle/inactive mode, but marginal NES gain</w:t>
      </w:r>
      <w:r>
        <w:rPr>
          <w:rFonts w:hint="eastAsia"/>
        </w:rPr>
        <w:t>.</w:t>
      </w:r>
      <w:bookmarkEnd w:id="1"/>
    </w:p>
    <w:p w:rsidR="00095EF3" w:rsidRDefault="00FE1FEC">
      <w:pPr>
        <w:pStyle w:val="YJ-Proposal"/>
        <w:spacing w:before="120" w:after="120"/>
        <w:rPr>
          <w:lang w:val="en-US" w:eastAsia="zh-CN"/>
        </w:rPr>
      </w:pPr>
      <w:bookmarkStart w:id="2" w:name="_Toc5387"/>
      <w:r>
        <w:rPr>
          <w:lang w:val="en-US" w:eastAsia="zh-CN"/>
        </w:rPr>
        <w:t xml:space="preserve">For </w:t>
      </w:r>
      <w:proofErr w:type="spellStart"/>
      <w:r>
        <w:rPr>
          <w:lang w:val="en-US" w:eastAsia="zh-CN"/>
        </w:rPr>
        <w:t>PC</w:t>
      </w:r>
      <w:r>
        <w:rPr>
          <w:rFonts w:hint="eastAsia"/>
          <w:lang w:val="en-US" w:eastAsia="zh-CN"/>
        </w:rPr>
        <w:t>ell</w:t>
      </w:r>
      <w:proofErr w:type="spellEnd"/>
      <w:r>
        <w:rPr>
          <w:lang w:val="en-US" w:eastAsia="zh-CN"/>
        </w:rPr>
        <w:t>, with both legacy UEs and Rel-19 NES-capable UEs, s</w:t>
      </w:r>
      <w:r>
        <w:rPr>
          <w:rFonts w:hint="eastAsia"/>
          <w:lang w:val="en-US" w:eastAsia="zh-CN"/>
        </w:rPr>
        <w:t>upport Option A1: adaptation of CD-SSB</w:t>
      </w:r>
      <w:r>
        <w:rPr>
          <w:lang w:val="en-US" w:eastAsia="zh-CN"/>
        </w:rPr>
        <w:t>.</w:t>
      </w:r>
      <w:bookmarkEnd w:id="2"/>
    </w:p>
    <w:p w:rsidR="00095EF3" w:rsidRDefault="00FE1FEC">
      <w:pPr>
        <w:spacing w:before="120" w:after="120"/>
        <w:rPr>
          <w:highlight w:val="yellow"/>
        </w:rPr>
      </w:pPr>
      <w:r>
        <w:rPr>
          <w:rFonts w:hint="eastAsia"/>
        </w:rPr>
        <w:t>From the perspective of Rel-19 NES-capable UE</w:t>
      </w:r>
      <w:r>
        <w:t>’</w:t>
      </w:r>
      <w:r>
        <w:rPr>
          <w:rFonts w:hint="eastAsia"/>
        </w:rPr>
        <w:t xml:space="preserve">s </w:t>
      </w:r>
      <w:proofErr w:type="spellStart"/>
      <w:r>
        <w:rPr>
          <w:rFonts w:hint="eastAsia"/>
        </w:rPr>
        <w:t>SCell</w:t>
      </w:r>
      <w:proofErr w:type="spellEnd"/>
      <w:r>
        <w:rPr>
          <w:rFonts w:hint="eastAsia"/>
        </w:rPr>
        <w:t xml:space="preserve">, the scenarios can be divided into two parts. </w:t>
      </w:r>
      <w:r>
        <w:t xml:space="preserve">Firstly, when the coverage of a </w:t>
      </w:r>
      <w:proofErr w:type="spellStart"/>
      <w:r>
        <w:t>SCell</w:t>
      </w:r>
      <w:proofErr w:type="spellEnd"/>
      <w:r>
        <w:t xml:space="preserve"> falls within that of a </w:t>
      </w:r>
      <w:proofErr w:type="spellStart"/>
      <w:r>
        <w:t>PCell</w:t>
      </w:r>
      <w:proofErr w:type="spellEnd"/>
      <w:r>
        <w:t xml:space="preserve">, serving as a cell dedicated to capacity enhancement, it is expected that no UE in idle or inactive mode will access the </w:t>
      </w:r>
      <w:proofErr w:type="spellStart"/>
      <w:r>
        <w:t>SCell</w:t>
      </w:r>
      <w:proofErr w:type="spellEnd"/>
      <w:r>
        <w:t xml:space="preserve"> due to cell barring measures for such UEs. Consequently, the adaptation of SSB transmission in the time domain can be more flexible. Specifically, it need not adhere to the 20-millisecond SSB burst transmission requirements typically considered for UEs in idle or inactive modes within this </w:t>
      </w:r>
      <w:proofErr w:type="spellStart"/>
      <w:r>
        <w:t>SCell</w:t>
      </w:r>
      <w:proofErr w:type="spellEnd"/>
      <w:r>
        <w:t>. In our view, it would be imprudent to restrict considerations within this applicable scenario to not cell-defining SSBs. Secondly</w:t>
      </w:r>
      <w:r>
        <w:rPr>
          <w:rFonts w:hint="eastAsia"/>
        </w:rPr>
        <w:t xml:space="preserve">, if the coverage of </w:t>
      </w:r>
      <w:proofErr w:type="spellStart"/>
      <w:r>
        <w:rPr>
          <w:rFonts w:hint="eastAsia"/>
        </w:rPr>
        <w:t>SCell</w:t>
      </w:r>
      <w:proofErr w:type="spellEnd"/>
      <w:r>
        <w:rPr>
          <w:rFonts w:hint="eastAsia"/>
        </w:rPr>
        <w:t xml:space="preserve"> is partially overlapped with </w:t>
      </w:r>
      <w:proofErr w:type="spellStart"/>
      <w:r>
        <w:rPr>
          <w:rFonts w:hint="eastAsia"/>
        </w:rPr>
        <w:t>PCell</w:t>
      </w:r>
      <w:proofErr w:type="spellEnd"/>
      <w:r>
        <w:rPr>
          <w:rFonts w:hint="eastAsia"/>
        </w:rPr>
        <w:t xml:space="preserve">, </w:t>
      </w:r>
      <w:r>
        <w:t>it may happen that</w:t>
      </w:r>
      <w:r>
        <w:rPr>
          <w:rFonts w:hint="eastAsia"/>
        </w:rPr>
        <w:t xml:space="preserve"> the </w:t>
      </w:r>
      <w:proofErr w:type="spellStart"/>
      <w:r>
        <w:rPr>
          <w:rFonts w:hint="eastAsia"/>
        </w:rPr>
        <w:t>SCell</w:t>
      </w:r>
      <w:proofErr w:type="spellEnd"/>
      <w:r>
        <w:rPr>
          <w:rFonts w:hint="eastAsia"/>
        </w:rPr>
        <w:t xml:space="preserve"> </w:t>
      </w:r>
      <w:r>
        <w:t>serves as an</w:t>
      </w:r>
      <w:r>
        <w:rPr>
          <w:rFonts w:hint="eastAsia"/>
        </w:rPr>
        <w:t>other UE</w:t>
      </w:r>
      <w:r>
        <w:t>’</w:t>
      </w:r>
      <w:r w:rsidR="002B0CC5">
        <w:t>s</w:t>
      </w:r>
      <w:r>
        <w:rPr>
          <w:rFonts w:hint="eastAsia"/>
        </w:rPr>
        <w:t xml:space="preserve"> </w:t>
      </w:r>
      <w:proofErr w:type="spellStart"/>
      <w:r>
        <w:rPr>
          <w:rFonts w:hint="eastAsia"/>
        </w:rPr>
        <w:t>PCell</w:t>
      </w:r>
      <w:proofErr w:type="spellEnd"/>
      <w:r>
        <w:t xml:space="preserve">. In this scenario, the considerations applied to Rel-19 NES capable UE’s </w:t>
      </w:r>
      <w:proofErr w:type="spellStart"/>
      <w:r>
        <w:t>PCell</w:t>
      </w:r>
      <w:proofErr w:type="spellEnd"/>
      <w:r>
        <w:t xml:space="preserve"> should also be extended here.</w:t>
      </w:r>
    </w:p>
    <w:p w:rsidR="00095EF3" w:rsidRDefault="00FE1FEC">
      <w:pPr>
        <w:spacing w:before="120" w:after="120"/>
        <w:rPr>
          <w:highlight w:val="yellow"/>
        </w:rPr>
      </w:pPr>
      <w:r>
        <w:rPr>
          <w:rFonts w:hint="eastAsia"/>
        </w:rPr>
        <w:t>To this regard, we have the following proposal:</w:t>
      </w:r>
    </w:p>
    <w:p w:rsidR="00095EF3" w:rsidRDefault="00FE1FEC">
      <w:pPr>
        <w:pStyle w:val="YJ-Proposal"/>
        <w:spacing w:before="120" w:after="120"/>
      </w:pPr>
      <w:bookmarkStart w:id="3" w:name="_Toc9439"/>
      <w:r>
        <w:rPr>
          <w:lang w:val="en-US" w:eastAsia="zh-CN"/>
        </w:rPr>
        <w:t xml:space="preserve">For </w:t>
      </w:r>
      <w:proofErr w:type="spellStart"/>
      <w:r>
        <w:rPr>
          <w:lang w:val="en-US" w:eastAsia="zh-CN"/>
        </w:rPr>
        <w:t>SCell</w:t>
      </w:r>
      <w:proofErr w:type="spellEnd"/>
      <w:r>
        <w:rPr>
          <w:lang w:val="en-US" w:eastAsia="zh-CN"/>
        </w:rPr>
        <w:t>, with both legacy UEs and Rel-19 NES-capable UEs, support Option B1: adaptation of CD-SSB</w:t>
      </w:r>
      <w:r>
        <w:rPr>
          <w:rFonts w:hint="eastAsia"/>
        </w:rPr>
        <w:t>.</w:t>
      </w:r>
      <w:bookmarkEnd w:id="3"/>
    </w:p>
    <w:p w:rsidR="00095EF3" w:rsidRDefault="00FE1FEC">
      <w:pPr>
        <w:spacing w:before="120" w:after="120"/>
      </w:pPr>
      <w:r>
        <w:t xml:space="preserve">For Rel-19 NES-capable UE in idle/inactive mode, previous analysis of the </w:t>
      </w:r>
      <w:proofErr w:type="spellStart"/>
      <w:r>
        <w:t>PCell</w:t>
      </w:r>
      <w:proofErr w:type="spellEnd"/>
      <w:r>
        <w:t xml:space="preserve"> scenario suggests that if the SSB burst periodicity is set to default 20ms, the network would not</w:t>
      </w:r>
      <w:r w:rsidR="002B0CC5">
        <w:t xml:space="preserve"> be able to achieve great</w:t>
      </w:r>
      <w:r>
        <w:t xml:space="preserve"> NES gains. Consequently, we propose that the SSB periodicity for Rel-19 NES-capable UEs in idle</w:t>
      </w:r>
      <w:r>
        <w:rPr>
          <w:rFonts w:hint="eastAsia"/>
        </w:rPr>
        <w:t>/</w:t>
      </w:r>
      <w:r>
        <w:t xml:space="preserve">inactive modes should be configurable to exceed 20 milliseconds. This adjustment would allow the </w:t>
      </w:r>
      <w:proofErr w:type="spellStart"/>
      <w:r>
        <w:t>gNB</w:t>
      </w:r>
      <w:proofErr w:type="spellEnd"/>
      <w:r>
        <w:t xml:space="preserve"> to adapt to larger periodicities within the cell, based on the system load. Additionally, in this scenario, the considerations applied to Rel-19 NES capable UE’s </w:t>
      </w:r>
      <w:proofErr w:type="spellStart"/>
      <w:r>
        <w:t>PCell</w:t>
      </w:r>
      <w:proofErr w:type="spellEnd"/>
      <w:r>
        <w:t xml:space="preserve"> can be extended here. </w:t>
      </w:r>
    </w:p>
    <w:p w:rsidR="00095EF3" w:rsidRDefault="00FE1FEC">
      <w:pPr>
        <w:spacing w:before="120" w:after="120"/>
      </w:pPr>
      <w:r>
        <w:t>We hereby present our proposal as follows:</w:t>
      </w:r>
    </w:p>
    <w:p w:rsidR="00095EF3" w:rsidRDefault="00FE1FEC">
      <w:pPr>
        <w:pStyle w:val="YJ-Proposal"/>
        <w:spacing w:before="120" w:after="120"/>
        <w:jc w:val="both"/>
        <w:rPr>
          <w:lang w:val="en-US" w:eastAsia="zh-CN"/>
        </w:rPr>
      </w:pPr>
      <w:bookmarkStart w:id="4" w:name="_Toc1418"/>
      <w:bookmarkStart w:id="5" w:name="_Toc7736"/>
      <w:r>
        <w:rPr>
          <w:rFonts w:hint="eastAsia"/>
          <w:lang w:val="en-US" w:eastAsia="zh-CN"/>
        </w:rPr>
        <w:t>Support SSB adaptation in time domain for Rel-19 NES-capable UEs in idle/inactive mode.</w:t>
      </w:r>
      <w:bookmarkEnd w:id="4"/>
      <w:bookmarkEnd w:id="5"/>
      <w:r>
        <w:rPr>
          <w:rFonts w:hint="eastAsia"/>
          <w:lang w:val="en-US" w:eastAsia="zh-CN"/>
        </w:rPr>
        <w:t xml:space="preserve"> </w:t>
      </w:r>
    </w:p>
    <w:p w:rsidR="00095EF3" w:rsidRDefault="00FE1FEC">
      <w:pPr>
        <w:spacing w:before="120" w:after="120"/>
      </w:pPr>
      <w:r>
        <w:rPr>
          <w:rFonts w:hint="eastAsia"/>
        </w:rPr>
        <w:t xml:space="preserve">For the scenarios that cell </w:t>
      </w:r>
      <w:r>
        <w:t xml:space="preserve">has </w:t>
      </w:r>
      <w:r>
        <w:rPr>
          <w:rFonts w:hint="eastAsia"/>
        </w:rPr>
        <w:t xml:space="preserve">only Rel-19 NES-capable UEs, adaptation of SSB in time domain can be applied to the UEs in both idle/inactive mode and in connected mode. </w:t>
      </w:r>
      <w:r w:rsidR="00D01D0A">
        <w:t>For instance</w:t>
      </w:r>
      <w:r>
        <w:rPr>
          <w:rFonts w:hint="eastAsia"/>
        </w:rPr>
        <w:t xml:space="preserve">, there </w:t>
      </w:r>
      <w:r w:rsidR="00D01D0A">
        <w:t>are</w:t>
      </w:r>
      <w:r>
        <w:rPr>
          <w:rFonts w:hint="eastAsia"/>
        </w:rPr>
        <w:t xml:space="preserve"> some re-farming bands or new spectrums for Rel-19 and beyond </w:t>
      </w:r>
      <w:r w:rsidR="00D01D0A">
        <w:t xml:space="preserve">R19 </w:t>
      </w:r>
      <w:r>
        <w:rPr>
          <w:rFonts w:hint="eastAsia"/>
        </w:rPr>
        <w:t>UEs, such as band n104, which legacy UEs cannot be aware</w:t>
      </w:r>
      <w:r>
        <w:t xml:space="preserve"> of the existence of the cell</w:t>
      </w:r>
      <w:r>
        <w:rPr>
          <w:rFonts w:hint="eastAsia"/>
        </w:rPr>
        <w:t>. To this end, SSB adaptation can be</w:t>
      </w:r>
      <w:r w:rsidR="00D01D0A">
        <w:rPr>
          <w:rFonts w:hint="eastAsia"/>
        </w:rPr>
        <w:t xml:space="preserve"> more flexible to harvest </w:t>
      </w:r>
      <w:r w:rsidR="00D01D0A">
        <w:t>great</w:t>
      </w:r>
      <w:r>
        <w:rPr>
          <w:rFonts w:hint="eastAsia"/>
        </w:rPr>
        <w:t xml:space="preserve"> NES gain without considering the impact of legacy UEs.</w:t>
      </w:r>
    </w:p>
    <w:p w:rsidR="00095EF3" w:rsidRDefault="00FE1FEC">
      <w:pPr>
        <w:pStyle w:val="YJ-Proposal"/>
        <w:spacing w:before="120" w:after="120"/>
        <w:jc w:val="both"/>
        <w:rPr>
          <w:lang w:val="en-US" w:eastAsia="zh-CN"/>
        </w:rPr>
      </w:pPr>
      <w:bookmarkStart w:id="6" w:name="_Toc13385"/>
      <w:bookmarkStart w:id="7" w:name="_Toc31394"/>
      <w:r>
        <w:rPr>
          <w:rFonts w:hint="eastAsia"/>
          <w:lang w:val="en-US" w:eastAsia="zh-CN"/>
        </w:rPr>
        <w:t>Support to consider SSB adaptation in time domain in the scenario that cell with only Rel-19 NES-capable UEs.</w:t>
      </w:r>
      <w:bookmarkEnd w:id="6"/>
      <w:bookmarkEnd w:id="7"/>
    </w:p>
    <w:p w:rsidR="00095EF3" w:rsidRDefault="00FE1FEC">
      <w:pPr>
        <w:pStyle w:val="2"/>
        <w:spacing w:before="120" w:after="120"/>
        <w:ind w:left="991" w:right="210" w:hangingChars="354" w:hanging="991"/>
        <w:rPr>
          <w:rFonts w:eastAsia="宋体"/>
        </w:rPr>
      </w:pPr>
      <w:r>
        <w:rPr>
          <w:rFonts w:eastAsia="宋体" w:hint="eastAsia"/>
        </w:rPr>
        <w:lastRenderedPageBreak/>
        <w:t xml:space="preserve">Potential schemes for adaptation of SSB in time domain </w:t>
      </w:r>
    </w:p>
    <w:p w:rsidR="00095EF3" w:rsidRDefault="00FE1FEC">
      <w:pPr>
        <w:spacing w:before="120" w:after="120"/>
      </w:pPr>
      <w:r>
        <w:rPr>
          <w:rFonts w:hint="eastAsia"/>
        </w:rPr>
        <w:t xml:space="preserve">In RAN1#116bis meeting, there </w:t>
      </w:r>
      <w:r w:rsidR="00D01D0A">
        <w:t>wa</w:t>
      </w:r>
      <w:r>
        <w:rPr>
          <w:rFonts w:hint="eastAsia"/>
        </w:rPr>
        <w:t xml:space="preserve">s a possible agreement for potential schemes for adaptation of SSB in time domain [2]. From </w:t>
      </w:r>
      <w:r>
        <w:t>our</w:t>
      </w:r>
      <w:r>
        <w:rPr>
          <w:rFonts w:hint="eastAsia"/>
        </w:rPr>
        <w:t xml:space="preserve"> perspective, mechanisms of adaptation of SSB burst transmission in time domain should focus on adaptation of SSB burst periodicity. The adaptation of SSB burst periodicity allows small SSB burst periodicity, e.g., 5ms, 10ms, and 20ms, to guarantee AGC and synchronization for UEs when system load is high</w:t>
      </w:r>
      <w:r>
        <w:t>.</w:t>
      </w:r>
      <w:r>
        <w:rPr>
          <w:rFonts w:hint="eastAsia"/>
        </w:rPr>
        <w:t xml:space="preserve"> </w:t>
      </w:r>
      <w:r>
        <w:t>W</w:t>
      </w:r>
      <w:r>
        <w:rPr>
          <w:rFonts w:hint="eastAsia"/>
        </w:rPr>
        <w:t xml:space="preserve">hile large SSB burst periodicity, e.g., beyond 20ms, </w:t>
      </w:r>
      <w:r>
        <w:t xml:space="preserve">is utilized </w:t>
      </w:r>
      <w:r>
        <w:rPr>
          <w:rFonts w:hint="eastAsia"/>
        </w:rPr>
        <w:t>to achieve network energy saving when system load is low.</w:t>
      </w:r>
    </w:p>
    <w:p w:rsidR="00095EF3" w:rsidRDefault="00FE1FEC">
      <w:pPr>
        <w:spacing w:before="120" w:after="120"/>
      </w:pPr>
      <w:r>
        <w:rPr>
          <w:rFonts w:hint="eastAsia"/>
        </w:rPr>
        <w:t xml:space="preserve">In current specification [3], UE obtains parameters for SSB through </w:t>
      </w:r>
      <w:r>
        <w:rPr>
          <w:rFonts w:hint="eastAsia"/>
          <w:i/>
          <w:iCs/>
        </w:rPr>
        <w:t xml:space="preserve">SIB1 </w:t>
      </w:r>
      <w:r>
        <w:rPr>
          <w:rFonts w:hint="eastAsia"/>
        </w:rPr>
        <w:t xml:space="preserve">or </w:t>
      </w:r>
      <w:proofErr w:type="spellStart"/>
      <w:r>
        <w:rPr>
          <w:rFonts w:hint="eastAsia"/>
          <w:i/>
          <w:iCs/>
        </w:rPr>
        <w:t>ServingCellConfigCommon</w:t>
      </w:r>
      <w:proofErr w:type="spellEnd"/>
      <w:r>
        <w:rPr>
          <w:rFonts w:hint="eastAsia"/>
        </w:rPr>
        <w:t>, such as</w:t>
      </w:r>
      <w:r>
        <w:rPr>
          <w:rFonts w:hint="eastAsia"/>
          <w:i/>
          <w:iCs/>
        </w:rPr>
        <w:t xml:space="preserve"> </w:t>
      </w:r>
      <w:r>
        <w:rPr>
          <w:rFonts w:hint="eastAsia"/>
        </w:rPr>
        <w:t>SSB burst</w:t>
      </w:r>
      <w:r>
        <w:rPr>
          <w:rFonts w:hint="eastAsia"/>
          <w:i/>
          <w:iCs/>
        </w:rPr>
        <w:t xml:space="preserve"> </w:t>
      </w:r>
      <w:r>
        <w:rPr>
          <w:rFonts w:hint="eastAsia"/>
        </w:rPr>
        <w:t xml:space="preserve">periodicity through </w:t>
      </w:r>
      <w:proofErr w:type="spellStart"/>
      <w:r>
        <w:rPr>
          <w:rFonts w:hint="eastAsia"/>
          <w:i/>
          <w:iCs/>
        </w:rPr>
        <w:t>ssb-periodicityServingCell</w:t>
      </w:r>
      <w:proofErr w:type="spellEnd"/>
      <w:r>
        <w:rPr>
          <w:rFonts w:hint="eastAsia"/>
        </w:rPr>
        <w:t>, which can be set as a value from</w:t>
      </w:r>
      <w:r>
        <w:t xml:space="preserve"> </w:t>
      </w:r>
      <w:r>
        <w:rPr>
          <w:rFonts w:hint="eastAsia"/>
        </w:rPr>
        <w:t xml:space="preserve">{5ms, 10ms, 20ms, 80ms, 160ms}. For mechanism for adaptation of SSB in time domain, one way is to use system information to inform the adaptation. However, system information can be only updated in modification period, which is multiple of paging cycles. If adaptation of SSB can be only updated via system information, the latency is large. And large update latency will make it difficult to fit into the </w:t>
      </w:r>
      <w:r>
        <w:t>time-</w:t>
      </w:r>
      <w:r>
        <w:rPr>
          <w:rFonts w:hint="eastAsia"/>
        </w:rPr>
        <w:t>var</w:t>
      </w:r>
      <w:r>
        <w:t xml:space="preserve">ying </w:t>
      </w:r>
      <w:r>
        <w:rPr>
          <w:rFonts w:hint="eastAsia"/>
        </w:rPr>
        <w:t xml:space="preserve">cell load. Hence, it is beneficial to update the SSB burst periodicity in a fast way. For example, adapted SSB burst periodicity in DCI signaling should be considered.  </w:t>
      </w:r>
    </w:p>
    <w:p w:rsidR="00095EF3" w:rsidRDefault="00FE1FEC">
      <w:pPr>
        <w:spacing w:before="120" w:after="120"/>
        <w:jc w:val="center"/>
      </w:pPr>
      <w:r>
        <w:rPr>
          <w:noProof/>
        </w:rPr>
        <w:drawing>
          <wp:inline distT="0" distB="0" distL="114300" distR="114300">
            <wp:extent cx="5372735" cy="1527810"/>
            <wp:effectExtent l="0" t="0" r="18415"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372735" cy="1527810"/>
                    </a:xfrm>
                    <a:prstGeom prst="rect">
                      <a:avLst/>
                    </a:prstGeom>
                    <a:noFill/>
                    <a:ln>
                      <a:noFill/>
                    </a:ln>
                  </pic:spPr>
                </pic:pic>
              </a:graphicData>
            </a:graphic>
          </wp:inline>
        </w:drawing>
      </w:r>
    </w:p>
    <w:p w:rsidR="00095EF3" w:rsidRDefault="00FE1FEC">
      <w:pPr>
        <w:spacing w:before="120" w:after="120"/>
        <w:jc w:val="center"/>
      </w:pPr>
      <w:r>
        <w:rPr>
          <w:rFonts w:hint="eastAsia"/>
        </w:rPr>
        <w:t>Figure 1 Illustration of SSB adaptation</w:t>
      </w:r>
    </w:p>
    <w:p w:rsidR="00095EF3" w:rsidRDefault="00FE1FEC">
      <w:pPr>
        <w:spacing w:before="120" w:after="120"/>
      </w:pPr>
      <w:r>
        <w:rPr>
          <w:rFonts w:hint="eastAsia"/>
        </w:rPr>
        <w:t xml:space="preserve">Moreover, we think general schemes for adaptation of SSB in time domain should be prioritized, and schemes for specific scenarios, including e.g., cell DTX scenario can be further studied. </w:t>
      </w:r>
    </w:p>
    <w:p w:rsidR="00095EF3" w:rsidRDefault="00FE1FEC">
      <w:pPr>
        <w:spacing w:before="120" w:after="120"/>
      </w:pPr>
      <w:r>
        <w:rPr>
          <w:rFonts w:hint="eastAsia"/>
        </w:rPr>
        <w:t>To this end, we have the following proposals:</w:t>
      </w:r>
    </w:p>
    <w:p w:rsidR="00095EF3" w:rsidRDefault="00FE1FEC">
      <w:pPr>
        <w:pStyle w:val="YJ-Proposal"/>
        <w:spacing w:before="120" w:after="120"/>
        <w:jc w:val="both"/>
        <w:rPr>
          <w:lang w:val="en-US" w:eastAsia="zh-CN"/>
        </w:rPr>
      </w:pPr>
      <w:bookmarkStart w:id="8" w:name="_Toc823"/>
      <w:r>
        <w:rPr>
          <w:rFonts w:hint="eastAsia"/>
          <w:lang w:val="en-US" w:eastAsia="zh-CN"/>
        </w:rPr>
        <w:t>Prioritize to specify adaptation of SSB burst periodicity.</w:t>
      </w:r>
      <w:bookmarkEnd w:id="8"/>
    </w:p>
    <w:p w:rsidR="00095EF3" w:rsidRDefault="00FE1FEC">
      <w:pPr>
        <w:pStyle w:val="YJ-Proposal"/>
        <w:spacing w:before="120" w:after="120"/>
        <w:jc w:val="both"/>
        <w:rPr>
          <w:lang w:val="en-US" w:eastAsia="zh-CN"/>
        </w:rPr>
      </w:pPr>
      <w:bookmarkStart w:id="9" w:name="_Toc27244"/>
      <w:r>
        <w:rPr>
          <w:rFonts w:hint="eastAsia"/>
          <w:lang w:val="en-US" w:eastAsia="zh-CN"/>
        </w:rPr>
        <w:t>Specify dynamic signaling for adaptation of SSB in time domain.</w:t>
      </w:r>
      <w:bookmarkEnd w:id="9"/>
    </w:p>
    <w:p w:rsidR="00095EF3" w:rsidRDefault="00FE1FEC">
      <w:pPr>
        <w:spacing w:before="120" w:after="120"/>
      </w:pPr>
      <w:r>
        <w:rPr>
          <w:rFonts w:hint="eastAsia"/>
        </w:rPr>
        <w:t xml:space="preserve">Besides, in our </w:t>
      </w:r>
      <w:r>
        <w:t>view</w:t>
      </w:r>
      <w:r>
        <w:rPr>
          <w:rFonts w:hint="eastAsia"/>
        </w:rPr>
        <w:t>, extended SSB burst periodicity</w:t>
      </w:r>
      <w:r>
        <w:t xml:space="preserve"> </w:t>
      </w:r>
      <w:r>
        <w:rPr>
          <w:rFonts w:hint="eastAsia"/>
        </w:rPr>
        <w:t>e.g., 320ms, 640ms and etc</w:t>
      </w:r>
      <w:r w:rsidR="00C07367">
        <w:t>.</w:t>
      </w:r>
      <w:r>
        <w:rPr>
          <w:rFonts w:hint="eastAsia"/>
        </w:rPr>
        <w:t xml:space="preserve">, can be considered </w:t>
      </w:r>
      <w:r>
        <w:t>to potentially achieve additional NES gains</w:t>
      </w:r>
      <w:r>
        <w:rPr>
          <w:rFonts w:hint="eastAsia"/>
        </w:rPr>
        <w:t xml:space="preserve">. And </w:t>
      </w:r>
      <w:r>
        <w:t xml:space="preserve">the </w:t>
      </w:r>
      <w:r>
        <w:rPr>
          <w:rFonts w:hint="eastAsia"/>
        </w:rPr>
        <w:t xml:space="preserve">extended SSB periodicity can be </w:t>
      </w:r>
      <w:r>
        <w:t xml:space="preserve">also </w:t>
      </w:r>
      <w:proofErr w:type="gramStart"/>
      <w:r>
        <w:t>taken into account</w:t>
      </w:r>
      <w:proofErr w:type="gramEnd"/>
      <w:r>
        <w:t xml:space="preserve"> </w:t>
      </w:r>
      <w:r>
        <w:rPr>
          <w:rFonts w:hint="eastAsia"/>
        </w:rPr>
        <w:t xml:space="preserve">in adaptation of SSB burst periodicity. </w:t>
      </w:r>
    </w:p>
    <w:p w:rsidR="00095EF3" w:rsidRDefault="00FE1FEC">
      <w:pPr>
        <w:pStyle w:val="YJ-Proposal"/>
        <w:spacing w:before="120" w:after="120"/>
        <w:jc w:val="both"/>
        <w:rPr>
          <w:lang w:val="en-US" w:eastAsia="zh-CN"/>
        </w:rPr>
      </w:pPr>
      <w:bookmarkStart w:id="10" w:name="_Toc25247"/>
      <w:r>
        <w:rPr>
          <w:rFonts w:hint="eastAsia"/>
          <w:lang w:val="en-US" w:eastAsia="zh-CN"/>
        </w:rPr>
        <w:t>Consider extended SSB burst periodicity in adaptation of SSB burst periodicity.</w:t>
      </w:r>
      <w:bookmarkEnd w:id="10"/>
    </w:p>
    <w:p w:rsidR="00095EF3" w:rsidRDefault="00FE1FEC">
      <w:pPr>
        <w:pStyle w:val="1"/>
        <w:spacing w:before="120" w:after="120"/>
        <w:ind w:left="0"/>
      </w:pPr>
      <w:r>
        <w:rPr>
          <w:rFonts w:eastAsia="宋体" w:hint="eastAsia"/>
        </w:rPr>
        <w:t xml:space="preserve">Adaptation of PRACH in time domain  </w:t>
      </w:r>
      <w:r>
        <w:rPr>
          <w:rFonts w:eastAsia="宋体"/>
        </w:rPr>
        <w:t xml:space="preserve"> </w:t>
      </w:r>
      <w:bookmarkStart w:id="11" w:name="_Toc82"/>
      <w:bookmarkStart w:id="12" w:name="_Toc525"/>
      <w:bookmarkStart w:id="13" w:name="_Toc29400"/>
      <w:bookmarkStart w:id="14" w:name="_Toc29089"/>
      <w:bookmarkEnd w:id="11"/>
      <w:bookmarkEnd w:id="12"/>
      <w:bookmarkEnd w:id="13"/>
      <w:bookmarkEnd w:id="14"/>
    </w:p>
    <w:p w:rsidR="00095EF3" w:rsidRDefault="00FE1FEC">
      <w:pPr>
        <w:pStyle w:val="2"/>
        <w:spacing w:before="120" w:after="120"/>
        <w:ind w:left="991" w:right="210" w:hangingChars="354" w:hanging="991"/>
        <w:rPr>
          <w:rFonts w:eastAsia="宋体"/>
        </w:rPr>
      </w:pPr>
      <w:r>
        <w:rPr>
          <w:rFonts w:eastAsia="宋体" w:hint="eastAsia"/>
        </w:rPr>
        <w:t>Potential schemes for adaptation of PRACH in time domain</w:t>
      </w:r>
    </w:p>
    <w:p w:rsidR="00095EF3" w:rsidRDefault="00FE1FEC">
      <w:pPr>
        <w:spacing w:before="120" w:after="120"/>
      </w:pPr>
      <w:r>
        <w:rPr>
          <w:rFonts w:hint="eastAsia"/>
        </w:rPr>
        <w:t xml:space="preserve">In RAN1#116bis meeting, there </w:t>
      </w:r>
      <w:r>
        <w:t>wa</w:t>
      </w:r>
      <w:r>
        <w:rPr>
          <w:rFonts w:hint="eastAsia"/>
        </w:rPr>
        <w:t xml:space="preserve">s an agreement about the potential schemes for adaptation of PRACH in time domain [1]. </w:t>
      </w:r>
    </w:p>
    <w:tbl>
      <w:tblPr>
        <w:tblStyle w:val="af3"/>
        <w:tblW w:w="0" w:type="auto"/>
        <w:tblLook w:val="04A0" w:firstRow="1" w:lastRow="0" w:firstColumn="1" w:lastColumn="0" w:noHBand="0" w:noVBand="1"/>
      </w:tblPr>
      <w:tblGrid>
        <w:gridCol w:w="9650"/>
      </w:tblGrid>
      <w:tr w:rsidR="00095EF3">
        <w:tc>
          <w:tcPr>
            <w:tcW w:w="9876" w:type="dxa"/>
          </w:tcPr>
          <w:p w:rsidR="00095EF3" w:rsidRDefault="00FE1FEC">
            <w:pPr>
              <w:spacing w:beforeLines="0" w:afterLines="0" w:after="0" w:line="240" w:lineRule="auto"/>
              <w:rPr>
                <w:b/>
                <w:bCs/>
                <w:highlight w:val="green"/>
              </w:rPr>
            </w:pPr>
            <w:r>
              <w:rPr>
                <w:b/>
                <w:bCs/>
                <w:highlight w:val="green"/>
              </w:rPr>
              <w:t>Agreement</w:t>
            </w:r>
          </w:p>
          <w:p w:rsidR="00095EF3" w:rsidRDefault="00FE1FEC">
            <w:pPr>
              <w:pStyle w:val="a9"/>
              <w:spacing w:beforeLines="0" w:afterLines="0" w:after="0" w:line="240" w:lineRule="auto"/>
              <w:jc w:val="left"/>
              <w:rPr>
                <w:rFonts w:ascii="Times New Roman" w:hAnsi="Times New Roman"/>
              </w:rPr>
            </w:pPr>
            <w:r>
              <w:rPr>
                <w:rFonts w:ascii="Times New Roman" w:hAnsi="Times New Roman"/>
              </w:rPr>
              <w:t xml:space="preserve">For adaptation of PRACH in time-domain, support at least the following: </w:t>
            </w:r>
          </w:p>
          <w:p w:rsidR="00095EF3" w:rsidRDefault="00FE1FEC">
            <w:pPr>
              <w:pStyle w:val="a9"/>
              <w:numPr>
                <w:ilvl w:val="0"/>
                <w:numId w:val="6"/>
              </w:numPr>
              <w:spacing w:beforeLines="0" w:afterLines="0" w:after="0" w:line="240" w:lineRule="auto"/>
              <w:ind w:left="583" w:hanging="291"/>
              <w:jc w:val="left"/>
              <w:rPr>
                <w:rFonts w:ascii="Times New Roman" w:hAnsi="Times New Roman"/>
              </w:rPr>
            </w:pPr>
            <w:r>
              <w:rPr>
                <w:rFonts w:ascii="Times New Roman" w:hAnsi="Times New Roman"/>
              </w:rPr>
              <w:t>Adaptation based on additional PRACH resources for NES-capable UEs in addition to PRACH resources for legacy UEs (if any)</w:t>
            </w:r>
          </w:p>
          <w:p w:rsidR="00095EF3" w:rsidRDefault="00FE1FEC">
            <w:pPr>
              <w:pStyle w:val="a9"/>
              <w:numPr>
                <w:ilvl w:val="1"/>
                <w:numId w:val="5"/>
              </w:numPr>
              <w:spacing w:beforeLines="0" w:afterLines="0" w:after="0" w:line="240" w:lineRule="auto"/>
              <w:ind w:left="1166" w:hanging="291"/>
              <w:jc w:val="left"/>
              <w:rPr>
                <w:rFonts w:ascii="Times New Roman" w:hAnsi="Times New Roman"/>
              </w:rPr>
            </w:pPr>
            <w:r>
              <w:rPr>
                <w:rFonts w:ascii="Times New Roman" w:hAnsi="Times New Roman"/>
              </w:rPr>
              <w:lastRenderedPageBreak/>
              <w:t>Note: NES-capable UEs can use both additional PRACH resources and PRACH resources for legacy UEs</w:t>
            </w:r>
          </w:p>
          <w:p w:rsidR="00095EF3" w:rsidRDefault="00FE1FEC">
            <w:pPr>
              <w:pStyle w:val="a9"/>
              <w:numPr>
                <w:ilvl w:val="1"/>
                <w:numId w:val="5"/>
              </w:numPr>
              <w:spacing w:beforeLines="0" w:afterLines="0" w:after="0" w:line="240" w:lineRule="auto"/>
              <w:ind w:left="1166" w:hanging="291"/>
              <w:jc w:val="left"/>
              <w:rPr>
                <w:rFonts w:ascii="Times New Roman" w:hAnsi="Times New Roman"/>
              </w:rPr>
            </w:pPr>
            <w:r>
              <w:rPr>
                <w:rFonts w:ascii="Times New Roman" w:hAnsi="Times New Roman"/>
              </w:rPr>
              <w:t xml:space="preserve">Configuration of additional PRACH resources is provided by semi-static </w:t>
            </w:r>
            <w:proofErr w:type="spellStart"/>
            <w:r>
              <w:rPr>
                <w:rFonts w:ascii="Times New Roman" w:hAnsi="Times New Roman"/>
              </w:rPr>
              <w:t>signalling</w:t>
            </w:r>
            <w:proofErr w:type="spellEnd"/>
          </w:p>
          <w:p w:rsidR="00095EF3" w:rsidRDefault="00FE1FEC">
            <w:pPr>
              <w:pStyle w:val="a9"/>
              <w:numPr>
                <w:ilvl w:val="2"/>
                <w:numId w:val="5"/>
              </w:numPr>
              <w:spacing w:beforeLines="0" w:afterLines="0" w:after="0" w:line="240" w:lineRule="auto"/>
              <w:ind w:left="1749" w:hanging="291"/>
              <w:jc w:val="left"/>
              <w:rPr>
                <w:rFonts w:ascii="Times New Roman" w:hAnsi="Times New Roman"/>
              </w:rPr>
            </w:pPr>
            <w:r>
              <w:rPr>
                <w:rFonts w:ascii="Times New Roman" w:hAnsi="Times New Roman"/>
              </w:rPr>
              <w:t>FFS: details including whether there is overlap of additional PRACH resources and PRACH resources for legacy UEs</w:t>
            </w:r>
          </w:p>
          <w:p w:rsidR="00095EF3" w:rsidRDefault="00FE1FEC">
            <w:pPr>
              <w:pStyle w:val="a9"/>
              <w:numPr>
                <w:ilvl w:val="1"/>
                <w:numId w:val="5"/>
              </w:numPr>
              <w:spacing w:beforeLines="0" w:afterLines="0" w:after="0" w:line="240" w:lineRule="auto"/>
              <w:ind w:left="1166" w:hanging="291"/>
              <w:jc w:val="left"/>
              <w:rPr>
                <w:rFonts w:ascii="Times New Roman" w:hAnsi="Times New Roman"/>
              </w:rPr>
            </w:pPr>
            <w:r>
              <w:rPr>
                <w:rFonts w:ascii="Times New Roman" w:hAnsi="Times New Roman"/>
              </w:rPr>
              <w:t>FFS: adaptation mechanism for additional PRACH resources</w:t>
            </w:r>
          </w:p>
          <w:p w:rsidR="00095EF3" w:rsidRDefault="00FE1FEC">
            <w:pPr>
              <w:pStyle w:val="a9"/>
              <w:numPr>
                <w:ilvl w:val="1"/>
                <w:numId w:val="5"/>
              </w:numPr>
              <w:spacing w:beforeLines="0" w:afterLines="0" w:after="0" w:line="240" w:lineRule="auto"/>
              <w:ind w:left="1166" w:hanging="291"/>
              <w:jc w:val="left"/>
              <w:rPr>
                <w:szCs w:val="21"/>
              </w:rPr>
            </w:pPr>
            <w:r>
              <w:rPr>
                <w:rFonts w:ascii="Times New Roman" w:hAnsi="Times New Roman"/>
              </w:rPr>
              <w:t>Note: No change to the existing PRACH configuration tables in 38.211</w:t>
            </w:r>
          </w:p>
        </w:tc>
      </w:tr>
    </w:tbl>
    <w:p w:rsidR="00095EF3" w:rsidRDefault="00FE1FEC">
      <w:pPr>
        <w:spacing w:before="120" w:after="120"/>
        <w:rPr>
          <w:szCs w:val="21"/>
        </w:rPr>
      </w:pPr>
      <w:r>
        <w:rPr>
          <w:rFonts w:hint="eastAsia"/>
          <w:szCs w:val="21"/>
        </w:rPr>
        <w:lastRenderedPageBreak/>
        <w:t xml:space="preserve">According to the agreement, the </w:t>
      </w:r>
      <w:r>
        <w:rPr>
          <w:rFonts w:hint="eastAsia"/>
        </w:rPr>
        <w:t>PRACH resources for Rel-19 NES-capable UE</w:t>
      </w:r>
      <w:r>
        <w:rPr>
          <w:rFonts w:hint="eastAsia"/>
          <w:szCs w:val="21"/>
        </w:rPr>
        <w:t xml:space="preserve"> are generated by existing PRACH configurations in current PRACH configuration table in 38.211, including the additional PRACH resources. For example, when the system load is low,</w:t>
      </w:r>
      <w:r>
        <w:rPr>
          <w:szCs w:val="21"/>
        </w:rPr>
        <w:t xml:space="preserve"> </w:t>
      </w:r>
      <w:r>
        <w:rPr>
          <w:rFonts w:hint="eastAsia"/>
          <w:szCs w:val="21"/>
        </w:rPr>
        <w:t>a few PRACH resources are configured (e.g., the PRACH configuration index #148 in Figure 2</w:t>
      </w:r>
      <w:r>
        <w:rPr>
          <w:szCs w:val="21"/>
        </w:rPr>
        <w:t xml:space="preserve"> is employed for UEs</w:t>
      </w:r>
      <w:r>
        <w:rPr>
          <w:rFonts w:hint="eastAsia"/>
          <w:szCs w:val="21"/>
        </w:rPr>
        <w:t xml:space="preserve">) to harvest NES gain. When the system load is high, e.g., </w:t>
      </w:r>
      <w:r>
        <w:rPr>
          <w:szCs w:val="21"/>
        </w:rPr>
        <w:t>there are increasing</w:t>
      </w:r>
      <w:r>
        <w:rPr>
          <w:rFonts w:hint="eastAsia"/>
          <w:szCs w:val="21"/>
        </w:rPr>
        <w:t xml:space="preserve"> Rel-19 NES-capable UEs in the cell, the </w:t>
      </w:r>
      <w:r>
        <w:rPr>
          <w:rFonts w:hint="eastAsia"/>
        </w:rPr>
        <w:t>PRACH resources</w:t>
      </w:r>
      <w:r>
        <w:rPr>
          <w:rFonts w:hint="eastAsia"/>
          <w:szCs w:val="21"/>
        </w:rPr>
        <w:t xml:space="preserve"> are configured (the PRACH configuration index #162 in Figure 2) to reduce access latency. </w:t>
      </w:r>
      <w:r>
        <w:rPr>
          <w:szCs w:val="21"/>
        </w:rPr>
        <w:t>In this case, legacy UE is configured with PRACH configuration index #148.</w:t>
      </w:r>
    </w:p>
    <w:p w:rsidR="00095EF3" w:rsidRDefault="00FE1FEC">
      <w:pPr>
        <w:spacing w:before="120" w:after="120"/>
        <w:jc w:val="center"/>
      </w:pPr>
      <w:r>
        <w:rPr>
          <w:noProof/>
        </w:rPr>
        <w:drawing>
          <wp:inline distT="0" distB="0" distL="114300" distR="114300">
            <wp:extent cx="5408295" cy="2273300"/>
            <wp:effectExtent l="0" t="0" r="1905" b="1270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tretch>
                      <a:fillRect/>
                    </a:stretch>
                  </pic:blipFill>
                  <pic:spPr>
                    <a:xfrm>
                      <a:off x="0" y="0"/>
                      <a:ext cx="5408295" cy="2273300"/>
                    </a:xfrm>
                    <a:prstGeom prst="rect">
                      <a:avLst/>
                    </a:prstGeom>
                    <a:noFill/>
                    <a:ln>
                      <a:noFill/>
                    </a:ln>
                  </pic:spPr>
                </pic:pic>
              </a:graphicData>
            </a:graphic>
          </wp:inline>
        </w:drawing>
      </w:r>
    </w:p>
    <w:p w:rsidR="00095EF3" w:rsidRDefault="00FE1FEC">
      <w:pPr>
        <w:spacing w:before="120" w:after="120"/>
        <w:jc w:val="center"/>
      </w:pPr>
      <w:r>
        <w:rPr>
          <w:rFonts w:hint="eastAsia"/>
        </w:rPr>
        <w:t>Figure 2 PRACH resources patterns for PRACH configuration index#148 and index#162</w:t>
      </w:r>
    </w:p>
    <w:p w:rsidR="00095EF3" w:rsidRDefault="00FE1FEC">
      <w:pPr>
        <w:pStyle w:val="YJ-Proposal"/>
        <w:spacing w:before="120" w:after="120"/>
        <w:jc w:val="both"/>
        <w:rPr>
          <w:lang w:val="en-US" w:eastAsia="zh-CN"/>
        </w:rPr>
      </w:pPr>
      <w:bookmarkStart w:id="15" w:name="_Toc7808"/>
      <w:r>
        <w:rPr>
          <w:rFonts w:hint="eastAsia"/>
          <w:lang w:val="en-US" w:eastAsia="zh-CN"/>
        </w:rPr>
        <w:t>PRACH resources for Rel-19 NES-capable UE are generated by existing PRACH configurations in TS 38.211.</w:t>
      </w:r>
      <w:bookmarkEnd w:id="15"/>
    </w:p>
    <w:p w:rsidR="00095EF3" w:rsidRDefault="00FE1FEC">
      <w:pPr>
        <w:spacing w:before="120" w:after="120"/>
      </w:pPr>
      <w:r>
        <w:rPr>
          <w:rFonts w:hint="eastAsia"/>
        </w:rPr>
        <w:t xml:space="preserve">Considering the additional PRACH resources, </w:t>
      </w:r>
      <w:r>
        <w:t xml:space="preserve">which are distinct from the </w:t>
      </w:r>
      <w:r>
        <w:rPr>
          <w:rFonts w:hint="eastAsia"/>
        </w:rPr>
        <w:t xml:space="preserve">PRACH resources </w:t>
      </w:r>
      <w:r>
        <w:t xml:space="preserve">overlapping with those accessible to </w:t>
      </w:r>
      <w:r>
        <w:rPr>
          <w:rFonts w:hint="eastAsia"/>
        </w:rPr>
        <w:t xml:space="preserve">legacy UE, the SSB-RO mapping for additional PRACH resources should be carefully designed. According to the agreement in RAN1#116bis meeting, it is agreed that the PRACH resources for legacy UEs and PRACH resources for additional PRACH resources should be mapped to SSB separately [1]. </w:t>
      </w:r>
    </w:p>
    <w:tbl>
      <w:tblPr>
        <w:tblStyle w:val="af3"/>
        <w:tblW w:w="0" w:type="auto"/>
        <w:tblLook w:val="04A0" w:firstRow="1" w:lastRow="0" w:firstColumn="1" w:lastColumn="0" w:noHBand="0" w:noVBand="1"/>
      </w:tblPr>
      <w:tblGrid>
        <w:gridCol w:w="9650"/>
      </w:tblGrid>
      <w:tr w:rsidR="00095EF3">
        <w:tc>
          <w:tcPr>
            <w:tcW w:w="9876" w:type="dxa"/>
          </w:tcPr>
          <w:p w:rsidR="00095EF3" w:rsidRDefault="00FE1FEC">
            <w:pPr>
              <w:spacing w:beforeLines="0" w:afterLines="0" w:after="0" w:line="240" w:lineRule="auto"/>
              <w:rPr>
                <w:b/>
                <w:bCs/>
                <w:highlight w:val="green"/>
              </w:rPr>
            </w:pPr>
            <w:r>
              <w:rPr>
                <w:b/>
                <w:bCs/>
                <w:highlight w:val="green"/>
              </w:rPr>
              <w:t>Agreement</w:t>
            </w:r>
          </w:p>
          <w:p w:rsidR="00095EF3" w:rsidRDefault="00FE1FEC">
            <w:pPr>
              <w:pStyle w:val="a9"/>
              <w:spacing w:beforeLines="0" w:afterLines="0" w:after="0" w:line="240" w:lineRule="auto"/>
              <w:jc w:val="left"/>
              <w:rPr>
                <w:rFonts w:ascii="Times New Roman" w:hAnsi="Times New Roman"/>
              </w:rPr>
            </w:pPr>
            <w:r>
              <w:rPr>
                <w:rFonts w:ascii="Times New Roman" w:hAnsi="Times New Roman"/>
              </w:rPr>
              <w:t xml:space="preserve">For adaptation of PRACH in time-domain, support the following: </w:t>
            </w:r>
          </w:p>
          <w:p w:rsidR="00095EF3" w:rsidRDefault="00FE1FEC">
            <w:pPr>
              <w:pStyle w:val="a9"/>
              <w:numPr>
                <w:ilvl w:val="0"/>
                <w:numId w:val="6"/>
              </w:numPr>
              <w:spacing w:beforeLines="0" w:afterLines="0" w:after="0" w:line="240" w:lineRule="auto"/>
              <w:ind w:left="583" w:hanging="291"/>
              <w:jc w:val="left"/>
              <w:rPr>
                <w:rFonts w:ascii="Times New Roman" w:hAnsi="Times New Roman"/>
              </w:rPr>
            </w:pPr>
            <w:r>
              <w:rPr>
                <w:rFonts w:ascii="Times New Roman" w:hAnsi="Times New Roman"/>
              </w:rPr>
              <w:t>SSB-RO mapping for the additional PRACH resources is separate from the SSB-RO mapping of the PRACH resources for legacy UEs (if any)</w:t>
            </w:r>
          </w:p>
          <w:p w:rsidR="00095EF3" w:rsidRDefault="00FE1FEC">
            <w:pPr>
              <w:pStyle w:val="a9"/>
              <w:numPr>
                <w:ilvl w:val="1"/>
                <w:numId w:val="5"/>
              </w:numPr>
              <w:spacing w:beforeLines="0" w:afterLines="0" w:after="0" w:line="240" w:lineRule="auto"/>
              <w:ind w:left="1166" w:hanging="291"/>
              <w:jc w:val="left"/>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rsidR="00095EF3" w:rsidRDefault="00FE1FEC">
            <w:pPr>
              <w:pStyle w:val="a9"/>
              <w:numPr>
                <w:ilvl w:val="1"/>
                <w:numId w:val="5"/>
              </w:numPr>
              <w:spacing w:beforeLines="0" w:afterLines="0" w:after="0" w:line="240" w:lineRule="auto"/>
              <w:ind w:left="1166" w:hanging="291"/>
              <w:jc w:val="left"/>
              <w:rPr>
                <w:rFonts w:ascii="Times New Roman" w:hAnsi="Times New Roman"/>
              </w:rPr>
            </w:pPr>
            <w:r>
              <w:rPr>
                <w:rFonts w:ascii="Times New Roman" w:hAnsi="Times New Roman"/>
              </w:rPr>
              <w:t>Note: SSB-RO mapping of the PRACH resources for legacy UEs is not impacted if Rel-19 UE uses these PRACH resources</w:t>
            </w:r>
          </w:p>
          <w:p w:rsidR="00095EF3" w:rsidRDefault="00FE1FEC">
            <w:pPr>
              <w:pStyle w:val="a9"/>
              <w:numPr>
                <w:ilvl w:val="1"/>
                <w:numId w:val="5"/>
              </w:numPr>
              <w:spacing w:beforeLines="0" w:afterLines="0" w:after="0" w:line="240" w:lineRule="auto"/>
              <w:ind w:left="1166" w:hanging="291"/>
              <w:jc w:val="left"/>
            </w:pPr>
            <w:r>
              <w:rPr>
                <w:rFonts w:ascii="Times New Roman" w:hAnsi="Times New Roman"/>
              </w:rPr>
              <w:t xml:space="preserve">FFS: SSB-RO mapping for the additional PRACH resources </w:t>
            </w:r>
          </w:p>
        </w:tc>
      </w:tr>
    </w:tbl>
    <w:p w:rsidR="00095EF3" w:rsidRDefault="00FE1FEC">
      <w:pPr>
        <w:spacing w:before="120" w:after="120"/>
      </w:pPr>
      <w:r>
        <w:t>Specifically</w:t>
      </w:r>
      <w:r>
        <w:rPr>
          <w:rFonts w:hint="eastAsia"/>
        </w:rPr>
        <w:t>, the</w:t>
      </w:r>
      <w:r>
        <w:t xml:space="preserve"> </w:t>
      </w:r>
      <w:r>
        <w:rPr>
          <w:rFonts w:hint="eastAsia"/>
        </w:rPr>
        <w:t xml:space="preserve">PRACH resources </w:t>
      </w:r>
      <w:r>
        <w:t>for Rel-19 NES</w:t>
      </w:r>
      <w:r>
        <w:rPr>
          <w:rFonts w:hint="eastAsia"/>
        </w:rPr>
        <w:t>-</w:t>
      </w:r>
      <w:r>
        <w:t xml:space="preserve">capable UE </w:t>
      </w:r>
      <w:r>
        <w:rPr>
          <w:rFonts w:hint="eastAsia"/>
        </w:rPr>
        <w:t xml:space="preserve">can be divided into two parts. The first part refers to the PRACH resources that coincide with the PRACH resources </w:t>
      </w:r>
      <w:r>
        <w:t>accessible to</w:t>
      </w:r>
      <w:r>
        <w:rPr>
          <w:rFonts w:hint="eastAsia"/>
        </w:rPr>
        <w:t xml:space="preserve"> legacy UEs in both time and frequency domain</w:t>
      </w:r>
      <w:r>
        <w:t>.</w:t>
      </w:r>
      <w:r>
        <w:rPr>
          <w:rFonts w:hint="eastAsia"/>
        </w:rPr>
        <w:t xml:space="preserve"> While the second part is the PRACH resources th</w:t>
      </w:r>
      <w:r w:rsidR="00D01D0A">
        <w:t>at</w:t>
      </w:r>
      <w:r>
        <w:rPr>
          <w:rFonts w:hint="eastAsia"/>
        </w:rPr>
        <w:t xml:space="preserve"> do not share any overlap, either time or </w:t>
      </w:r>
      <w:r>
        <w:rPr>
          <w:rFonts w:hint="eastAsia"/>
        </w:rPr>
        <w:lastRenderedPageBreak/>
        <w:t>frequency domain, with PRACH resources accessible to legacy UEs.</w:t>
      </w:r>
      <w:r>
        <w:t xml:space="preserve"> For the purpose of clarity in the subsequent discussion, </w:t>
      </w:r>
      <w:r>
        <w:rPr>
          <w:rFonts w:hint="eastAsia"/>
        </w:rPr>
        <w:t xml:space="preserve">we designate </w:t>
      </w:r>
      <w:r>
        <w:t>the first part as "overlapped PRACH resources", w</w:t>
      </w:r>
      <w:r>
        <w:rPr>
          <w:rFonts w:hint="eastAsia"/>
        </w:rPr>
        <w:t xml:space="preserve">hile the second part </w:t>
      </w:r>
      <w:r>
        <w:t>is</w:t>
      </w:r>
      <w:r>
        <w:rPr>
          <w:rFonts w:hint="eastAsia"/>
        </w:rPr>
        <w:t xml:space="preserve"> termed </w:t>
      </w:r>
      <w:r>
        <w:t>“</w:t>
      </w:r>
      <w:r>
        <w:rPr>
          <w:rFonts w:hint="eastAsia"/>
        </w:rPr>
        <w:t>non-overlapped PRACH resources</w:t>
      </w:r>
      <w:r>
        <w:t>”</w:t>
      </w:r>
      <w:r>
        <w:rPr>
          <w:rFonts w:hint="eastAsia"/>
        </w:rPr>
        <w:t xml:space="preserve">. </w:t>
      </w:r>
    </w:p>
    <w:p w:rsidR="00095EF3" w:rsidRDefault="00FE1FEC">
      <w:pPr>
        <w:spacing w:before="120" w:after="120"/>
      </w:pPr>
      <w:r>
        <w:rPr>
          <w:rFonts w:hint="eastAsia"/>
        </w:rPr>
        <w:t>At first, UE would determine association period based on the number of transmitted SSBs</w:t>
      </w:r>
      <w:r>
        <w:t xml:space="preserve"> (e.g., equal to 8)</w:t>
      </w:r>
      <w:r>
        <w:rPr>
          <w:rFonts w:hint="eastAsia"/>
        </w:rPr>
        <w:t xml:space="preserve"> and the PRACH resources </w:t>
      </w:r>
      <w:r>
        <w:t>with</w:t>
      </w:r>
      <w:r>
        <w:rPr>
          <w:rFonts w:hint="eastAsia"/>
        </w:rPr>
        <w:t xml:space="preserve"> the </w:t>
      </w:r>
      <w:r>
        <w:t xml:space="preserve">particular </w:t>
      </w:r>
      <w:r>
        <w:rPr>
          <w:rFonts w:hint="eastAsia"/>
        </w:rPr>
        <w:t>PRACH configuration</w:t>
      </w:r>
      <w:r w:rsidR="00D01D0A">
        <w:t xml:space="preserve"> </w:t>
      </w:r>
      <w:r>
        <w:t>(</w:t>
      </w:r>
      <w:r>
        <w:rPr>
          <w:rFonts w:hint="eastAsia"/>
        </w:rPr>
        <w:t xml:space="preserve">e.g., </w:t>
      </w:r>
      <w:r>
        <w:t>based on PRACH configuration index #162)</w:t>
      </w:r>
      <w:r>
        <w:rPr>
          <w:rFonts w:hint="eastAsia"/>
        </w:rPr>
        <w:t xml:space="preserve">. </w:t>
      </w:r>
      <w:r>
        <w:t>As shown</w:t>
      </w:r>
      <w:r>
        <w:rPr>
          <w:rFonts w:hint="eastAsia"/>
        </w:rPr>
        <w:t xml:space="preserve"> in Figure 3, there are 2 overlapped PRACH resources and 6 non-overlapped PRACH resource</w:t>
      </w:r>
      <w:r>
        <w:t>s</w:t>
      </w:r>
      <w:r>
        <w:rPr>
          <w:rFonts w:hint="eastAsia"/>
        </w:rPr>
        <w:t xml:space="preserve"> </w:t>
      </w:r>
      <w:r>
        <w:t>with</w:t>
      </w:r>
      <w:r>
        <w:rPr>
          <w:rFonts w:hint="eastAsia"/>
        </w:rPr>
        <w:t xml:space="preserve">in one 40-millisecond association period. Assuming the PRACH resources for legacy UEs </w:t>
      </w:r>
      <w:r>
        <w:t>(with PRACH configuration #148)</w:t>
      </w:r>
      <w:r>
        <w:rPr>
          <w:rFonts w:hint="eastAsia"/>
        </w:rPr>
        <w:t xml:space="preserve"> are mapped to SSB#0 and SSB#1, respectively, implying the </w:t>
      </w:r>
      <w:r>
        <w:t>two</w:t>
      </w:r>
      <w:r>
        <w:rPr>
          <w:rFonts w:hint="eastAsia"/>
        </w:rPr>
        <w:t xml:space="preserve"> overlapped PRACH resources are mapped to SSB#0 and SSB#1, respectively</w:t>
      </w:r>
      <w:r>
        <w:t xml:space="preserve"> as well</w:t>
      </w:r>
      <w:r>
        <w:rPr>
          <w:rFonts w:hint="eastAsia"/>
        </w:rPr>
        <w:t xml:space="preserve">. </w:t>
      </w:r>
      <w:r>
        <w:t>Next</w:t>
      </w:r>
      <w:r>
        <w:rPr>
          <w:rFonts w:hint="eastAsia"/>
        </w:rPr>
        <w:t>, the non-overlapped PRACH resources are mapped to the remaining SSB indexes</w:t>
      </w:r>
      <w:r>
        <w:t xml:space="preserve"> in increasing order</w:t>
      </w:r>
      <w:r>
        <w:rPr>
          <w:rFonts w:hint="eastAsia"/>
        </w:rPr>
        <w:t xml:space="preserve">, i.e., from SSB#2 to SSB#7.  </w:t>
      </w:r>
    </w:p>
    <w:p w:rsidR="00095EF3" w:rsidRDefault="00FE1FEC">
      <w:pPr>
        <w:spacing w:before="120" w:after="120"/>
        <w:jc w:val="center"/>
      </w:pPr>
      <w:r>
        <w:rPr>
          <w:noProof/>
        </w:rPr>
        <w:drawing>
          <wp:inline distT="0" distB="0" distL="114300" distR="114300">
            <wp:extent cx="5212080" cy="2510155"/>
            <wp:effectExtent l="0" t="0" r="7620" b="444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1"/>
                    <a:stretch>
                      <a:fillRect/>
                    </a:stretch>
                  </pic:blipFill>
                  <pic:spPr>
                    <a:xfrm>
                      <a:off x="0" y="0"/>
                      <a:ext cx="5212080" cy="2510155"/>
                    </a:xfrm>
                    <a:prstGeom prst="rect">
                      <a:avLst/>
                    </a:prstGeom>
                    <a:noFill/>
                    <a:ln>
                      <a:noFill/>
                    </a:ln>
                  </pic:spPr>
                </pic:pic>
              </a:graphicData>
            </a:graphic>
          </wp:inline>
        </w:drawing>
      </w:r>
    </w:p>
    <w:p w:rsidR="00095EF3" w:rsidRDefault="00FE1FEC">
      <w:pPr>
        <w:spacing w:before="120" w:after="120"/>
        <w:jc w:val="center"/>
      </w:pPr>
      <w:r>
        <w:rPr>
          <w:rFonts w:hint="eastAsia"/>
        </w:rPr>
        <w:t>Figure 3 Example of separate SSB-RO mapping between overlapped PRACH resources and non-overlapped PRACH resources</w:t>
      </w:r>
    </w:p>
    <w:p w:rsidR="00095EF3" w:rsidRDefault="00FE1FEC">
      <w:pPr>
        <w:pStyle w:val="YJ-Observation"/>
        <w:spacing w:before="120" w:after="120"/>
        <w:jc w:val="both"/>
        <w:rPr>
          <w:lang w:val="en-US" w:eastAsia="zh-CN"/>
        </w:rPr>
      </w:pPr>
      <w:bookmarkStart w:id="16" w:name="_Toc6071"/>
      <w:r>
        <w:rPr>
          <w:rFonts w:hint="eastAsia"/>
          <w:lang w:val="en-US" w:eastAsia="zh-CN"/>
        </w:rPr>
        <w:t xml:space="preserve">The separate SSB-RO mapping between overlapped PRACH resources with that of legacy UEs and non-overlapped PRACH resources is capable of </w:t>
      </w:r>
      <w:r>
        <w:rPr>
          <w:lang w:val="en-US" w:eastAsia="zh-CN"/>
        </w:rPr>
        <w:t>minimizing</w:t>
      </w:r>
      <w:r>
        <w:rPr>
          <w:rFonts w:hint="eastAsia"/>
          <w:lang w:val="en-US" w:eastAsia="zh-CN"/>
        </w:rPr>
        <w:t xml:space="preserve"> the impact of legacy UEs.</w:t>
      </w:r>
      <w:bookmarkEnd w:id="16"/>
    </w:p>
    <w:p w:rsidR="00095EF3" w:rsidRDefault="00FE1FEC" w:rsidP="00C07367">
      <w:pPr>
        <w:pStyle w:val="YJ-Proposal"/>
        <w:spacing w:before="120" w:after="120"/>
        <w:jc w:val="both"/>
        <w:rPr>
          <w:lang w:val="en-US" w:eastAsia="zh-CN"/>
        </w:rPr>
      </w:pPr>
      <w:bookmarkStart w:id="17" w:name="_Toc13221"/>
      <w:r>
        <w:t xml:space="preserve">SSB-RO mapping </w:t>
      </w:r>
      <w:r>
        <w:rPr>
          <w:rFonts w:hint="eastAsia"/>
          <w:lang w:val="en-US" w:eastAsia="zh-CN"/>
        </w:rPr>
        <w:t xml:space="preserve">rule </w:t>
      </w:r>
      <w:r>
        <w:t>for the additional PRACH resources</w:t>
      </w:r>
      <w:r>
        <w:rPr>
          <w:rFonts w:hint="eastAsia"/>
          <w:lang w:val="en-US" w:eastAsia="zh-CN"/>
        </w:rPr>
        <w:t xml:space="preserve"> within </w:t>
      </w:r>
      <w:r>
        <w:rPr>
          <w:lang w:val="en-US" w:eastAsia="zh-CN"/>
        </w:rPr>
        <w:t>the</w:t>
      </w:r>
      <w:r>
        <w:rPr>
          <w:rFonts w:hint="eastAsia"/>
          <w:lang w:val="en-US" w:eastAsia="zh-CN"/>
        </w:rPr>
        <w:t xml:space="preserve"> association period should </w:t>
      </w:r>
      <w:proofErr w:type="gramStart"/>
      <w:r>
        <w:rPr>
          <w:rFonts w:hint="eastAsia"/>
          <w:lang w:val="en-US" w:eastAsia="zh-CN"/>
        </w:rPr>
        <w:t>take into account</w:t>
      </w:r>
      <w:proofErr w:type="gramEnd"/>
      <w:r>
        <w:rPr>
          <w:rFonts w:hint="eastAsia"/>
          <w:lang w:val="en-US" w:eastAsia="zh-CN"/>
        </w:rPr>
        <w:t xml:space="preserve"> the</w:t>
      </w:r>
      <w:r>
        <w:rPr>
          <w:lang w:val="en-US" w:eastAsia="zh-CN"/>
        </w:rPr>
        <w:t xml:space="preserve"> number of transmitted SSBs and </w:t>
      </w:r>
      <w:r>
        <w:rPr>
          <w:rFonts w:hint="eastAsia"/>
          <w:lang w:val="en-US" w:eastAsia="zh-CN"/>
        </w:rPr>
        <w:t>PRACH resources</w:t>
      </w:r>
      <w:r>
        <w:rPr>
          <w:lang w:val="en-US" w:eastAsia="zh-CN"/>
        </w:rPr>
        <w:t xml:space="preserve"> </w:t>
      </w:r>
      <w:r>
        <w:rPr>
          <w:rFonts w:hint="eastAsia"/>
          <w:lang w:val="en-US" w:eastAsia="zh-CN"/>
        </w:rPr>
        <w:t>including those that</w:t>
      </w:r>
      <w:r>
        <w:rPr>
          <w:lang w:val="en-US" w:eastAsia="zh-CN"/>
        </w:rPr>
        <w:t xml:space="preserve"> </w:t>
      </w:r>
      <w:r>
        <w:rPr>
          <w:rFonts w:hint="eastAsia"/>
          <w:lang w:val="en-US" w:eastAsia="zh-CN"/>
        </w:rPr>
        <w:t xml:space="preserve">are </w:t>
      </w:r>
      <w:r>
        <w:rPr>
          <w:lang w:val="en-US" w:eastAsia="zh-CN"/>
        </w:rPr>
        <w:t>accessible to legacy UE</w:t>
      </w:r>
      <w:r>
        <w:rPr>
          <w:rFonts w:hint="eastAsia"/>
          <w:lang w:val="en-US" w:eastAsia="zh-CN"/>
        </w:rPr>
        <w:t>.</w:t>
      </w:r>
      <w:bookmarkEnd w:id="17"/>
    </w:p>
    <w:p w:rsidR="00095EF3" w:rsidRDefault="00FE1FEC">
      <w:pPr>
        <w:spacing w:before="120" w:after="120"/>
        <w:rPr>
          <w:szCs w:val="21"/>
        </w:rPr>
      </w:pPr>
      <w:r>
        <w:rPr>
          <w:rFonts w:hint="eastAsia"/>
        </w:rPr>
        <w:t xml:space="preserve">From the perspective of adaptation mechanism, </w:t>
      </w:r>
      <w:r>
        <w:t>we consider to specify DCI based signaling for adaptation of PRACH in time domain</w:t>
      </w:r>
      <w:r>
        <w:rPr>
          <w:rFonts w:hint="eastAsia"/>
        </w:rPr>
        <w:t xml:space="preserve">. </w:t>
      </w:r>
    </w:p>
    <w:p w:rsidR="00095EF3" w:rsidRDefault="00FE1FEC">
      <w:pPr>
        <w:spacing w:before="120" w:after="120"/>
        <w:rPr>
          <w:szCs w:val="21"/>
        </w:rPr>
      </w:pPr>
      <w:r>
        <w:rPr>
          <w:rFonts w:hint="eastAsia"/>
          <w:szCs w:val="21"/>
        </w:rPr>
        <w:t xml:space="preserve">In current specification [3], </w:t>
      </w:r>
      <w:r>
        <w:rPr>
          <w:szCs w:val="21"/>
        </w:rPr>
        <w:t xml:space="preserve">the determination of the PRACH configuration is specified by the </w:t>
      </w:r>
      <w:proofErr w:type="spellStart"/>
      <w:r>
        <w:rPr>
          <w:i/>
          <w:szCs w:val="21"/>
        </w:rPr>
        <w:t>prach-ConfigurationIndex</w:t>
      </w:r>
      <w:proofErr w:type="spellEnd"/>
      <w:r>
        <w:rPr>
          <w:szCs w:val="21"/>
        </w:rPr>
        <w:t>, which can be found either within the SIB1 or within higher layer parameters</w:t>
      </w:r>
      <w:r>
        <w:rPr>
          <w:rFonts w:hint="eastAsia"/>
          <w:szCs w:val="21"/>
        </w:rPr>
        <w:t>,</w:t>
      </w:r>
      <w:r>
        <w:rPr>
          <w:szCs w:val="21"/>
        </w:rPr>
        <w:t xml:space="preserve"> </w:t>
      </w:r>
      <w:r>
        <w:rPr>
          <w:rFonts w:hint="eastAsia"/>
          <w:szCs w:val="21"/>
        </w:rPr>
        <w:t xml:space="preserve">e.g., </w:t>
      </w:r>
      <w:proofErr w:type="spellStart"/>
      <w:r>
        <w:rPr>
          <w:rFonts w:hint="eastAsia"/>
          <w:i/>
          <w:iCs/>
          <w:szCs w:val="21"/>
        </w:rPr>
        <w:t>ServingCellConfigCommon</w:t>
      </w:r>
      <w:proofErr w:type="spellEnd"/>
      <w:r>
        <w:rPr>
          <w:rFonts w:hint="eastAsia"/>
          <w:i/>
          <w:iCs/>
          <w:szCs w:val="21"/>
        </w:rPr>
        <w:t xml:space="preserve"> </w:t>
      </w:r>
      <w:r>
        <w:rPr>
          <w:rFonts w:hint="eastAsia"/>
          <w:szCs w:val="21"/>
        </w:rPr>
        <w:t xml:space="preserve">and </w:t>
      </w:r>
      <w:proofErr w:type="spellStart"/>
      <w:r>
        <w:rPr>
          <w:rFonts w:hint="eastAsia"/>
          <w:i/>
          <w:iCs/>
          <w:szCs w:val="21"/>
        </w:rPr>
        <w:t>BeamFailureRecoveryConfig</w:t>
      </w:r>
      <w:proofErr w:type="spellEnd"/>
      <w:r>
        <w:rPr>
          <w:rFonts w:hint="eastAsia"/>
          <w:szCs w:val="21"/>
        </w:rPr>
        <w:t xml:space="preserve">. </w:t>
      </w:r>
      <w:r>
        <w:rPr>
          <w:szCs w:val="21"/>
        </w:rPr>
        <w:t xml:space="preserve">Accordingly, </w:t>
      </w:r>
      <w:proofErr w:type="spellStart"/>
      <w:r>
        <w:rPr>
          <w:rFonts w:hint="eastAsia"/>
          <w:szCs w:val="21"/>
        </w:rPr>
        <w:t>gNB</w:t>
      </w:r>
      <w:proofErr w:type="spellEnd"/>
      <w:r>
        <w:rPr>
          <w:rFonts w:hint="eastAsia"/>
          <w:szCs w:val="21"/>
        </w:rPr>
        <w:t xml:space="preserve"> can </w:t>
      </w:r>
      <w:r>
        <w:rPr>
          <w:szCs w:val="21"/>
        </w:rPr>
        <w:t>implement</w:t>
      </w:r>
      <w:r>
        <w:rPr>
          <w:rFonts w:hint="eastAsia"/>
          <w:szCs w:val="21"/>
        </w:rPr>
        <w:t xml:space="preserve"> PRACH adaptation in time domain by update of SIB1 for idle/inactive UEs or the high layer parameters for connected mode UEs.</w:t>
      </w:r>
      <w:r>
        <w:rPr>
          <w:sz w:val="20"/>
        </w:rPr>
        <w:t xml:space="preserve"> </w:t>
      </w:r>
      <w:r>
        <w:rPr>
          <w:szCs w:val="21"/>
        </w:rPr>
        <w:t>Nevertheless, in scenarios where network energy saving is a priority, a more</w:t>
      </w:r>
      <w:r w:rsidR="00D8554E">
        <w:rPr>
          <w:szCs w:val="21"/>
        </w:rPr>
        <w:t xml:space="preserve"> expedited approach to adjust</w:t>
      </w:r>
      <w:r>
        <w:rPr>
          <w:szCs w:val="21"/>
        </w:rPr>
        <w:t xml:space="preserve"> the PRACH configuration may be necessary. For example, if the </w:t>
      </w:r>
      <w:proofErr w:type="spellStart"/>
      <w:r>
        <w:rPr>
          <w:szCs w:val="21"/>
        </w:rPr>
        <w:t>gNB</w:t>
      </w:r>
      <w:proofErr w:type="spellEnd"/>
      <w:r>
        <w:rPr>
          <w:szCs w:val="21"/>
        </w:rPr>
        <w:t xml:space="preserve"> detects a low overload within its cell, it should have the capability to swiftly deactivate additional PRACH occasions. In such instances, a rapid and dynamic signaling mechanism is essential to facilitate this process</w:t>
      </w:r>
      <w:r>
        <w:rPr>
          <w:sz w:val="20"/>
        </w:rPr>
        <w:t>.</w:t>
      </w:r>
    </w:p>
    <w:p w:rsidR="00095EF3" w:rsidRDefault="00FE1FEC">
      <w:pPr>
        <w:spacing w:before="120" w:after="120"/>
        <w:rPr>
          <w:rFonts w:eastAsia="Times New Roman"/>
          <w:b/>
          <w:bCs/>
          <w:szCs w:val="21"/>
        </w:rPr>
      </w:pPr>
      <w:r>
        <w:rPr>
          <w:rFonts w:hint="eastAsia"/>
          <w:szCs w:val="21"/>
        </w:rPr>
        <w:t>Therefore, the alternatives of adaptation PRACH in time domain can be summarized as follows:</w:t>
      </w:r>
    </w:p>
    <w:p w:rsidR="00095EF3" w:rsidRDefault="00FE1FEC">
      <w:pPr>
        <w:numPr>
          <w:ilvl w:val="0"/>
          <w:numId w:val="7"/>
        </w:numPr>
        <w:spacing w:before="120" w:after="120"/>
        <w:rPr>
          <w:rFonts w:eastAsia="Times New Roman"/>
          <w:b/>
          <w:bCs/>
          <w:szCs w:val="21"/>
        </w:rPr>
      </w:pPr>
      <w:r>
        <w:rPr>
          <w:rFonts w:eastAsia="Times New Roman" w:hint="eastAsia"/>
          <w:b/>
          <w:bCs/>
          <w:szCs w:val="21"/>
        </w:rPr>
        <w:t xml:space="preserve">Alt 1: </w:t>
      </w:r>
      <w:r>
        <w:rPr>
          <w:rFonts w:eastAsia="Times New Roman" w:hint="eastAsia"/>
          <w:szCs w:val="21"/>
        </w:rPr>
        <w:t>MAC CE based</w:t>
      </w:r>
      <w:r>
        <w:rPr>
          <w:rFonts w:hint="eastAsia"/>
          <w:szCs w:val="21"/>
        </w:rPr>
        <w:t xml:space="preserve"> signaling for</w:t>
      </w:r>
      <w:r>
        <w:rPr>
          <w:rFonts w:eastAsia="Times New Roman" w:hint="eastAsia"/>
          <w:szCs w:val="21"/>
        </w:rPr>
        <w:t xml:space="preserve"> adaptation</w:t>
      </w:r>
      <w:r>
        <w:rPr>
          <w:rFonts w:hint="eastAsia"/>
          <w:szCs w:val="21"/>
        </w:rPr>
        <w:t xml:space="preserve"> of PRACH in time domain</w:t>
      </w:r>
    </w:p>
    <w:p w:rsidR="00095EF3" w:rsidRDefault="00FE1FEC">
      <w:pPr>
        <w:numPr>
          <w:ilvl w:val="0"/>
          <w:numId w:val="7"/>
        </w:numPr>
        <w:spacing w:before="120" w:after="120"/>
        <w:rPr>
          <w:rFonts w:eastAsia="Times New Roman"/>
          <w:szCs w:val="21"/>
        </w:rPr>
      </w:pPr>
      <w:r>
        <w:rPr>
          <w:rFonts w:eastAsia="Times New Roman" w:hint="eastAsia"/>
          <w:b/>
          <w:bCs/>
          <w:szCs w:val="21"/>
        </w:rPr>
        <w:t>Alt 2:</w:t>
      </w:r>
      <w:r>
        <w:rPr>
          <w:rFonts w:eastAsia="Times New Roman" w:hint="eastAsia"/>
          <w:szCs w:val="21"/>
        </w:rPr>
        <w:t xml:space="preserve"> DCI based </w:t>
      </w:r>
      <w:r>
        <w:rPr>
          <w:rFonts w:hint="eastAsia"/>
          <w:szCs w:val="21"/>
        </w:rPr>
        <w:t xml:space="preserve">signaling for adaptation of </w:t>
      </w:r>
      <w:r>
        <w:rPr>
          <w:rFonts w:eastAsia="Times New Roman" w:hint="eastAsia"/>
          <w:szCs w:val="21"/>
        </w:rPr>
        <w:t>PRACH</w:t>
      </w:r>
      <w:r>
        <w:rPr>
          <w:rFonts w:hint="eastAsia"/>
          <w:szCs w:val="21"/>
        </w:rPr>
        <w:t xml:space="preserve"> in time domain</w:t>
      </w:r>
      <w:r>
        <w:rPr>
          <w:rFonts w:eastAsia="Times New Roman" w:hint="eastAsia"/>
          <w:b/>
          <w:bCs/>
          <w:szCs w:val="21"/>
        </w:rPr>
        <w:t xml:space="preserve"> </w:t>
      </w:r>
    </w:p>
    <w:p w:rsidR="00095EF3" w:rsidRDefault="00FE1FEC">
      <w:pPr>
        <w:spacing w:before="120" w:after="120"/>
        <w:rPr>
          <w:szCs w:val="21"/>
        </w:rPr>
      </w:pPr>
      <w:r>
        <w:rPr>
          <w:rFonts w:hint="eastAsia"/>
          <w:szCs w:val="21"/>
        </w:rPr>
        <w:lastRenderedPageBreak/>
        <w:t xml:space="preserve">Among these two alternatives, considering there is no MAC CE transmission for idle/inactive UEs, it is more feasible for idle/inactive UEs to consider DCI based PRACH configuration adaptation. </w:t>
      </w:r>
      <w:r w:rsidR="00D8554E">
        <w:rPr>
          <w:szCs w:val="21"/>
        </w:rPr>
        <w:t>Then f</w:t>
      </w:r>
      <w:r>
        <w:rPr>
          <w:rFonts w:hint="eastAsia"/>
          <w:szCs w:val="21"/>
        </w:rPr>
        <w:t xml:space="preserve">or Alt 2, the DCI based indication can be based on the system information or the high layer parameter. </w:t>
      </w:r>
      <w:r>
        <w:rPr>
          <w:szCs w:val="21"/>
        </w:rPr>
        <w:t xml:space="preserve">For instance, </w:t>
      </w:r>
      <w:proofErr w:type="spellStart"/>
      <w:r>
        <w:rPr>
          <w:rFonts w:hint="eastAsia"/>
          <w:szCs w:val="21"/>
        </w:rPr>
        <w:t>gNB</w:t>
      </w:r>
      <w:proofErr w:type="spellEnd"/>
      <w:r>
        <w:rPr>
          <w:rFonts w:hint="eastAsia"/>
          <w:szCs w:val="21"/>
        </w:rPr>
        <w:t xml:space="preserve"> </w:t>
      </w:r>
      <w:r>
        <w:rPr>
          <w:szCs w:val="21"/>
        </w:rPr>
        <w:t xml:space="preserve">could be pre-configured with multiple candidate PRACH configurations within the system information or high-layer parameters. Subsequently, the </w:t>
      </w:r>
      <w:proofErr w:type="spellStart"/>
      <w:r>
        <w:rPr>
          <w:szCs w:val="21"/>
        </w:rPr>
        <w:t>gNB</w:t>
      </w:r>
      <w:proofErr w:type="spellEnd"/>
      <w:r>
        <w:rPr>
          <w:szCs w:val="21"/>
        </w:rPr>
        <w:t xml:space="preserve"> could select </w:t>
      </w:r>
      <w:r w:rsidR="00D8554E">
        <w:rPr>
          <w:szCs w:val="21"/>
        </w:rPr>
        <w:t>one</w:t>
      </w:r>
      <w:r>
        <w:rPr>
          <w:szCs w:val="21"/>
        </w:rPr>
        <w:t xml:space="preserve"> appropriate PRACH configuration index by leveraging DCI. </w:t>
      </w:r>
    </w:p>
    <w:p w:rsidR="00095EF3" w:rsidRDefault="00FE1FEC">
      <w:pPr>
        <w:pStyle w:val="YJ-Proposal"/>
        <w:spacing w:before="120" w:after="120"/>
        <w:jc w:val="both"/>
        <w:rPr>
          <w:lang w:val="en-US" w:eastAsia="zh-CN"/>
        </w:rPr>
      </w:pPr>
      <w:r>
        <w:rPr>
          <w:rFonts w:hint="eastAsia"/>
          <w:lang w:val="en-US" w:eastAsia="zh-CN"/>
        </w:rPr>
        <w:t xml:space="preserve"> </w:t>
      </w:r>
      <w:bookmarkStart w:id="18" w:name="_Toc14155"/>
      <w:r>
        <w:rPr>
          <w:rFonts w:hint="eastAsia"/>
          <w:lang w:val="en-US" w:eastAsia="zh-CN"/>
        </w:rPr>
        <w:t>Specify DCI based signaling for adaptation of PRACH in time domain.</w:t>
      </w:r>
      <w:bookmarkEnd w:id="18"/>
      <w:r>
        <w:rPr>
          <w:rFonts w:hint="eastAsia"/>
          <w:lang w:val="en-US" w:eastAsia="zh-CN"/>
        </w:rPr>
        <w:t xml:space="preserve"> </w:t>
      </w:r>
    </w:p>
    <w:p w:rsidR="00095EF3" w:rsidRDefault="00FE1FEC">
      <w:pPr>
        <w:pStyle w:val="1"/>
        <w:spacing w:before="120" w:after="120"/>
        <w:ind w:left="0"/>
        <w:rPr>
          <w:rFonts w:eastAsia="宋体"/>
        </w:rPr>
      </w:pPr>
      <w:r>
        <w:t xml:space="preserve">Adaptation of </w:t>
      </w:r>
      <w:r>
        <w:rPr>
          <w:rFonts w:eastAsia="宋体" w:hint="eastAsia"/>
        </w:rPr>
        <w:t>PRACH</w:t>
      </w:r>
      <w:r>
        <w:rPr>
          <w:rFonts w:hint="eastAsia"/>
        </w:rPr>
        <w:t xml:space="preserve"> in the </w:t>
      </w:r>
      <w:r>
        <w:rPr>
          <w:rFonts w:eastAsia="宋体" w:hint="eastAsia"/>
        </w:rPr>
        <w:t>spatial</w:t>
      </w:r>
      <w:r>
        <w:rPr>
          <w:rFonts w:hint="eastAsia"/>
        </w:rPr>
        <w:t xml:space="preserve"> domain</w:t>
      </w:r>
    </w:p>
    <w:p w:rsidR="00095EF3" w:rsidRDefault="00FE1FEC">
      <w:pPr>
        <w:pStyle w:val="2"/>
        <w:spacing w:before="120" w:after="120"/>
        <w:ind w:left="991" w:right="210" w:hangingChars="354" w:hanging="991"/>
        <w:rPr>
          <w:rFonts w:eastAsia="宋体"/>
        </w:rPr>
      </w:pPr>
      <w:r>
        <w:rPr>
          <w:rFonts w:eastAsia="宋体" w:hint="eastAsia"/>
        </w:rPr>
        <w:t>Study on adaptation of PRACH in the spatial domain</w:t>
      </w:r>
      <w:r>
        <w:rPr>
          <w:rFonts w:eastAsia="宋体" w:hint="eastAsia"/>
        </w:rPr>
        <w:tab/>
      </w:r>
    </w:p>
    <w:p w:rsidR="00095EF3" w:rsidRDefault="00FE1FEC">
      <w:pPr>
        <w:spacing w:before="120" w:after="120"/>
      </w:pPr>
      <w:r>
        <w:rPr>
          <w:rFonts w:hint="eastAsia"/>
        </w:rPr>
        <w:t xml:space="preserve">According to the agreements in RAN1#116bis meeting, the simulation assumptions for adaptation of PRACH in PRACH in the spatial domain in our contribution are provided as follows: </w:t>
      </w:r>
    </w:p>
    <w:p w:rsidR="00095EF3" w:rsidRDefault="00FE1FEC" w:rsidP="00D8554E">
      <w:pPr>
        <w:numPr>
          <w:ilvl w:val="1"/>
          <w:numId w:val="6"/>
        </w:numPr>
        <w:spacing w:beforeLines="0" w:afterLines="0" w:after="0" w:line="240" w:lineRule="exact"/>
        <w:ind w:left="600" w:hanging="357"/>
        <w:rPr>
          <w:rFonts w:eastAsia="PMingLiU"/>
          <w:lang w:eastAsia="zh-TW"/>
        </w:rPr>
      </w:pPr>
      <w:r>
        <w:rPr>
          <w:rFonts w:eastAsia="PMingLiU"/>
          <w:lang w:eastAsia="zh-TW"/>
        </w:rPr>
        <w:t>20ms SSB period</w:t>
      </w:r>
    </w:p>
    <w:p w:rsidR="00095EF3" w:rsidRDefault="00FE1FEC" w:rsidP="00D8554E">
      <w:pPr>
        <w:numPr>
          <w:ilvl w:val="1"/>
          <w:numId w:val="6"/>
        </w:numPr>
        <w:spacing w:beforeLines="0" w:afterLines="0" w:after="0" w:line="240" w:lineRule="exact"/>
        <w:ind w:left="600" w:hanging="357"/>
        <w:rPr>
          <w:rFonts w:eastAsia="PMingLiU"/>
          <w:lang w:eastAsia="zh-TW"/>
        </w:rPr>
      </w:pPr>
      <w:r>
        <w:rPr>
          <w:rFonts w:eastAsia="PMingLiU"/>
          <w:lang w:eastAsia="zh-TW"/>
        </w:rPr>
        <w:t>30kHz SCS, DDDSU TDD pattern</w:t>
      </w:r>
    </w:p>
    <w:p w:rsidR="00095EF3" w:rsidRDefault="00FE1FEC" w:rsidP="00D8554E">
      <w:pPr>
        <w:numPr>
          <w:ilvl w:val="1"/>
          <w:numId w:val="6"/>
        </w:numPr>
        <w:spacing w:beforeLines="0" w:afterLines="0" w:after="0" w:line="240" w:lineRule="exact"/>
        <w:ind w:left="600" w:hanging="357"/>
        <w:rPr>
          <w:rFonts w:eastAsia="PMingLiU"/>
          <w:lang w:eastAsia="zh-TW"/>
        </w:rPr>
      </w:pPr>
      <w:r>
        <w:rPr>
          <w:rFonts w:eastAsia="PMingLiU"/>
          <w:lang w:eastAsia="zh-TW"/>
        </w:rPr>
        <w:t>Setting A: SIB1 period (20ms</w:t>
      </w:r>
      <w:r>
        <w:rPr>
          <w:rFonts w:hint="eastAsia"/>
        </w:rPr>
        <w:t xml:space="preserve">, </w:t>
      </w:r>
      <w:r>
        <w:rPr>
          <w:rFonts w:eastAsia="PMingLiU"/>
          <w:lang w:eastAsia="zh-TW"/>
        </w:rPr>
        <w:t>40ms</w:t>
      </w:r>
      <w:r>
        <w:rPr>
          <w:rFonts w:hint="eastAsia"/>
        </w:rPr>
        <w:t xml:space="preserve">, </w:t>
      </w:r>
      <w:r>
        <w:rPr>
          <w:rFonts w:eastAsia="PMingLiU"/>
          <w:lang w:eastAsia="zh-TW"/>
        </w:rPr>
        <w:t>160ms)</w:t>
      </w:r>
    </w:p>
    <w:p w:rsidR="00095EF3" w:rsidRDefault="00FE1FEC" w:rsidP="00D8554E">
      <w:pPr>
        <w:numPr>
          <w:ilvl w:val="1"/>
          <w:numId w:val="6"/>
        </w:numPr>
        <w:spacing w:beforeLines="0" w:afterLines="0" w:after="0" w:line="240" w:lineRule="exact"/>
        <w:ind w:left="600" w:hanging="357"/>
        <w:rPr>
          <w:rFonts w:eastAsia="PMingLiU"/>
          <w:lang w:eastAsia="zh-TW"/>
        </w:rPr>
      </w:pPr>
      <w:r>
        <w:rPr>
          <w:rFonts w:eastAsia="PMingLiU"/>
          <w:lang w:eastAsia="zh-TW"/>
        </w:rPr>
        <w:t>Setting B1: Cell load (Empty</w:t>
      </w:r>
      <w:r>
        <w:rPr>
          <w:rFonts w:hint="eastAsia"/>
        </w:rPr>
        <w:t xml:space="preserve"> (0 UE per cell), </w:t>
      </w:r>
      <w:r>
        <w:rPr>
          <w:rFonts w:eastAsia="PMingLiU"/>
          <w:lang w:eastAsia="zh-TW"/>
        </w:rPr>
        <w:t>low</w:t>
      </w:r>
      <w:r>
        <w:rPr>
          <w:rFonts w:hint="eastAsia"/>
        </w:rPr>
        <w:t xml:space="preserve"> (2 UEs per cell), </w:t>
      </w:r>
      <w:r>
        <w:rPr>
          <w:rFonts w:eastAsia="PMingLiU"/>
          <w:lang w:eastAsia="zh-TW"/>
        </w:rPr>
        <w:t>medium</w:t>
      </w:r>
      <w:r w:rsidR="00C07367">
        <w:rPr>
          <w:rFonts w:eastAsia="PMingLiU"/>
          <w:lang w:eastAsia="zh-TW"/>
        </w:rPr>
        <w:t xml:space="preserve"> </w:t>
      </w:r>
      <w:r>
        <w:rPr>
          <w:rFonts w:hint="eastAsia"/>
        </w:rPr>
        <w:t>(12 UEs per cell)</w:t>
      </w:r>
      <w:r>
        <w:rPr>
          <w:rFonts w:eastAsia="PMingLiU"/>
          <w:lang w:eastAsia="zh-TW"/>
        </w:rPr>
        <w:t>)</w:t>
      </w:r>
    </w:p>
    <w:p w:rsidR="00095EF3" w:rsidRDefault="00FE1FEC" w:rsidP="00D8554E">
      <w:pPr>
        <w:numPr>
          <w:ilvl w:val="1"/>
          <w:numId w:val="6"/>
        </w:numPr>
        <w:spacing w:beforeLines="0" w:afterLines="0" w:after="0" w:line="240" w:lineRule="exact"/>
        <w:ind w:left="600" w:hanging="357"/>
        <w:rPr>
          <w:rFonts w:eastAsia="PMingLiU"/>
          <w:lang w:eastAsia="zh-TW"/>
        </w:rPr>
      </w:pPr>
      <w:r>
        <w:rPr>
          <w:rFonts w:eastAsia="PMingLiU"/>
          <w:lang w:eastAsia="zh-TW"/>
        </w:rPr>
        <w:t>Setting B2: Traffic model</w:t>
      </w:r>
      <w:r>
        <w:rPr>
          <w:rFonts w:hint="eastAsia"/>
        </w:rPr>
        <w:t xml:space="preserve"> - FTP3</w:t>
      </w:r>
    </w:p>
    <w:p w:rsidR="00095EF3" w:rsidRDefault="00FE1FEC" w:rsidP="00D8554E">
      <w:pPr>
        <w:numPr>
          <w:ilvl w:val="1"/>
          <w:numId w:val="6"/>
        </w:numPr>
        <w:spacing w:beforeLines="0" w:afterLines="0" w:after="0" w:line="240" w:lineRule="exact"/>
        <w:ind w:left="600" w:hanging="357"/>
        <w:rPr>
          <w:rFonts w:eastAsia="PMingLiU"/>
          <w:lang w:eastAsia="zh-TW"/>
        </w:rPr>
      </w:pPr>
      <w:r>
        <w:rPr>
          <w:rFonts w:eastAsia="PMingLiU"/>
          <w:lang w:eastAsia="zh-TW"/>
        </w:rPr>
        <w:t>Setting C: Row</w:t>
      </w:r>
      <w:r>
        <w:rPr>
          <w:rFonts w:hint="eastAsia"/>
        </w:rPr>
        <w:t>#</w:t>
      </w:r>
      <w:r>
        <w:rPr>
          <w:rFonts w:eastAsia="PMingLiU"/>
          <w:lang w:eastAsia="zh-TW"/>
        </w:rPr>
        <w:t>1 with (S,</w:t>
      </w:r>
      <w:r w:rsidR="00C07367">
        <w:rPr>
          <w:rFonts w:eastAsia="PMingLiU"/>
          <w:lang w:eastAsia="zh-TW"/>
        </w:rPr>
        <w:t xml:space="preserve"> </w:t>
      </w:r>
      <w:proofErr w:type="gramStart"/>
      <w:r>
        <w:rPr>
          <w:rFonts w:eastAsia="PMingLiU"/>
          <w:lang w:eastAsia="zh-TW"/>
        </w:rPr>
        <w:t>L)=</w:t>
      </w:r>
      <w:proofErr w:type="gramEnd"/>
      <w:r>
        <w:rPr>
          <w:rFonts w:eastAsia="PMingLiU"/>
          <w:lang w:eastAsia="zh-TW"/>
        </w:rPr>
        <w:t>(2,12)</w:t>
      </w:r>
    </w:p>
    <w:p w:rsidR="00095EF3" w:rsidRDefault="00FE1FEC" w:rsidP="00D8554E">
      <w:pPr>
        <w:numPr>
          <w:ilvl w:val="1"/>
          <w:numId w:val="6"/>
        </w:numPr>
        <w:spacing w:beforeLines="0" w:afterLines="0" w:after="0" w:line="240" w:lineRule="exact"/>
        <w:ind w:left="600" w:hanging="357"/>
        <w:rPr>
          <w:rFonts w:eastAsia="PMingLiU"/>
          <w:lang w:eastAsia="zh-TW"/>
        </w:rPr>
      </w:pPr>
      <w:r>
        <w:rPr>
          <w:rFonts w:eastAsia="PMingLiU"/>
          <w:lang w:eastAsia="zh-TW"/>
        </w:rPr>
        <w:t xml:space="preserve">Setting D: </w:t>
      </w:r>
      <w:proofErr w:type="spellStart"/>
      <w:r>
        <w:rPr>
          <w:rFonts w:eastAsia="PMingLiU"/>
          <w:i/>
          <w:iCs/>
          <w:lang w:eastAsia="zh-TW"/>
        </w:rPr>
        <w:t>controlResourceSetZero</w:t>
      </w:r>
      <w:proofErr w:type="spellEnd"/>
      <w:r>
        <w:rPr>
          <w:rFonts w:hint="eastAsia"/>
        </w:rPr>
        <w:t>:</w:t>
      </w:r>
      <w:r>
        <w:rPr>
          <w:rFonts w:eastAsia="PMingLiU"/>
          <w:lang w:eastAsia="zh-TW"/>
        </w:rPr>
        <w:t xml:space="preserve"> </w:t>
      </w:r>
      <w:r>
        <w:rPr>
          <w:rFonts w:hint="eastAsia"/>
        </w:rPr>
        <w:t xml:space="preserve">index#0, </w:t>
      </w:r>
      <w:proofErr w:type="spellStart"/>
      <w:r>
        <w:rPr>
          <w:rFonts w:hint="eastAsia"/>
          <w:i/>
          <w:iCs/>
        </w:rPr>
        <w:t>searchSpaceZero</w:t>
      </w:r>
      <w:proofErr w:type="spellEnd"/>
      <w:r>
        <w:rPr>
          <w:rFonts w:hint="eastAsia"/>
        </w:rPr>
        <w:t>: index#0</w:t>
      </w:r>
    </w:p>
    <w:p w:rsidR="00095EF3" w:rsidRDefault="00FE1FEC" w:rsidP="00D8554E">
      <w:pPr>
        <w:numPr>
          <w:ilvl w:val="1"/>
          <w:numId w:val="6"/>
        </w:numPr>
        <w:spacing w:beforeLines="0" w:afterLines="0" w:after="0" w:line="240" w:lineRule="exact"/>
        <w:ind w:left="600" w:hanging="357"/>
        <w:rPr>
          <w:rFonts w:eastAsia="PMingLiU"/>
          <w:lang w:eastAsia="zh-TW"/>
        </w:rPr>
      </w:pPr>
      <w:r>
        <w:rPr>
          <w:rFonts w:eastAsia="PMingLiU"/>
          <w:lang w:eastAsia="zh-TW"/>
        </w:rPr>
        <w:t xml:space="preserve">Setting E1: PRACH configurations </w:t>
      </w:r>
    </w:p>
    <w:p w:rsidR="00095EF3" w:rsidRDefault="00FE1FEC" w:rsidP="00D8554E">
      <w:pPr>
        <w:numPr>
          <w:ilvl w:val="2"/>
          <w:numId w:val="6"/>
        </w:numPr>
        <w:spacing w:beforeLines="0" w:afterLines="0" w:after="0" w:line="240" w:lineRule="exact"/>
        <w:ind w:left="1320" w:hanging="357"/>
        <w:rPr>
          <w:rFonts w:eastAsia="PMingLiU"/>
          <w:lang w:eastAsia="zh-TW"/>
        </w:rPr>
      </w:pPr>
      <w:r>
        <w:rPr>
          <w:rFonts w:eastAsia="PMingLiU"/>
          <w:lang w:eastAsia="zh-TW"/>
        </w:rPr>
        <w:t>(legacy) PRACH resources according to the following PRACH configuration for all transmitted SSBs</w:t>
      </w:r>
    </w:p>
    <w:p w:rsidR="00095EF3" w:rsidRDefault="00FE1FEC" w:rsidP="00D8554E">
      <w:pPr>
        <w:numPr>
          <w:ilvl w:val="1"/>
          <w:numId w:val="6"/>
        </w:numPr>
        <w:spacing w:beforeLines="0" w:afterLines="0" w:after="0" w:line="240" w:lineRule="exact"/>
        <w:ind w:left="1680" w:hanging="357"/>
        <w:rPr>
          <w:rFonts w:eastAsia="PMingLiU"/>
          <w:lang w:eastAsia="zh-TW"/>
        </w:rPr>
      </w:pPr>
      <w:r>
        <w:rPr>
          <w:rFonts w:eastAsia="PMingLiU"/>
          <w:lang w:eastAsia="zh-TW"/>
        </w:rPr>
        <w:t>Case A1-2: PRACH configuration #</w:t>
      </w:r>
      <w:r>
        <w:rPr>
          <w:rFonts w:hint="eastAsia"/>
        </w:rPr>
        <w:t>162</w:t>
      </w:r>
      <w:r>
        <w:rPr>
          <w:rFonts w:eastAsia="PMingLiU"/>
          <w:lang w:eastAsia="zh-TW"/>
        </w:rPr>
        <w:t xml:space="preserve"> (10ms</w:t>
      </w:r>
      <w:r>
        <w:rPr>
          <w:rFonts w:hint="eastAsia"/>
        </w:rPr>
        <w:t>, PRACH format B4</w:t>
      </w:r>
      <w:r>
        <w:rPr>
          <w:rFonts w:eastAsia="PMingLiU"/>
          <w:lang w:eastAsia="zh-TW"/>
        </w:rPr>
        <w:t xml:space="preserve">) </w:t>
      </w:r>
    </w:p>
    <w:p w:rsidR="00095EF3" w:rsidRDefault="00FE1FEC" w:rsidP="00D8554E">
      <w:pPr>
        <w:numPr>
          <w:ilvl w:val="2"/>
          <w:numId w:val="6"/>
        </w:numPr>
        <w:spacing w:beforeLines="0" w:afterLines="0" w:after="0" w:line="240" w:lineRule="exact"/>
        <w:ind w:left="1320" w:hanging="357"/>
        <w:rPr>
          <w:rFonts w:eastAsia="PMingLiU"/>
          <w:lang w:eastAsia="zh-TW"/>
        </w:rPr>
      </w:pPr>
      <w:r>
        <w:rPr>
          <w:rFonts w:eastAsia="PMingLiU"/>
          <w:lang w:eastAsia="zh-TW"/>
        </w:rPr>
        <w:t xml:space="preserve">(spatial-domain PRACH adaptation) </w:t>
      </w:r>
    </w:p>
    <w:p w:rsidR="00095EF3" w:rsidRDefault="00FE1FEC" w:rsidP="00D8554E">
      <w:pPr>
        <w:numPr>
          <w:ilvl w:val="1"/>
          <w:numId w:val="6"/>
        </w:numPr>
        <w:spacing w:beforeLines="0" w:afterLines="0" w:after="0" w:line="240" w:lineRule="exact"/>
        <w:ind w:left="1680" w:hanging="357"/>
        <w:rPr>
          <w:rFonts w:eastAsia="PMingLiU"/>
          <w:lang w:eastAsia="zh-TW"/>
        </w:rPr>
      </w:pPr>
      <w:r>
        <w:rPr>
          <w:rFonts w:eastAsia="PMingLiU"/>
          <w:lang w:eastAsia="zh-TW"/>
        </w:rPr>
        <w:t>Case C1: PRACH configuration #</w:t>
      </w:r>
      <w:r>
        <w:rPr>
          <w:rFonts w:hint="eastAsia"/>
        </w:rPr>
        <w:t>162</w:t>
      </w:r>
      <w:r>
        <w:rPr>
          <w:rFonts w:eastAsia="PMingLiU"/>
          <w:lang w:eastAsia="zh-TW"/>
        </w:rPr>
        <w:t xml:space="preserve"> (10ms</w:t>
      </w:r>
      <w:r>
        <w:rPr>
          <w:rFonts w:hint="eastAsia"/>
        </w:rPr>
        <w:t>, PRACH format B4</w:t>
      </w:r>
      <w:r>
        <w:rPr>
          <w:rFonts w:eastAsia="PMingLiU"/>
          <w:lang w:eastAsia="zh-TW"/>
        </w:rPr>
        <w:t xml:space="preserve">) </w:t>
      </w:r>
    </w:p>
    <w:p w:rsidR="00095EF3" w:rsidRDefault="00FE1FEC" w:rsidP="00D8554E">
      <w:pPr>
        <w:numPr>
          <w:ilvl w:val="1"/>
          <w:numId w:val="6"/>
        </w:numPr>
        <w:spacing w:beforeLines="0" w:afterLines="0" w:after="0" w:line="240" w:lineRule="exact"/>
        <w:ind w:left="1680" w:hanging="357"/>
        <w:rPr>
          <w:rFonts w:eastAsia="PMingLiU"/>
          <w:lang w:eastAsia="zh-TW"/>
        </w:rPr>
      </w:pPr>
      <w:r>
        <w:rPr>
          <w:rFonts w:hint="eastAsia"/>
        </w:rPr>
        <w:t>Spatial domain enhancement scheme 1: non-uniform SSB mapping according to non-uniform UE distribution in the cell.</w:t>
      </w:r>
    </w:p>
    <w:p w:rsidR="00095EF3" w:rsidRDefault="00FE1FEC" w:rsidP="00D8554E">
      <w:pPr>
        <w:numPr>
          <w:ilvl w:val="1"/>
          <w:numId w:val="6"/>
        </w:numPr>
        <w:spacing w:beforeLines="0" w:afterLines="0" w:after="0" w:line="240" w:lineRule="exact"/>
        <w:ind w:left="1680" w:hanging="357"/>
        <w:rPr>
          <w:rFonts w:eastAsia="PMingLiU"/>
          <w:lang w:eastAsia="zh-TW"/>
        </w:rPr>
      </w:pPr>
      <w:r>
        <w:rPr>
          <w:rFonts w:hint="eastAsia"/>
        </w:rPr>
        <w:t>Spatial domain enhancement scheme 2: SSB-RO mapping adaptation at the level of association period.</w:t>
      </w:r>
    </w:p>
    <w:p w:rsidR="00095EF3" w:rsidRDefault="00FE1FEC" w:rsidP="00D8554E">
      <w:pPr>
        <w:numPr>
          <w:ilvl w:val="1"/>
          <w:numId w:val="6"/>
        </w:numPr>
        <w:spacing w:beforeLines="0" w:afterLines="0" w:after="0" w:line="240" w:lineRule="exact"/>
        <w:ind w:left="600" w:hanging="357"/>
        <w:rPr>
          <w:rFonts w:eastAsia="PMingLiU"/>
          <w:lang w:eastAsia="zh-TW"/>
        </w:rPr>
      </w:pPr>
      <w:r>
        <w:rPr>
          <w:rFonts w:eastAsia="PMingLiU"/>
          <w:lang w:eastAsia="zh-TW"/>
        </w:rPr>
        <w:t xml:space="preserve">Setting F: </w:t>
      </w:r>
      <w:r>
        <w:rPr>
          <w:rFonts w:eastAsia="PMingLiU" w:hint="eastAsia"/>
          <w:lang w:eastAsia="zh-TW"/>
        </w:rPr>
        <w:t>C</w:t>
      </w:r>
      <w:r>
        <w:rPr>
          <w:rFonts w:eastAsia="PMingLiU"/>
          <w:lang w:eastAsia="zh-TW"/>
        </w:rPr>
        <w:t>at 1</w:t>
      </w:r>
      <w:r>
        <w:rPr>
          <w:rFonts w:hint="eastAsia"/>
        </w:rPr>
        <w:t xml:space="preserve"> and </w:t>
      </w:r>
      <w:r>
        <w:rPr>
          <w:rFonts w:eastAsia="PMingLiU"/>
          <w:lang w:eastAsia="zh-TW"/>
        </w:rPr>
        <w:t>Cat 2 BS as defined in TR38.864</w:t>
      </w:r>
    </w:p>
    <w:p w:rsidR="00095EF3" w:rsidRDefault="00FE1FEC" w:rsidP="00D8554E">
      <w:pPr>
        <w:numPr>
          <w:ilvl w:val="1"/>
          <w:numId w:val="6"/>
        </w:numPr>
        <w:spacing w:beforeLines="0" w:afterLines="0" w:after="0" w:line="240" w:lineRule="exact"/>
        <w:ind w:left="600" w:hanging="357"/>
        <w:rPr>
          <w:rFonts w:eastAsia="PMingLiU"/>
          <w:lang w:eastAsia="zh-TW"/>
        </w:rPr>
      </w:pPr>
      <w:r>
        <w:rPr>
          <w:rFonts w:eastAsia="PMingLiU"/>
          <w:lang w:eastAsia="zh-TW"/>
        </w:rPr>
        <w:t xml:space="preserve">Setting G1: Number of SSB beams: 8 SSBs in </w:t>
      </w:r>
      <w:proofErr w:type="gramStart"/>
      <w:r>
        <w:rPr>
          <w:rFonts w:eastAsia="PMingLiU"/>
          <w:lang w:eastAsia="zh-TW"/>
        </w:rPr>
        <w:t>a</w:t>
      </w:r>
      <w:proofErr w:type="gramEnd"/>
      <w:r>
        <w:rPr>
          <w:rFonts w:eastAsia="PMingLiU"/>
          <w:lang w:eastAsia="zh-TW"/>
        </w:rPr>
        <w:t xml:space="preserve"> SSB burst with SSB pattern case C</w:t>
      </w:r>
    </w:p>
    <w:p w:rsidR="00095EF3" w:rsidRDefault="00FE1FEC" w:rsidP="00D8554E">
      <w:pPr>
        <w:numPr>
          <w:ilvl w:val="1"/>
          <w:numId w:val="6"/>
        </w:numPr>
        <w:spacing w:beforeLines="0" w:afterLines="0" w:after="0" w:line="240" w:lineRule="exact"/>
        <w:ind w:left="600" w:hanging="357"/>
        <w:rPr>
          <w:rFonts w:eastAsia="PMingLiU"/>
          <w:lang w:eastAsia="zh-TW"/>
        </w:rPr>
      </w:pPr>
      <w:r>
        <w:rPr>
          <w:rFonts w:hint="eastAsia"/>
        </w:rPr>
        <w:t xml:space="preserve">Note: </w:t>
      </w:r>
      <w:proofErr w:type="spellStart"/>
      <w:r>
        <w:rPr>
          <w:rFonts w:hint="eastAsia"/>
        </w:rPr>
        <w:t>FDMed</w:t>
      </w:r>
      <w:proofErr w:type="spellEnd"/>
      <w:r>
        <w:rPr>
          <w:rFonts w:hint="eastAsia"/>
        </w:rPr>
        <w:t xml:space="preserve"> number = 1, SSB-RO mapping ratio = 1 (1 SSB maps to 1 RO). </w:t>
      </w:r>
    </w:p>
    <w:p w:rsidR="00095EF3" w:rsidRDefault="00D8554E">
      <w:pPr>
        <w:spacing w:before="120" w:after="120"/>
      </w:pPr>
      <w:r>
        <w:t xml:space="preserve">And </w:t>
      </w:r>
      <w:r w:rsidR="00FE1FEC">
        <w:t xml:space="preserve">we </w:t>
      </w:r>
      <w:r w:rsidR="00FE1FEC">
        <w:rPr>
          <w:rFonts w:hint="eastAsia"/>
        </w:rPr>
        <w:t xml:space="preserve">assume the UE distribution </w:t>
      </w:r>
      <w:r w:rsidR="00FE1FEC">
        <w:t>non-uniform as depicted in Figure 4</w:t>
      </w:r>
      <w:r w:rsidR="00FE1FEC">
        <w:rPr>
          <w:rFonts w:hint="eastAsia"/>
        </w:rPr>
        <w:t xml:space="preserve">. </w:t>
      </w:r>
      <w:r w:rsidR="00FE1FEC">
        <w:t>In this system</w:t>
      </w:r>
      <w:r w:rsidR="00FE1FEC">
        <w:rPr>
          <w:rFonts w:hint="eastAsia"/>
        </w:rPr>
        <w:t xml:space="preserve">, the number </w:t>
      </w:r>
      <w:r w:rsidR="00FE1FEC">
        <w:t xml:space="preserve">of UEs </w:t>
      </w:r>
      <w:r w:rsidR="00FE1FEC">
        <w:rPr>
          <w:rFonts w:hint="eastAsia"/>
        </w:rPr>
        <w:t xml:space="preserve">in each SSB is </w:t>
      </w:r>
      <w:r w:rsidR="00FE1FEC">
        <w:t>various.</w:t>
      </w:r>
    </w:p>
    <w:p w:rsidR="00095EF3" w:rsidRDefault="00FE1FEC">
      <w:pPr>
        <w:spacing w:before="120" w:after="120"/>
        <w:jc w:val="center"/>
      </w:pPr>
      <w:r>
        <w:rPr>
          <w:noProof/>
        </w:rPr>
        <w:lastRenderedPageBreak/>
        <w:drawing>
          <wp:inline distT="0" distB="0" distL="114300" distR="114300">
            <wp:extent cx="3580765" cy="2685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3580765" cy="2685415"/>
                    </a:xfrm>
                    <a:prstGeom prst="rect">
                      <a:avLst/>
                    </a:prstGeom>
                    <a:noFill/>
                    <a:ln>
                      <a:noFill/>
                    </a:ln>
                  </pic:spPr>
                </pic:pic>
              </a:graphicData>
            </a:graphic>
          </wp:inline>
        </w:drawing>
      </w:r>
    </w:p>
    <w:p w:rsidR="00095EF3" w:rsidRDefault="00FE1FEC">
      <w:pPr>
        <w:spacing w:before="120" w:after="120"/>
        <w:jc w:val="center"/>
      </w:pPr>
      <w:r>
        <w:rPr>
          <w:rFonts w:hint="eastAsia"/>
        </w:rPr>
        <w:t>Figure 4 UE distribution simulation results in 8 beams (SSBs)</w:t>
      </w:r>
    </w:p>
    <w:p w:rsidR="00095EF3" w:rsidRDefault="00FE1FEC">
      <w:pPr>
        <w:spacing w:before="120" w:after="120"/>
      </w:pPr>
      <w:r>
        <w:t xml:space="preserve">Consider PRACH configuration index #162 as an illustrative example. The potential network energy savings </w:t>
      </w:r>
      <w:r>
        <w:rPr>
          <w:rFonts w:hint="eastAsia"/>
        </w:rPr>
        <w:t>are primarily reflected in</w:t>
      </w:r>
      <w:r>
        <w:t xml:space="preserve"> the conservation of PRACH resources within the time domain, assuming that the association period remains unchanged. For instance, as shown in Figure 5, if the muting of three SSBs</w:t>
      </w:r>
      <w:r>
        <w:rPr>
          <w:rFonts w:hint="eastAsia"/>
        </w:rPr>
        <w:t xml:space="preserve"> </w:t>
      </w:r>
      <w:r>
        <w:t xml:space="preserve">(#2, #5, #6) occurs due to a </w:t>
      </w:r>
      <w:r>
        <w:rPr>
          <w:rFonts w:hint="eastAsia"/>
        </w:rPr>
        <w:t xml:space="preserve">smaller </w:t>
      </w:r>
      <w:r>
        <w:t xml:space="preserve">number of served UEs in these beams at a time period, this could result in the </w:t>
      </w:r>
      <w:r>
        <w:rPr>
          <w:rFonts w:hint="eastAsia"/>
        </w:rPr>
        <w:t xml:space="preserve">conservation </w:t>
      </w:r>
      <w:r>
        <w:t xml:space="preserve">of three PRACH resources. Consequently, this might allow for a </w:t>
      </w:r>
      <w:proofErr w:type="spellStart"/>
      <w:r>
        <w:rPr>
          <w:rFonts w:hint="eastAsia"/>
        </w:rPr>
        <w:t>gNB</w:t>
      </w:r>
      <w:r w:rsidR="00D8554E">
        <w:t>’s</w:t>
      </w:r>
      <w:proofErr w:type="spellEnd"/>
      <w:r>
        <w:t xml:space="preserve"> sleep period of approximately 20 milliseconds.</w:t>
      </w:r>
      <w:r>
        <w:rPr>
          <w:rFonts w:hint="eastAsia"/>
        </w:rPr>
        <w:t xml:space="preserve"> </w:t>
      </w:r>
    </w:p>
    <w:p w:rsidR="00095EF3" w:rsidRDefault="00FE1FEC">
      <w:pPr>
        <w:spacing w:before="120" w:after="120"/>
        <w:jc w:val="center"/>
      </w:pPr>
      <w:r>
        <w:rPr>
          <w:noProof/>
        </w:rPr>
        <w:drawing>
          <wp:inline distT="0" distB="0" distL="114300" distR="114300">
            <wp:extent cx="5265420" cy="859790"/>
            <wp:effectExtent l="0" t="0" r="11430" b="16510"/>
            <wp:docPr id="8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11"/>
                    <pic:cNvPicPr>
                      <a:picLocks noChangeAspect="1"/>
                    </pic:cNvPicPr>
                  </pic:nvPicPr>
                  <pic:blipFill>
                    <a:blip r:embed="rId13"/>
                    <a:stretch>
                      <a:fillRect/>
                    </a:stretch>
                  </pic:blipFill>
                  <pic:spPr>
                    <a:xfrm>
                      <a:off x="0" y="0"/>
                      <a:ext cx="5265420" cy="859790"/>
                    </a:xfrm>
                    <a:prstGeom prst="rect">
                      <a:avLst/>
                    </a:prstGeom>
                    <a:noFill/>
                    <a:ln>
                      <a:noFill/>
                    </a:ln>
                  </pic:spPr>
                </pic:pic>
              </a:graphicData>
            </a:graphic>
          </wp:inline>
        </w:drawing>
      </w:r>
    </w:p>
    <w:p w:rsidR="00095EF3" w:rsidRDefault="00FE1FEC">
      <w:pPr>
        <w:spacing w:before="120" w:after="120"/>
        <w:jc w:val="center"/>
      </w:pPr>
      <w:r>
        <w:rPr>
          <w:rFonts w:hint="eastAsia"/>
        </w:rPr>
        <w:t>Figure 5 Example 1 of non-uniform SSB-RO mapping</w:t>
      </w:r>
    </w:p>
    <w:p w:rsidR="00095EF3" w:rsidRDefault="00FE1FEC">
      <w:pPr>
        <w:spacing w:before="120" w:after="120"/>
      </w:pPr>
      <w:r>
        <w:t xml:space="preserve">In another scenario, as depicted in Figure 6, if four SSBs (#2, #5, #6, #7) are muted due to </w:t>
      </w:r>
      <w:r>
        <w:rPr>
          <w:rFonts w:hint="eastAsia"/>
        </w:rPr>
        <w:t xml:space="preserve">smaller </w:t>
      </w:r>
      <w:r>
        <w:t>number of served UEs in these beams. This action results in a shortened association period, consequently, no PRACH resources are preserved for the NES.</w:t>
      </w:r>
    </w:p>
    <w:p w:rsidR="00095EF3" w:rsidRDefault="00FE1FEC">
      <w:pPr>
        <w:spacing w:before="120" w:after="120"/>
        <w:jc w:val="center"/>
      </w:pPr>
      <w:r>
        <w:rPr>
          <w:noProof/>
        </w:rPr>
        <w:drawing>
          <wp:inline distT="0" distB="0" distL="114300" distR="114300">
            <wp:extent cx="5270500" cy="1109345"/>
            <wp:effectExtent l="0" t="0" r="6350" b="14605"/>
            <wp:docPr id="8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12"/>
                    <pic:cNvPicPr>
                      <a:picLocks noChangeAspect="1"/>
                    </pic:cNvPicPr>
                  </pic:nvPicPr>
                  <pic:blipFill>
                    <a:blip r:embed="rId14"/>
                    <a:stretch>
                      <a:fillRect/>
                    </a:stretch>
                  </pic:blipFill>
                  <pic:spPr>
                    <a:xfrm>
                      <a:off x="0" y="0"/>
                      <a:ext cx="5270500" cy="1109345"/>
                    </a:xfrm>
                    <a:prstGeom prst="rect">
                      <a:avLst/>
                    </a:prstGeom>
                    <a:noFill/>
                    <a:ln>
                      <a:noFill/>
                    </a:ln>
                  </pic:spPr>
                </pic:pic>
              </a:graphicData>
            </a:graphic>
          </wp:inline>
        </w:drawing>
      </w:r>
    </w:p>
    <w:p w:rsidR="00095EF3" w:rsidRDefault="00FE1FEC">
      <w:pPr>
        <w:spacing w:before="120" w:after="120"/>
        <w:jc w:val="center"/>
      </w:pPr>
      <w:r>
        <w:rPr>
          <w:rFonts w:hint="eastAsia"/>
        </w:rPr>
        <w:t>Figure 6 Example 2 of non-uniform SSB-RO mapping.</w:t>
      </w:r>
    </w:p>
    <w:p w:rsidR="00095EF3" w:rsidRDefault="00FE1FEC">
      <w:pPr>
        <w:pStyle w:val="YJ-Observation"/>
        <w:spacing w:before="120" w:after="120"/>
        <w:jc w:val="both"/>
        <w:rPr>
          <w:lang w:val="en-US" w:eastAsia="zh-CN"/>
        </w:rPr>
      </w:pPr>
      <w:bookmarkStart w:id="19" w:name="_Toc11511"/>
      <w:r>
        <w:rPr>
          <w:rFonts w:hint="eastAsia"/>
          <w:lang w:val="en-US" w:eastAsia="zh-CN"/>
        </w:rPr>
        <w:t xml:space="preserve">NES gain of non-uniform SSB-RO mapping for the PRACH adaptation in the spatial domain are highly depended on the </w:t>
      </w:r>
      <w:r>
        <w:rPr>
          <w:lang w:val="en-US" w:eastAsia="zh-CN"/>
        </w:rPr>
        <w:t xml:space="preserve">derivation of </w:t>
      </w:r>
      <w:r>
        <w:rPr>
          <w:rFonts w:hint="eastAsia"/>
          <w:lang w:val="en-US" w:eastAsia="zh-CN"/>
        </w:rPr>
        <w:t>association period.</w:t>
      </w:r>
      <w:bookmarkEnd w:id="19"/>
    </w:p>
    <w:p w:rsidR="00095EF3" w:rsidRDefault="00D8554E">
      <w:pPr>
        <w:spacing w:before="120" w:after="120"/>
      </w:pPr>
      <w:r>
        <w:t>Based on</w:t>
      </w:r>
      <w:r w:rsidR="00FE1FEC">
        <w:t xml:space="preserve"> </w:t>
      </w:r>
      <w:r>
        <w:t>previous</w:t>
      </w:r>
      <w:r w:rsidR="00FE1FEC">
        <w:t xml:space="preserve"> analysis, Example 1 has the potential to yield NES gains. Consequently, we present the accompanying simulation results in Table 1 for further insight.</w:t>
      </w:r>
    </w:p>
    <w:p w:rsidR="00095EF3" w:rsidRDefault="00FE1FEC">
      <w:pPr>
        <w:spacing w:before="120" w:after="120"/>
        <w:jc w:val="center"/>
      </w:pPr>
      <w:r>
        <w:rPr>
          <w:rFonts w:hint="eastAsia"/>
        </w:rPr>
        <w:t xml:space="preserve">Table 1 NES gain of spatial domain enhancement </w:t>
      </w:r>
      <w:r>
        <w:t>(S</w:t>
      </w:r>
      <w:r>
        <w:rPr>
          <w:rFonts w:hint="eastAsia"/>
        </w:rPr>
        <w:t>cheme 1: Non-uniform SSB-RO mapping</w:t>
      </w:r>
      <w:r>
        <w:t>)</w:t>
      </w:r>
      <w:r>
        <w:rPr>
          <w:rFonts w:hint="eastAsia"/>
        </w:rPr>
        <w:t xml:space="preserve"> </w:t>
      </w:r>
    </w:p>
    <w:tbl>
      <w:tblPr>
        <w:tblStyle w:val="af3"/>
        <w:tblW w:w="0" w:type="auto"/>
        <w:jc w:val="center"/>
        <w:tblLook w:val="04A0" w:firstRow="1" w:lastRow="0" w:firstColumn="1" w:lastColumn="0" w:noHBand="0" w:noVBand="1"/>
      </w:tblPr>
      <w:tblGrid>
        <w:gridCol w:w="1216"/>
        <w:gridCol w:w="1216"/>
        <w:gridCol w:w="1217"/>
        <w:gridCol w:w="1217"/>
        <w:gridCol w:w="1218"/>
        <w:gridCol w:w="1217"/>
        <w:gridCol w:w="1217"/>
      </w:tblGrid>
      <w:tr w:rsidR="00095EF3">
        <w:trPr>
          <w:jc w:val="center"/>
        </w:trPr>
        <w:tc>
          <w:tcPr>
            <w:tcW w:w="1216" w:type="dxa"/>
            <w:vMerge w:val="restart"/>
            <w:shd w:val="clear" w:color="auto" w:fill="D7D7D7"/>
            <w:vAlign w:val="center"/>
          </w:tcPr>
          <w:p w:rsidR="00095EF3" w:rsidRDefault="00FE1FEC">
            <w:pPr>
              <w:widowControl w:val="0"/>
              <w:spacing w:beforeLines="0" w:afterLines="0" w:after="0" w:line="240" w:lineRule="auto"/>
              <w:jc w:val="center"/>
              <w:rPr>
                <w:szCs w:val="24"/>
              </w:rPr>
            </w:pPr>
            <w:r>
              <w:rPr>
                <w:rFonts w:hint="eastAsia"/>
                <w:szCs w:val="24"/>
              </w:rPr>
              <w:lastRenderedPageBreak/>
              <w:t>PRACH config.</w:t>
            </w:r>
          </w:p>
        </w:tc>
        <w:tc>
          <w:tcPr>
            <w:tcW w:w="1216" w:type="dxa"/>
            <w:vMerge w:val="restart"/>
            <w:shd w:val="clear" w:color="auto" w:fill="D7D7D7"/>
            <w:vAlign w:val="center"/>
          </w:tcPr>
          <w:p w:rsidR="00095EF3" w:rsidRDefault="00FE1FEC">
            <w:pPr>
              <w:widowControl w:val="0"/>
              <w:spacing w:beforeLines="0" w:afterLines="0" w:after="0" w:line="240" w:lineRule="auto"/>
              <w:jc w:val="center"/>
              <w:rPr>
                <w:szCs w:val="24"/>
              </w:rPr>
            </w:pPr>
            <w:r>
              <w:rPr>
                <w:rFonts w:hint="eastAsia"/>
                <w:szCs w:val="24"/>
              </w:rPr>
              <w:t>SIB1 periodicity</w:t>
            </w:r>
          </w:p>
        </w:tc>
        <w:tc>
          <w:tcPr>
            <w:tcW w:w="1217" w:type="dxa"/>
            <w:vMerge w:val="restart"/>
            <w:shd w:val="clear" w:color="auto" w:fill="D7D7D7"/>
            <w:vAlign w:val="center"/>
          </w:tcPr>
          <w:p w:rsidR="00095EF3" w:rsidRDefault="00FE1FEC">
            <w:pPr>
              <w:widowControl w:val="0"/>
              <w:spacing w:beforeLines="0" w:afterLines="0" w:after="0" w:line="240" w:lineRule="auto"/>
              <w:jc w:val="center"/>
              <w:rPr>
                <w:szCs w:val="24"/>
              </w:rPr>
            </w:pPr>
            <w:r>
              <w:rPr>
                <w:rFonts w:hint="eastAsia"/>
                <w:szCs w:val="24"/>
              </w:rPr>
              <w:t>Cell load</w:t>
            </w:r>
          </w:p>
        </w:tc>
        <w:tc>
          <w:tcPr>
            <w:tcW w:w="2435" w:type="dxa"/>
            <w:gridSpan w:val="2"/>
            <w:shd w:val="clear" w:color="auto" w:fill="D7D7D7"/>
            <w:vAlign w:val="center"/>
          </w:tcPr>
          <w:p w:rsidR="00095EF3" w:rsidRDefault="00FE1FEC">
            <w:pPr>
              <w:widowControl w:val="0"/>
              <w:spacing w:beforeLines="0" w:afterLines="0" w:after="0" w:line="240" w:lineRule="auto"/>
              <w:jc w:val="center"/>
              <w:rPr>
                <w:szCs w:val="24"/>
              </w:rPr>
            </w:pPr>
            <w:r>
              <w:rPr>
                <w:rFonts w:hint="eastAsia"/>
                <w:szCs w:val="24"/>
              </w:rPr>
              <w:t>Power consumption</w:t>
            </w:r>
          </w:p>
        </w:tc>
        <w:tc>
          <w:tcPr>
            <w:tcW w:w="2434" w:type="dxa"/>
            <w:gridSpan w:val="2"/>
            <w:shd w:val="clear" w:color="auto" w:fill="D7D7D7"/>
            <w:vAlign w:val="center"/>
          </w:tcPr>
          <w:p w:rsidR="00095EF3" w:rsidRDefault="00FE1FEC">
            <w:pPr>
              <w:widowControl w:val="0"/>
              <w:spacing w:beforeLines="0" w:afterLines="0" w:after="0" w:line="240" w:lineRule="auto"/>
              <w:jc w:val="center"/>
              <w:rPr>
                <w:szCs w:val="24"/>
              </w:rPr>
            </w:pPr>
            <w:r>
              <w:rPr>
                <w:rFonts w:hint="eastAsia"/>
                <w:szCs w:val="24"/>
              </w:rPr>
              <w:t>NES gain (%)</w:t>
            </w:r>
          </w:p>
        </w:tc>
      </w:tr>
      <w:tr w:rsidR="00095EF3">
        <w:trPr>
          <w:jc w:val="center"/>
        </w:trPr>
        <w:tc>
          <w:tcPr>
            <w:tcW w:w="1216" w:type="dxa"/>
            <w:vMerge/>
            <w:tcBorders>
              <w:bottom w:val="single" w:sz="18" w:space="0" w:color="000000"/>
            </w:tcBorders>
            <w:shd w:val="clear" w:color="auto" w:fill="D7D7D7"/>
            <w:vAlign w:val="center"/>
          </w:tcPr>
          <w:p w:rsidR="00095EF3" w:rsidRDefault="00095EF3">
            <w:pPr>
              <w:widowControl w:val="0"/>
              <w:spacing w:beforeLines="0" w:afterLines="0" w:after="0" w:line="240" w:lineRule="auto"/>
              <w:jc w:val="center"/>
              <w:rPr>
                <w:szCs w:val="24"/>
              </w:rPr>
            </w:pPr>
          </w:p>
        </w:tc>
        <w:tc>
          <w:tcPr>
            <w:tcW w:w="1216" w:type="dxa"/>
            <w:vMerge/>
            <w:tcBorders>
              <w:bottom w:val="single" w:sz="18" w:space="0" w:color="000000"/>
            </w:tcBorders>
            <w:shd w:val="clear" w:color="auto" w:fill="D7D7D7"/>
            <w:vAlign w:val="center"/>
          </w:tcPr>
          <w:p w:rsidR="00095EF3" w:rsidRDefault="00095EF3">
            <w:pPr>
              <w:widowControl w:val="0"/>
              <w:spacing w:beforeLines="0" w:afterLines="0" w:after="0" w:line="240" w:lineRule="auto"/>
              <w:jc w:val="center"/>
              <w:rPr>
                <w:szCs w:val="24"/>
              </w:rPr>
            </w:pPr>
          </w:p>
        </w:tc>
        <w:tc>
          <w:tcPr>
            <w:tcW w:w="1217" w:type="dxa"/>
            <w:vMerge/>
            <w:tcBorders>
              <w:bottom w:val="single" w:sz="18" w:space="0" w:color="000000"/>
            </w:tcBorders>
            <w:shd w:val="clear" w:color="auto" w:fill="D7D7D7"/>
            <w:vAlign w:val="center"/>
          </w:tcPr>
          <w:p w:rsidR="00095EF3" w:rsidRDefault="00095EF3">
            <w:pPr>
              <w:widowControl w:val="0"/>
              <w:spacing w:beforeLines="0" w:afterLines="0" w:after="0" w:line="240" w:lineRule="auto"/>
              <w:jc w:val="center"/>
              <w:rPr>
                <w:szCs w:val="24"/>
              </w:rPr>
            </w:pPr>
          </w:p>
        </w:tc>
        <w:tc>
          <w:tcPr>
            <w:tcW w:w="1217" w:type="dxa"/>
            <w:tcBorders>
              <w:bottom w:val="single" w:sz="18" w:space="0" w:color="000000"/>
            </w:tcBorders>
            <w:shd w:val="clear" w:color="auto" w:fill="D7D7D7"/>
            <w:vAlign w:val="center"/>
          </w:tcPr>
          <w:p w:rsidR="00095EF3" w:rsidRDefault="00FE1FEC">
            <w:pPr>
              <w:widowControl w:val="0"/>
              <w:spacing w:beforeLines="0" w:afterLines="0" w:after="0" w:line="240" w:lineRule="auto"/>
              <w:jc w:val="center"/>
              <w:rPr>
                <w:szCs w:val="24"/>
              </w:rPr>
            </w:pPr>
            <w:r>
              <w:rPr>
                <w:rFonts w:hint="eastAsia"/>
                <w:szCs w:val="24"/>
              </w:rPr>
              <w:t>Cat 1</w:t>
            </w:r>
          </w:p>
        </w:tc>
        <w:tc>
          <w:tcPr>
            <w:tcW w:w="1218" w:type="dxa"/>
            <w:tcBorders>
              <w:bottom w:val="single" w:sz="18" w:space="0" w:color="000000"/>
            </w:tcBorders>
            <w:shd w:val="clear" w:color="auto" w:fill="D7D7D7"/>
            <w:vAlign w:val="center"/>
          </w:tcPr>
          <w:p w:rsidR="00095EF3" w:rsidRDefault="00FE1FEC">
            <w:pPr>
              <w:widowControl w:val="0"/>
              <w:spacing w:beforeLines="0" w:afterLines="0" w:after="0" w:line="240" w:lineRule="auto"/>
              <w:jc w:val="center"/>
              <w:rPr>
                <w:szCs w:val="24"/>
              </w:rPr>
            </w:pPr>
            <w:r>
              <w:rPr>
                <w:rFonts w:hint="eastAsia"/>
                <w:szCs w:val="24"/>
              </w:rPr>
              <w:t>Cat 2</w:t>
            </w:r>
          </w:p>
        </w:tc>
        <w:tc>
          <w:tcPr>
            <w:tcW w:w="1217" w:type="dxa"/>
            <w:tcBorders>
              <w:bottom w:val="single" w:sz="18" w:space="0" w:color="000000"/>
            </w:tcBorders>
            <w:shd w:val="clear" w:color="auto" w:fill="D7D7D7"/>
            <w:vAlign w:val="center"/>
          </w:tcPr>
          <w:p w:rsidR="00095EF3" w:rsidRDefault="00FE1FEC">
            <w:pPr>
              <w:widowControl w:val="0"/>
              <w:spacing w:beforeLines="0" w:afterLines="0" w:after="0" w:line="240" w:lineRule="auto"/>
              <w:jc w:val="center"/>
              <w:rPr>
                <w:szCs w:val="24"/>
              </w:rPr>
            </w:pPr>
            <w:r>
              <w:rPr>
                <w:rFonts w:hint="eastAsia"/>
                <w:szCs w:val="24"/>
              </w:rPr>
              <w:t>Cat 1</w:t>
            </w:r>
          </w:p>
        </w:tc>
        <w:tc>
          <w:tcPr>
            <w:tcW w:w="1217" w:type="dxa"/>
            <w:tcBorders>
              <w:bottom w:val="single" w:sz="18" w:space="0" w:color="000000"/>
            </w:tcBorders>
            <w:shd w:val="clear" w:color="auto" w:fill="D7D7D7"/>
            <w:vAlign w:val="center"/>
          </w:tcPr>
          <w:p w:rsidR="00095EF3" w:rsidRDefault="00FE1FEC">
            <w:pPr>
              <w:widowControl w:val="0"/>
              <w:spacing w:beforeLines="0" w:afterLines="0" w:after="0" w:line="240" w:lineRule="auto"/>
              <w:jc w:val="center"/>
              <w:rPr>
                <w:szCs w:val="24"/>
              </w:rPr>
            </w:pPr>
            <w:r>
              <w:rPr>
                <w:rFonts w:hint="eastAsia"/>
                <w:szCs w:val="24"/>
              </w:rPr>
              <w:t>Cat 2</w:t>
            </w:r>
          </w:p>
        </w:tc>
      </w:tr>
      <w:tr w:rsidR="00095EF3">
        <w:trPr>
          <w:jc w:val="center"/>
        </w:trPr>
        <w:tc>
          <w:tcPr>
            <w:tcW w:w="1216" w:type="dxa"/>
            <w:vMerge w:val="restart"/>
            <w:tcBorders>
              <w:top w:val="single" w:sz="18" w:space="0" w:color="000000"/>
              <w:lef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Legacy</w:t>
            </w:r>
          </w:p>
        </w:tc>
        <w:tc>
          <w:tcPr>
            <w:tcW w:w="1216" w:type="dxa"/>
            <w:vMerge w:val="restart"/>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20ms</w:t>
            </w:r>
          </w:p>
        </w:tc>
        <w:tc>
          <w:tcPr>
            <w:tcW w:w="1217" w:type="dxa"/>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Empty</w:t>
            </w:r>
          </w:p>
        </w:tc>
        <w:tc>
          <w:tcPr>
            <w:tcW w:w="1217" w:type="dxa"/>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80.6838</w:t>
            </w:r>
          </w:p>
        </w:tc>
        <w:tc>
          <w:tcPr>
            <w:tcW w:w="1218" w:type="dxa"/>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7.9772</w:t>
            </w:r>
          </w:p>
        </w:tc>
        <w:tc>
          <w:tcPr>
            <w:tcW w:w="1217" w:type="dxa"/>
            <w:vMerge w:val="restart"/>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N/A</w:t>
            </w:r>
          </w:p>
        </w:tc>
        <w:tc>
          <w:tcPr>
            <w:tcW w:w="1217" w:type="dxa"/>
            <w:vMerge w:val="restart"/>
            <w:tcBorders>
              <w:top w:val="single" w:sz="18" w:space="0" w:color="000000"/>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N/A</w:t>
            </w:r>
          </w:p>
        </w:tc>
      </w:tr>
      <w:tr w:rsidR="00095EF3">
        <w:trPr>
          <w:jc w:val="center"/>
        </w:trPr>
        <w:tc>
          <w:tcPr>
            <w:tcW w:w="1216" w:type="dxa"/>
            <w:vMerge/>
            <w:tcBorders>
              <w:left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vAlign w:val="center"/>
          </w:tcPr>
          <w:p w:rsidR="00095EF3" w:rsidRDefault="00095EF3">
            <w:pPr>
              <w:widowControl w:val="0"/>
              <w:spacing w:beforeLines="0" w:afterLines="0" w:after="0" w:line="240" w:lineRule="auto"/>
              <w:jc w:val="center"/>
              <w:rPr>
                <w:szCs w:val="24"/>
              </w:rPr>
            </w:pP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Low</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91.8495</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9.2815</w:t>
            </w:r>
          </w:p>
        </w:tc>
        <w:tc>
          <w:tcPr>
            <w:tcW w:w="1217" w:type="dxa"/>
            <w:vMerge/>
            <w:vAlign w:val="center"/>
          </w:tcPr>
          <w:p w:rsidR="00095EF3" w:rsidRDefault="00095EF3">
            <w:pPr>
              <w:widowControl w:val="0"/>
              <w:spacing w:beforeLines="0" w:afterLines="0" w:after="0" w:line="240" w:lineRule="auto"/>
              <w:jc w:val="center"/>
              <w:rPr>
                <w:szCs w:val="24"/>
              </w:rPr>
            </w:pPr>
          </w:p>
        </w:tc>
        <w:tc>
          <w:tcPr>
            <w:tcW w:w="1217" w:type="dxa"/>
            <w:vMerge/>
            <w:tcBorders>
              <w:right w:val="single" w:sz="18" w:space="0" w:color="000000"/>
            </w:tcBorders>
            <w:vAlign w:val="center"/>
          </w:tcPr>
          <w:p w:rsidR="00095EF3" w:rsidRDefault="00095EF3">
            <w:pPr>
              <w:widowControl w:val="0"/>
              <w:spacing w:beforeLines="0" w:afterLines="0" w:after="0" w:line="240" w:lineRule="auto"/>
              <w:jc w:val="center"/>
              <w:rPr>
                <w:szCs w:val="24"/>
              </w:rPr>
            </w:pPr>
          </w:p>
        </w:tc>
      </w:tr>
      <w:tr w:rsidR="00095EF3">
        <w:trPr>
          <w:jc w:val="center"/>
        </w:trPr>
        <w:tc>
          <w:tcPr>
            <w:tcW w:w="1216" w:type="dxa"/>
            <w:vMerge/>
            <w:tcBorders>
              <w:left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vAlign w:val="center"/>
          </w:tcPr>
          <w:p w:rsidR="00095EF3" w:rsidRDefault="00095EF3">
            <w:pPr>
              <w:widowControl w:val="0"/>
              <w:spacing w:beforeLines="0" w:afterLines="0" w:after="0" w:line="240" w:lineRule="auto"/>
              <w:jc w:val="center"/>
              <w:rPr>
                <w:szCs w:val="24"/>
              </w:rPr>
            </w:pP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Medium</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175.5477</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19.0578</w:t>
            </w:r>
          </w:p>
        </w:tc>
        <w:tc>
          <w:tcPr>
            <w:tcW w:w="1217" w:type="dxa"/>
            <w:vMerge/>
            <w:vAlign w:val="center"/>
          </w:tcPr>
          <w:p w:rsidR="00095EF3" w:rsidRDefault="00095EF3">
            <w:pPr>
              <w:widowControl w:val="0"/>
              <w:spacing w:beforeLines="0" w:afterLines="0" w:after="0" w:line="240" w:lineRule="auto"/>
              <w:jc w:val="center"/>
              <w:rPr>
                <w:szCs w:val="24"/>
              </w:rPr>
            </w:pPr>
          </w:p>
        </w:tc>
        <w:tc>
          <w:tcPr>
            <w:tcW w:w="1217" w:type="dxa"/>
            <w:vMerge/>
            <w:tcBorders>
              <w:right w:val="single" w:sz="18" w:space="0" w:color="000000"/>
            </w:tcBorders>
            <w:vAlign w:val="center"/>
          </w:tcPr>
          <w:p w:rsidR="00095EF3" w:rsidRDefault="00095EF3">
            <w:pPr>
              <w:widowControl w:val="0"/>
              <w:spacing w:beforeLines="0" w:afterLines="0" w:after="0" w:line="240" w:lineRule="auto"/>
              <w:jc w:val="center"/>
              <w:rPr>
                <w:szCs w:val="24"/>
              </w:rPr>
            </w:pPr>
          </w:p>
        </w:tc>
      </w:tr>
      <w:tr w:rsidR="00095EF3">
        <w:trPr>
          <w:jc w:val="center"/>
        </w:trPr>
        <w:tc>
          <w:tcPr>
            <w:tcW w:w="1216" w:type="dxa"/>
            <w:vMerge w:val="restart"/>
            <w:tcBorders>
              <w:left w:val="single" w:sz="18" w:space="0" w:color="000000"/>
            </w:tcBorders>
            <w:vAlign w:val="center"/>
          </w:tcPr>
          <w:p w:rsidR="00095EF3" w:rsidRDefault="00FE1FEC">
            <w:pPr>
              <w:widowControl w:val="0"/>
              <w:spacing w:beforeLines="0" w:afterLines="0" w:after="0" w:line="240" w:lineRule="auto"/>
              <w:jc w:val="center"/>
              <w:rPr>
                <w:szCs w:val="24"/>
              </w:rPr>
            </w:pPr>
            <w:proofErr w:type="spellStart"/>
            <w:r>
              <w:rPr>
                <w:rFonts w:hint="eastAsia"/>
                <w:szCs w:val="24"/>
              </w:rPr>
              <w:t>Enh</w:t>
            </w:r>
            <w:proofErr w:type="spellEnd"/>
            <w:r>
              <w:rPr>
                <w:rFonts w:hint="eastAsia"/>
                <w:szCs w:val="24"/>
              </w:rPr>
              <w:t>. Scheme 1</w:t>
            </w:r>
          </w:p>
        </w:tc>
        <w:tc>
          <w:tcPr>
            <w:tcW w:w="1216" w:type="dxa"/>
            <w:vMerge w:val="restart"/>
            <w:vAlign w:val="center"/>
          </w:tcPr>
          <w:p w:rsidR="00095EF3" w:rsidRDefault="00FE1FEC">
            <w:pPr>
              <w:widowControl w:val="0"/>
              <w:spacing w:beforeLines="0" w:afterLines="0" w:after="0" w:line="240" w:lineRule="auto"/>
              <w:jc w:val="center"/>
              <w:rPr>
                <w:szCs w:val="24"/>
              </w:rPr>
            </w:pPr>
            <w:r>
              <w:rPr>
                <w:rFonts w:hint="eastAsia"/>
                <w:szCs w:val="24"/>
              </w:rPr>
              <w:t>20ms</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Empty</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69.6213</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7.9397</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13.71%</w:t>
            </w:r>
          </w:p>
        </w:tc>
        <w:tc>
          <w:tcPr>
            <w:tcW w:w="1217" w:type="dxa"/>
            <w:tcBorders>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0.47%</w:t>
            </w:r>
          </w:p>
        </w:tc>
      </w:tr>
      <w:tr w:rsidR="00095EF3">
        <w:trPr>
          <w:jc w:val="center"/>
        </w:trPr>
        <w:tc>
          <w:tcPr>
            <w:tcW w:w="1216" w:type="dxa"/>
            <w:vMerge/>
            <w:tcBorders>
              <w:left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vAlign w:val="center"/>
          </w:tcPr>
          <w:p w:rsidR="00095EF3" w:rsidRDefault="00095EF3">
            <w:pPr>
              <w:widowControl w:val="0"/>
              <w:spacing w:beforeLines="0" w:afterLines="0" w:after="0" w:line="240" w:lineRule="auto"/>
              <w:jc w:val="center"/>
              <w:rPr>
                <w:szCs w:val="24"/>
              </w:rPr>
            </w:pP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Low</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81.5655</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9.2440</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11.20%</w:t>
            </w:r>
          </w:p>
        </w:tc>
        <w:tc>
          <w:tcPr>
            <w:tcW w:w="1217" w:type="dxa"/>
            <w:tcBorders>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0.40%</w:t>
            </w:r>
          </w:p>
        </w:tc>
      </w:tr>
      <w:tr w:rsidR="00095EF3">
        <w:trPr>
          <w:jc w:val="center"/>
        </w:trPr>
        <w:tc>
          <w:tcPr>
            <w:tcW w:w="1216" w:type="dxa"/>
            <w:vMerge/>
            <w:tcBorders>
              <w:left w:val="single" w:sz="18" w:space="0" w:color="000000"/>
              <w:bottom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tcBorders>
              <w:bottom w:val="single" w:sz="18" w:space="0" w:color="000000"/>
            </w:tcBorders>
            <w:vAlign w:val="center"/>
          </w:tcPr>
          <w:p w:rsidR="00095EF3" w:rsidRDefault="00095EF3">
            <w:pPr>
              <w:widowControl w:val="0"/>
              <w:spacing w:beforeLines="0" w:afterLines="0" w:after="0" w:line="240" w:lineRule="auto"/>
              <w:jc w:val="center"/>
              <w:rPr>
                <w:szCs w:val="24"/>
              </w:rPr>
            </w:pPr>
          </w:p>
        </w:tc>
        <w:tc>
          <w:tcPr>
            <w:tcW w:w="1217"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Medium</w:t>
            </w:r>
          </w:p>
        </w:tc>
        <w:tc>
          <w:tcPr>
            <w:tcW w:w="1217"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169.7134</w:t>
            </w:r>
          </w:p>
        </w:tc>
        <w:tc>
          <w:tcPr>
            <w:tcW w:w="1218"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19.0203</w:t>
            </w:r>
          </w:p>
        </w:tc>
        <w:tc>
          <w:tcPr>
            <w:tcW w:w="1217"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3.32%</w:t>
            </w:r>
          </w:p>
        </w:tc>
        <w:tc>
          <w:tcPr>
            <w:tcW w:w="1217" w:type="dxa"/>
            <w:tcBorders>
              <w:bottom w:val="single" w:sz="18" w:space="0" w:color="000000"/>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0.20%</w:t>
            </w:r>
          </w:p>
        </w:tc>
      </w:tr>
      <w:tr w:rsidR="00095EF3">
        <w:trPr>
          <w:jc w:val="center"/>
        </w:trPr>
        <w:tc>
          <w:tcPr>
            <w:tcW w:w="1216" w:type="dxa"/>
            <w:vMerge w:val="restart"/>
            <w:tcBorders>
              <w:top w:val="single" w:sz="18" w:space="0" w:color="000000"/>
              <w:lef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Legacy</w:t>
            </w:r>
          </w:p>
        </w:tc>
        <w:tc>
          <w:tcPr>
            <w:tcW w:w="1216" w:type="dxa"/>
            <w:vMerge w:val="restart"/>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40ms</w:t>
            </w:r>
          </w:p>
        </w:tc>
        <w:tc>
          <w:tcPr>
            <w:tcW w:w="1217" w:type="dxa"/>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Empty</w:t>
            </w:r>
          </w:p>
        </w:tc>
        <w:tc>
          <w:tcPr>
            <w:tcW w:w="1217" w:type="dxa"/>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73.4470</w:t>
            </w:r>
          </w:p>
        </w:tc>
        <w:tc>
          <w:tcPr>
            <w:tcW w:w="1218" w:type="dxa"/>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7.1249</w:t>
            </w:r>
          </w:p>
        </w:tc>
        <w:tc>
          <w:tcPr>
            <w:tcW w:w="1217" w:type="dxa"/>
            <w:vMerge w:val="restart"/>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N/A</w:t>
            </w:r>
          </w:p>
        </w:tc>
        <w:tc>
          <w:tcPr>
            <w:tcW w:w="1217" w:type="dxa"/>
            <w:vMerge w:val="restart"/>
            <w:tcBorders>
              <w:top w:val="single" w:sz="18" w:space="0" w:color="000000"/>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N/A</w:t>
            </w:r>
          </w:p>
        </w:tc>
      </w:tr>
      <w:tr w:rsidR="00095EF3">
        <w:trPr>
          <w:jc w:val="center"/>
        </w:trPr>
        <w:tc>
          <w:tcPr>
            <w:tcW w:w="1216" w:type="dxa"/>
            <w:vMerge/>
            <w:tcBorders>
              <w:left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vAlign w:val="center"/>
          </w:tcPr>
          <w:p w:rsidR="00095EF3" w:rsidRDefault="00095EF3">
            <w:pPr>
              <w:widowControl w:val="0"/>
              <w:spacing w:beforeLines="0" w:afterLines="0" w:after="0" w:line="240" w:lineRule="auto"/>
              <w:jc w:val="center"/>
              <w:rPr>
                <w:szCs w:val="24"/>
              </w:rPr>
            </w:pP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Low</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84.1762</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8.3807</w:t>
            </w:r>
          </w:p>
        </w:tc>
        <w:tc>
          <w:tcPr>
            <w:tcW w:w="1217" w:type="dxa"/>
            <w:vMerge/>
            <w:vAlign w:val="center"/>
          </w:tcPr>
          <w:p w:rsidR="00095EF3" w:rsidRDefault="00095EF3">
            <w:pPr>
              <w:widowControl w:val="0"/>
              <w:spacing w:beforeLines="0" w:afterLines="0" w:after="0" w:line="240" w:lineRule="auto"/>
              <w:jc w:val="center"/>
              <w:rPr>
                <w:szCs w:val="24"/>
              </w:rPr>
            </w:pPr>
          </w:p>
        </w:tc>
        <w:tc>
          <w:tcPr>
            <w:tcW w:w="1217" w:type="dxa"/>
            <w:vMerge/>
            <w:tcBorders>
              <w:right w:val="single" w:sz="18" w:space="0" w:color="000000"/>
            </w:tcBorders>
            <w:vAlign w:val="center"/>
          </w:tcPr>
          <w:p w:rsidR="00095EF3" w:rsidRDefault="00095EF3">
            <w:pPr>
              <w:widowControl w:val="0"/>
              <w:spacing w:beforeLines="0" w:afterLines="0" w:after="0" w:line="240" w:lineRule="auto"/>
              <w:jc w:val="center"/>
              <w:rPr>
                <w:szCs w:val="24"/>
              </w:rPr>
            </w:pPr>
          </w:p>
        </w:tc>
      </w:tr>
      <w:tr w:rsidR="00095EF3">
        <w:trPr>
          <w:jc w:val="center"/>
        </w:trPr>
        <w:tc>
          <w:tcPr>
            <w:tcW w:w="1216" w:type="dxa"/>
            <w:vMerge/>
            <w:tcBorders>
              <w:left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vAlign w:val="center"/>
          </w:tcPr>
          <w:p w:rsidR="00095EF3" w:rsidRDefault="00095EF3">
            <w:pPr>
              <w:widowControl w:val="0"/>
              <w:spacing w:beforeLines="0" w:afterLines="0" w:after="0" w:line="240" w:lineRule="auto"/>
              <w:jc w:val="center"/>
              <w:rPr>
                <w:szCs w:val="24"/>
              </w:rPr>
            </w:pP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Medium</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165.0097</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17.8404</w:t>
            </w:r>
          </w:p>
        </w:tc>
        <w:tc>
          <w:tcPr>
            <w:tcW w:w="1217" w:type="dxa"/>
            <w:vMerge/>
            <w:vAlign w:val="center"/>
          </w:tcPr>
          <w:p w:rsidR="00095EF3" w:rsidRDefault="00095EF3">
            <w:pPr>
              <w:widowControl w:val="0"/>
              <w:spacing w:beforeLines="0" w:afterLines="0" w:after="0" w:line="240" w:lineRule="auto"/>
              <w:jc w:val="center"/>
              <w:rPr>
                <w:szCs w:val="24"/>
              </w:rPr>
            </w:pPr>
          </w:p>
        </w:tc>
        <w:tc>
          <w:tcPr>
            <w:tcW w:w="1217" w:type="dxa"/>
            <w:vMerge/>
            <w:tcBorders>
              <w:right w:val="single" w:sz="18" w:space="0" w:color="000000"/>
            </w:tcBorders>
            <w:vAlign w:val="center"/>
          </w:tcPr>
          <w:p w:rsidR="00095EF3" w:rsidRDefault="00095EF3">
            <w:pPr>
              <w:widowControl w:val="0"/>
              <w:spacing w:beforeLines="0" w:afterLines="0" w:after="0" w:line="240" w:lineRule="auto"/>
              <w:jc w:val="center"/>
              <w:rPr>
                <w:szCs w:val="24"/>
              </w:rPr>
            </w:pPr>
          </w:p>
        </w:tc>
      </w:tr>
      <w:tr w:rsidR="00095EF3">
        <w:trPr>
          <w:jc w:val="center"/>
        </w:trPr>
        <w:tc>
          <w:tcPr>
            <w:tcW w:w="1216" w:type="dxa"/>
            <w:vMerge w:val="restart"/>
            <w:tcBorders>
              <w:left w:val="single" w:sz="18" w:space="0" w:color="000000"/>
            </w:tcBorders>
            <w:vAlign w:val="center"/>
          </w:tcPr>
          <w:p w:rsidR="00095EF3" w:rsidRDefault="00FE1FEC">
            <w:pPr>
              <w:widowControl w:val="0"/>
              <w:spacing w:beforeLines="0" w:afterLines="0" w:after="0" w:line="240" w:lineRule="auto"/>
              <w:jc w:val="center"/>
              <w:rPr>
                <w:szCs w:val="24"/>
              </w:rPr>
            </w:pPr>
            <w:proofErr w:type="spellStart"/>
            <w:r>
              <w:rPr>
                <w:rFonts w:hint="eastAsia"/>
                <w:szCs w:val="24"/>
              </w:rPr>
              <w:t>Enh</w:t>
            </w:r>
            <w:proofErr w:type="spellEnd"/>
            <w:r>
              <w:rPr>
                <w:rFonts w:hint="eastAsia"/>
                <w:szCs w:val="24"/>
              </w:rPr>
              <w:t>. Scheme 1</w:t>
            </w:r>
          </w:p>
        </w:tc>
        <w:tc>
          <w:tcPr>
            <w:tcW w:w="1216" w:type="dxa"/>
            <w:vMerge w:val="restart"/>
            <w:vAlign w:val="center"/>
          </w:tcPr>
          <w:p w:rsidR="00095EF3" w:rsidRDefault="00FE1FEC">
            <w:pPr>
              <w:widowControl w:val="0"/>
              <w:spacing w:beforeLines="0" w:afterLines="0" w:after="0" w:line="240" w:lineRule="auto"/>
              <w:jc w:val="center"/>
              <w:rPr>
                <w:szCs w:val="24"/>
              </w:rPr>
            </w:pPr>
            <w:r>
              <w:rPr>
                <w:rFonts w:hint="eastAsia"/>
                <w:szCs w:val="24"/>
              </w:rPr>
              <w:t>40ms</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Empty</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62.3845</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7.0874</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15.06%</w:t>
            </w:r>
          </w:p>
        </w:tc>
        <w:tc>
          <w:tcPr>
            <w:tcW w:w="1217" w:type="dxa"/>
            <w:tcBorders>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0.53%</w:t>
            </w:r>
          </w:p>
        </w:tc>
      </w:tr>
      <w:tr w:rsidR="00095EF3">
        <w:trPr>
          <w:jc w:val="center"/>
        </w:trPr>
        <w:tc>
          <w:tcPr>
            <w:tcW w:w="1216" w:type="dxa"/>
            <w:vMerge/>
            <w:tcBorders>
              <w:left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vAlign w:val="center"/>
          </w:tcPr>
          <w:p w:rsidR="00095EF3" w:rsidRDefault="00095EF3">
            <w:pPr>
              <w:widowControl w:val="0"/>
              <w:spacing w:beforeLines="0" w:afterLines="0" w:after="0" w:line="240" w:lineRule="auto"/>
              <w:jc w:val="center"/>
              <w:rPr>
                <w:szCs w:val="24"/>
              </w:rPr>
            </w:pP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Low</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73.8921</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8.3432</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12.21%</w:t>
            </w:r>
          </w:p>
        </w:tc>
        <w:tc>
          <w:tcPr>
            <w:tcW w:w="1217" w:type="dxa"/>
            <w:tcBorders>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0.45%</w:t>
            </w:r>
          </w:p>
        </w:tc>
      </w:tr>
      <w:tr w:rsidR="00095EF3">
        <w:trPr>
          <w:jc w:val="center"/>
        </w:trPr>
        <w:tc>
          <w:tcPr>
            <w:tcW w:w="1216" w:type="dxa"/>
            <w:vMerge/>
            <w:tcBorders>
              <w:left w:val="single" w:sz="18" w:space="0" w:color="000000"/>
              <w:bottom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tcBorders>
              <w:bottom w:val="single" w:sz="18" w:space="0" w:color="000000"/>
            </w:tcBorders>
            <w:vAlign w:val="center"/>
          </w:tcPr>
          <w:p w:rsidR="00095EF3" w:rsidRDefault="00095EF3">
            <w:pPr>
              <w:widowControl w:val="0"/>
              <w:spacing w:beforeLines="0" w:afterLines="0" w:after="0" w:line="240" w:lineRule="auto"/>
              <w:jc w:val="center"/>
              <w:rPr>
                <w:szCs w:val="24"/>
              </w:rPr>
            </w:pPr>
          </w:p>
        </w:tc>
        <w:tc>
          <w:tcPr>
            <w:tcW w:w="1217"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Medium</w:t>
            </w:r>
          </w:p>
        </w:tc>
        <w:tc>
          <w:tcPr>
            <w:tcW w:w="1217"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159.1754</w:t>
            </w:r>
          </w:p>
        </w:tc>
        <w:tc>
          <w:tcPr>
            <w:tcW w:w="1218"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17.8029</w:t>
            </w:r>
          </w:p>
        </w:tc>
        <w:tc>
          <w:tcPr>
            <w:tcW w:w="1217"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3.54%</w:t>
            </w:r>
          </w:p>
        </w:tc>
        <w:tc>
          <w:tcPr>
            <w:tcW w:w="1217" w:type="dxa"/>
            <w:tcBorders>
              <w:bottom w:val="single" w:sz="18" w:space="0" w:color="000000"/>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0.21%</w:t>
            </w:r>
          </w:p>
        </w:tc>
      </w:tr>
      <w:tr w:rsidR="00095EF3">
        <w:trPr>
          <w:jc w:val="center"/>
        </w:trPr>
        <w:tc>
          <w:tcPr>
            <w:tcW w:w="1216" w:type="dxa"/>
            <w:vMerge w:val="restart"/>
            <w:tcBorders>
              <w:top w:val="single" w:sz="18" w:space="0" w:color="000000"/>
              <w:lef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Legacy</w:t>
            </w:r>
          </w:p>
        </w:tc>
        <w:tc>
          <w:tcPr>
            <w:tcW w:w="1216" w:type="dxa"/>
            <w:vMerge w:val="restart"/>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160ms</w:t>
            </w:r>
          </w:p>
        </w:tc>
        <w:tc>
          <w:tcPr>
            <w:tcW w:w="1217" w:type="dxa"/>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Empty</w:t>
            </w:r>
          </w:p>
        </w:tc>
        <w:tc>
          <w:tcPr>
            <w:tcW w:w="1217" w:type="dxa"/>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68.0193</w:t>
            </w:r>
          </w:p>
        </w:tc>
        <w:tc>
          <w:tcPr>
            <w:tcW w:w="1218" w:type="dxa"/>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6.4856</w:t>
            </w:r>
          </w:p>
        </w:tc>
        <w:tc>
          <w:tcPr>
            <w:tcW w:w="1217" w:type="dxa"/>
            <w:vMerge w:val="restart"/>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N/A</w:t>
            </w:r>
          </w:p>
        </w:tc>
        <w:tc>
          <w:tcPr>
            <w:tcW w:w="1217" w:type="dxa"/>
            <w:vMerge w:val="restart"/>
            <w:tcBorders>
              <w:top w:val="single" w:sz="18" w:space="0" w:color="000000"/>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N/A</w:t>
            </w:r>
          </w:p>
        </w:tc>
      </w:tr>
      <w:tr w:rsidR="00095EF3">
        <w:trPr>
          <w:jc w:val="center"/>
        </w:trPr>
        <w:tc>
          <w:tcPr>
            <w:tcW w:w="1216" w:type="dxa"/>
            <w:vMerge/>
            <w:tcBorders>
              <w:left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vAlign w:val="center"/>
          </w:tcPr>
          <w:p w:rsidR="00095EF3" w:rsidRDefault="00095EF3">
            <w:pPr>
              <w:widowControl w:val="0"/>
              <w:spacing w:beforeLines="0" w:afterLines="0" w:after="0" w:line="240" w:lineRule="auto"/>
              <w:jc w:val="center"/>
              <w:rPr>
                <w:szCs w:val="24"/>
              </w:rPr>
            </w:pP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Low</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78.5154</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7.7161</w:t>
            </w:r>
          </w:p>
        </w:tc>
        <w:tc>
          <w:tcPr>
            <w:tcW w:w="1217" w:type="dxa"/>
            <w:vMerge/>
            <w:vAlign w:val="center"/>
          </w:tcPr>
          <w:p w:rsidR="00095EF3" w:rsidRDefault="00095EF3">
            <w:pPr>
              <w:widowControl w:val="0"/>
              <w:spacing w:beforeLines="0" w:afterLines="0" w:after="0" w:line="240" w:lineRule="auto"/>
              <w:jc w:val="center"/>
              <w:rPr>
                <w:szCs w:val="24"/>
              </w:rPr>
            </w:pPr>
          </w:p>
        </w:tc>
        <w:tc>
          <w:tcPr>
            <w:tcW w:w="1217" w:type="dxa"/>
            <w:vMerge/>
            <w:tcBorders>
              <w:right w:val="single" w:sz="18" w:space="0" w:color="000000"/>
            </w:tcBorders>
            <w:vAlign w:val="center"/>
          </w:tcPr>
          <w:p w:rsidR="00095EF3" w:rsidRDefault="00095EF3">
            <w:pPr>
              <w:widowControl w:val="0"/>
              <w:spacing w:beforeLines="0" w:afterLines="0" w:after="0" w:line="240" w:lineRule="auto"/>
              <w:jc w:val="center"/>
              <w:rPr>
                <w:szCs w:val="24"/>
              </w:rPr>
            </w:pPr>
          </w:p>
        </w:tc>
      </w:tr>
      <w:tr w:rsidR="00095EF3">
        <w:trPr>
          <w:jc w:val="center"/>
        </w:trPr>
        <w:tc>
          <w:tcPr>
            <w:tcW w:w="1216" w:type="dxa"/>
            <w:vMerge/>
            <w:tcBorders>
              <w:left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vAlign w:val="center"/>
          </w:tcPr>
          <w:p w:rsidR="00095EF3" w:rsidRDefault="00095EF3">
            <w:pPr>
              <w:widowControl w:val="0"/>
              <w:spacing w:beforeLines="0" w:afterLines="0" w:after="0" w:line="240" w:lineRule="auto"/>
              <w:jc w:val="center"/>
              <w:rPr>
                <w:szCs w:val="24"/>
              </w:rPr>
            </w:pP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Medium</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157.6810</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16.9940</w:t>
            </w:r>
          </w:p>
        </w:tc>
        <w:tc>
          <w:tcPr>
            <w:tcW w:w="1217" w:type="dxa"/>
            <w:vMerge/>
            <w:vAlign w:val="center"/>
          </w:tcPr>
          <w:p w:rsidR="00095EF3" w:rsidRDefault="00095EF3">
            <w:pPr>
              <w:widowControl w:val="0"/>
              <w:spacing w:beforeLines="0" w:afterLines="0" w:after="0" w:line="240" w:lineRule="auto"/>
              <w:jc w:val="center"/>
              <w:rPr>
                <w:szCs w:val="24"/>
              </w:rPr>
            </w:pPr>
          </w:p>
        </w:tc>
        <w:tc>
          <w:tcPr>
            <w:tcW w:w="1217" w:type="dxa"/>
            <w:vMerge/>
            <w:tcBorders>
              <w:right w:val="single" w:sz="18" w:space="0" w:color="000000"/>
            </w:tcBorders>
            <w:vAlign w:val="center"/>
          </w:tcPr>
          <w:p w:rsidR="00095EF3" w:rsidRDefault="00095EF3">
            <w:pPr>
              <w:widowControl w:val="0"/>
              <w:spacing w:beforeLines="0" w:afterLines="0" w:after="0" w:line="240" w:lineRule="auto"/>
              <w:jc w:val="center"/>
              <w:rPr>
                <w:szCs w:val="24"/>
              </w:rPr>
            </w:pPr>
          </w:p>
        </w:tc>
      </w:tr>
      <w:tr w:rsidR="00095EF3">
        <w:trPr>
          <w:jc w:val="center"/>
        </w:trPr>
        <w:tc>
          <w:tcPr>
            <w:tcW w:w="1216" w:type="dxa"/>
            <w:vMerge w:val="restart"/>
            <w:tcBorders>
              <w:left w:val="single" w:sz="18" w:space="0" w:color="000000"/>
            </w:tcBorders>
            <w:vAlign w:val="center"/>
          </w:tcPr>
          <w:p w:rsidR="00095EF3" w:rsidRDefault="00FE1FEC">
            <w:pPr>
              <w:widowControl w:val="0"/>
              <w:spacing w:beforeLines="0" w:afterLines="0" w:after="0" w:line="240" w:lineRule="auto"/>
              <w:jc w:val="center"/>
              <w:rPr>
                <w:szCs w:val="24"/>
              </w:rPr>
            </w:pPr>
            <w:proofErr w:type="spellStart"/>
            <w:r>
              <w:rPr>
                <w:rFonts w:hint="eastAsia"/>
                <w:szCs w:val="24"/>
              </w:rPr>
              <w:t>Enh</w:t>
            </w:r>
            <w:proofErr w:type="spellEnd"/>
            <w:r>
              <w:rPr>
                <w:rFonts w:hint="eastAsia"/>
                <w:szCs w:val="24"/>
              </w:rPr>
              <w:t>. Scheme 1</w:t>
            </w:r>
          </w:p>
        </w:tc>
        <w:tc>
          <w:tcPr>
            <w:tcW w:w="1216" w:type="dxa"/>
            <w:vMerge w:val="restart"/>
            <w:vAlign w:val="center"/>
          </w:tcPr>
          <w:p w:rsidR="00095EF3" w:rsidRDefault="00FE1FEC">
            <w:pPr>
              <w:widowControl w:val="0"/>
              <w:spacing w:beforeLines="0" w:afterLines="0" w:after="0" w:line="240" w:lineRule="auto"/>
              <w:jc w:val="center"/>
              <w:rPr>
                <w:szCs w:val="24"/>
              </w:rPr>
            </w:pPr>
            <w:r>
              <w:rPr>
                <w:rFonts w:hint="eastAsia"/>
                <w:szCs w:val="24"/>
              </w:rPr>
              <w:t>160ms</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Empty</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56.9568</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6.4481</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16.26%</w:t>
            </w:r>
          </w:p>
        </w:tc>
        <w:tc>
          <w:tcPr>
            <w:tcW w:w="1217" w:type="dxa"/>
            <w:tcBorders>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0.58%</w:t>
            </w:r>
          </w:p>
        </w:tc>
      </w:tr>
      <w:tr w:rsidR="00095EF3">
        <w:trPr>
          <w:jc w:val="center"/>
        </w:trPr>
        <w:tc>
          <w:tcPr>
            <w:tcW w:w="1216" w:type="dxa"/>
            <w:vMerge/>
            <w:tcBorders>
              <w:left w:val="single" w:sz="18" w:space="0" w:color="000000"/>
            </w:tcBorders>
          </w:tcPr>
          <w:p w:rsidR="00095EF3" w:rsidRDefault="00095EF3">
            <w:pPr>
              <w:widowControl w:val="0"/>
              <w:spacing w:beforeLines="0" w:afterLines="0" w:after="0" w:line="240" w:lineRule="auto"/>
              <w:rPr>
                <w:szCs w:val="24"/>
              </w:rPr>
            </w:pPr>
          </w:p>
        </w:tc>
        <w:tc>
          <w:tcPr>
            <w:tcW w:w="1216" w:type="dxa"/>
            <w:vMerge/>
          </w:tcPr>
          <w:p w:rsidR="00095EF3" w:rsidRDefault="00095EF3">
            <w:pPr>
              <w:widowControl w:val="0"/>
              <w:spacing w:beforeLines="0" w:afterLines="0" w:after="0" w:line="240" w:lineRule="auto"/>
              <w:rPr>
                <w:szCs w:val="24"/>
              </w:rPr>
            </w:pP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Low</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68.2288</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7.6786</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13.10%</w:t>
            </w:r>
          </w:p>
        </w:tc>
        <w:tc>
          <w:tcPr>
            <w:tcW w:w="1217" w:type="dxa"/>
            <w:tcBorders>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0.49%</w:t>
            </w:r>
          </w:p>
        </w:tc>
      </w:tr>
      <w:tr w:rsidR="00095EF3">
        <w:trPr>
          <w:jc w:val="center"/>
        </w:trPr>
        <w:tc>
          <w:tcPr>
            <w:tcW w:w="1216" w:type="dxa"/>
            <w:vMerge/>
            <w:tcBorders>
              <w:left w:val="single" w:sz="18" w:space="0" w:color="000000"/>
              <w:bottom w:val="single" w:sz="18" w:space="0" w:color="000000"/>
            </w:tcBorders>
          </w:tcPr>
          <w:p w:rsidR="00095EF3" w:rsidRDefault="00095EF3">
            <w:pPr>
              <w:widowControl w:val="0"/>
              <w:spacing w:beforeLines="0" w:afterLines="0" w:after="0" w:line="240" w:lineRule="auto"/>
              <w:rPr>
                <w:szCs w:val="24"/>
              </w:rPr>
            </w:pPr>
          </w:p>
        </w:tc>
        <w:tc>
          <w:tcPr>
            <w:tcW w:w="1216" w:type="dxa"/>
            <w:vMerge/>
            <w:tcBorders>
              <w:bottom w:val="single" w:sz="18" w:space="0" w:color="000000"/>
            </w:tcBorders>
          </w:tcPr>
          <w:p w:rsidR="00095EF3" w:rsidRDefault="00095EF3">
            <w:pPr>
              <w:widowControl w:val="0"/>
              <w:spacing w:beforeLines="0" w:afterLines="0" w:after="0" w:line="240" w:lineRule="auto"/>
              <w:rPr>
                <w:szCs w:val="24"/>
              </w:rPr>
            </w:pPr>
          </w:p>
        </w:tc>
        <w:tc>
          <w:tcPr>
            <w:tcW w:w="1217"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Medium</w:t>
            </w:r>
          </w:p>
        </w:tc>
        <w:tc>
          <w:tcPr>
            <w:tcW w:w="1217"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151.8456</w:t>
            </w:r>
          </w:p>
        </w:tc>
        <w:tc>
          <w:tcPr>
            <w:tcW w:w="1218"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16.9565</w:t>
            </w:r>
          </w:p>
        </w:tc>
        <w:tc>
          <w:tcPr>
            <w:tcW w:w="1217"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3.70%</w:t>
            </w:r>
          </w:p>
        </w:tc>
        <w:tc>
          <w:tcPr>
            <w:tcW w:w="1217" w:type="dxa"/>
            <w:tcBorders>
              <w:bottom w:val="single" w:sz="18" w:space="0" w:color="000000"/>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0.22%</w:t>
            </w:r>
          </w:p>
        </w:tc>
      </w:tr>
    </w:tbl>
    <w:p w:rsidR="00095EF3" w:rsidRDefault="00FE1FEC">
      <w:pPr>
        <w:pStyle w:val="YJ-Observation"/>
        <w:spacing w:before="120" w:after="120"/>
        <w:jc w:val="both"/>
        <w:rPr>
          <w:lang w:val="en-US" w:eastAsia="zh-CN"/>
        </w:rPr>
      </w:pPr>
      <w:bookmarkStart w:id="20" w:name="_Toc4444"/>
      <w:r>
        <w:rPr>
          <w:rFonts w:hint="eastAsia"/>
          <w:lang w:val="en-US" w:eastAsia="zh-CN"/>
        </w:rPr>
        <w:t>For Cat 1 base station, non-uniform SSB-RO mapping scheme can obtain the following range of NES gain from medium cell load to empty cell load:</w:t>
      </w:r>
      <w:bookmarkEnd w:id="20"/>
    </w:p>
    <w:p w:rsidR="00095EF3" w:rsidRDefault="00FE1FEC">
      <w:pPr>
        <w:pStyle w:val="YJ-Observation"/>
        <w:numPr>
          <w:ilvl w:val="1"/>
          <w:numId w:val="3"/>
        </w:numPr>
        <w:tabs>
          <w:tab w:val="clear" w:pos="840"/>
        </w:tabs>
        <w:spacing w:before="120" w:after="120"/>
        <w:jc w:val="both"/>
        <w:rPr>
          <w:lang w:val="en-US" w:eastAsia="zh-CN"/>
        </w:rPr>
      </w:pPr>
      <w:r>
        <w:rPr>
          <w:rFonts w:hint="eastAsia"/>
          <w:lang w:val="en-US" w:eastAsia="zh-CN"/>
        </w:rPr>
        <w:t xml:space="preserve"> </w:t>
      </w:r>
      <w:bookmarkStart w:id="21" w:name="_Toc19377"/>
      <w:r>
        <w:rPr>
          <w:rFonts w:hint="eastAsia"/>
          <w:lang w:val="en-US" w:eastAsia="zh-CN"/>
        </w:rPr>
        <w:t>3.32%~13.71% NES gain, when SIB1 periodicity is 20ms.</w:t>
      </w:r>
      <w:bookmarkEnd w:id="21"/>
    </w:p>
    <w:p w:rsidR="00095EF3" w:rsidRDefault="00FE1FEC">
      <w:pPr>
        <w:pStyle w:val="YJ-Observation"/>
        <w:numPr>
          <w:ilvl w:val="1"/>
          <w:numId w:val="3"/>
        </w:numPr>
        <w:tabs>
          <w:tab w:val="clear" w:pos="840"/>
        </w:tabs>
        <w:spacing w:before="120" w:after="120"/>
        <w:jc w:val="both"/>
        <w:rPr>
          <w:lang w:val="en-US" w:eastAsia="zh-CN"/>
        </w:rPr>
      </w:pPr>
      <w:bookmarkStart w:id="22" w:name="_Toc10839"/>
      <w:r>
        <w:rPr>
          <w:rFonts w:hint="eastAsia"/>
          <w:lang w:val="en-US" w:eastAsia="zh-CN"/>
        </w:rPr>
        <w:t>3.54%~15.06% NES gain, when SIB1 periodicity is 40ms.</w:t>
      </w:r>
      <w:bookmarkEnd w:id="22"/>
    </w:p>
    <w:p w:rsidR="00095EF3" w:rsidRDefault="00FE1FEC">
      <w:pPr>
        <w:pStyle w:val="YJ-Observation"/>
        <w:numPr>
          <w:ilvl w:val="1"/>
          <w:numId w:val="3"/>
        </w:numPr>
        <w:tabs>
          <w:tab w:val="clear" w:pos="840"/>
        </w:tabs>
        <w:spacing w:before="120" w:after="120"/>
        <w:jc w:val="both"/>
        <w:rPr>
          <w:lang w:val="en-US" w:eastAsia="zh-CN"/>
        </w:rPr>
      </w:pPr>
      <w:bookmarkStart w:id="23" w:name="_Toc22756"/>
      <w:r>
        <w:rPr>
          <w:rFonts w:hint="eastAsia"/>
          <w:lang w:val="en-US" w:eastAsia="zh-CN"/>
        </w:rPr>
        <w:t>3.70%~16.26% NES gain, when SIB1 periodicity is 160ms.</w:t>
      </w:r>
      <w:bookmarkEnd w:id="23"/>
    </w:p>
    <w:p w:rsidR="00095EF3" w:rsidRDefault="00FE1FEC">
      <w:pPr>
        <w:pStyle w:val="YJ-Observation"/>
        <w:spacing w:before="120" w:after="120"/>
        <w:jc w:val="both"/>
        <w:rPr>
          <w:lang w:val="en-US" w:eastAsia="zh-CN"/>
        </w:rPr>
      </w:pPr>
      <w:bookmarkStart w:id="24" w:name="_Toc21362"/>
      <w:r>
        <w:rPr>
          <w:rFonts w:hint="eastAsia"/>
          <w:lang w:val="en-US" w:eastAsia="zh-CN"/>
        </w:rPr>
        <w:t>For Cat 2 base station, non-uniform SSB-RO mapping scheme can obtain the following range of NES gain from medium cell load to empty cell load:</w:t>
      </w:r>
      <w:bookmarkEnd w:id="24"/>
    </w:p>
    <w:p w:rsidR="00095EF3" w:rsidRDefault="00FE1FEC">
      <w:pPr>
        <w:pStyle w:val="YJ-Observation"/>
        <w:numPr>
          <w:ilvl w:val="1"/>
          <w:numId w:val="3"/>
        </w:numPr>
        <w:tabs>
          <w:tab w:val="clear" w:pos="840"/>
        </w:tabs>
        <w:spacing w:before="120" w:after="120"/>
        <w:jc w:val="both"/>
        <w:rPr>
          <w:lang w:val="en-US" w:eastAsia="zh-CN"/>
        </w:rPr>
      </w:pPr>
      <w:bookmarkStart w:id="25" w:name="_Toc24596"/>
      <w:r>
        <w:rPr>
          <w:rFonts w:hint="eastAsia"/>
          <w:lang w:val="en-US" w:eastAsia="zh-CN"/>
        </w:rPr>
        <w:t>0.20%~0.47% NES gain, when SIB1 periodicity is 20ms.</w:t>
      </w:r>
      <w:bookmarkEnd w:id="25"/>
    </w:p>
    <w:p w:rsidR="00095EF3" w:rsidRDefault="00FE1FEC">
      <w:pPr>
        <w:pStyle w:val="YJ-Observation"/>
        <w:numPr>
          <w:ilvl w:val="1"/>
          <w:numId w:val="3"/>
        </w:numPr>
        <w:tabs>
          <w:tab w:val="clear" w:pos="840"/>
        </w:tabs>
        <w:spacing w:before="120" w:after="120"/>
        <w:jc w:val="both"/>
        <w:rPr>
          <w:lang w:val="en-US" w:eastAsia="zh-CN"/>
        </w:rPr>
      </w:pPr>
      <w:bookmarkStart w:id="26" w:name="_Toc22652"/>
      <w:r>
        <w:rPr>
          <w:rFonts w:hint="eastAsia"/>
          <w:lang w:val="en-US" w:eastAsia="zh-CN"/>
        </w:rPr>
        <w:t>0.21%~0.53% NES gain, when SIB1 periodicity is 40ms.</w:t>
      </w:r>
      <w:bookmarkEnd w:id="26"/>
    </w:p>
    <w:p w:rsidR="00095EF3" w:rsidRDefault="00FE1FEC">
      <w:pPr>
        <w:pStyle w:val="YJ-Observation"/>
        <w:numPr>
          <w:ilvl w:val="1"/>
          <w:numId w:val="3"/>
        </w:numPr>
        <w:tabs>
          <w:tab w:val="clear" w:pos="840"/>
        </w:tabs>
        <w:spacing w:before="120" w:after="120"/>
        <w:jc w:val="both"/>
        <w:rPr>
          <w:lang w:val="en-US" w:eastAsia="zh-CN"/>
        </w:rPr>
      </w:pPr>
      <w:bookmarkStart w:id="27" w:name="_Toc6855"/>
      <w:r>
        <w:rPr>
          <w:rFonts w:hint="eastAsia"/>
          <w:lang w:val="en-US" w:eastAsia="zh-CN"/>
        </w:rPr>
        <w:t>0.22%~0.58% NES gain, when SIB1 periodicity is 160ms</w:t>
      </w:r>
      <w:bookmarkEnd w:id="27"/>
    </w:p>
    <w:p w:rsidR="00095EF3" w:rsidRDefault="00FE1FEC">
      <w:pPr>
        <w:spacing w:before="120" w:after="120"/>
      </w:pPr>
      <w:r>
        <w:t xml:space="preserve">An alternative approach involves adapting the PRACH at the level of the association period. For instance, NES gain may result from disabling one or more association periods. As depicted in Figure 7, this approach can lead to the muting of 50% of the association periods. </w:t>
      </w:r>
      <w:r w:rsidR="00A82F1B">
        <w:t>W</w:t>
      </w:r>
      <w:r>
        <w:t>e present the accompanying simulation results in Table 2.</w:t>
      </w:r>
    </w:p>
    <w:p w:rsidR="00095EF3" w:rsidRDefault="00FE1FEC">
      <w:pPr>
        <w:spacing w:before="120" w:after="120"/>
      </w:pPr>
      <w:r>
        <w:rPr>
          <w:noProof/>
        </w:rPr>
        <w:drawing>
          <wp:inline distT="0" distB="0" distL="114300" distR="114300">
            <wp:extent cx="6123940" cy="1247140"/>
            <wp:effectExtent l="0" t="0" r="10160" b="1016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5"/>
                    <a:stretch>
                      <a:fillRect/>
                    </a:stretch>
                  </pic:blipFill>
                  <pic:spPr>
                    <a:xfrm>
                      <a:off x="0" y="0"/>
                      <a:ext cx="6123940" cy="1247140"/>
                    </a:xfrm>
                    <a:prstGeom prst="rect">
                      <a:avLst/>
                    </a:prstGeom>
                    <a:noFill/>
                    <a:ln>
                      <a:noFill/>
                    </a:ln>
                  </pic:spPr>
                </pic:pic>
              </a:graphicData>
            </a:graphic>
          </wp:inline>
        </w:drawing>
      </w:r>
    </w:p>
    <w:p w:rsidR="00095EF3" w:rsidRDefault="00FE1FEC">
      <w:pPr>
        <w:spacing w:before="120" w:after="120"/>
        <w:jc w:val="center"/>
      </w:pPr>
      <w:r>
        <w:rPr>
          <w:rFonts w:hint="eastAsia"/>
        </w:rPr>
        <w:t>Figure 7 Example of SSB-RO mapping adaptation at the level of association period.</w:t>
      </w:r>
    </w:p>
    <w:p w:rsidR="00095EF3" w:rsidRDefault="00FE1FEC">
      <w:pPr>
        <w:spacing w:before="120" w:after="120"/>
        <w:jc w:val="center"/>
      </w:pPr>
      <w:r>
        <w:rPr>
          <w:rFonts w:hint="eastAsia"/>
        </w:rPr>
        <w:t xml:space="preserve">Table 2 NES gain of spatial domain enhancement </w:t>
      </w:r>
      <w:r>
        <w:t>(S</w:t>
      </w:r>
      <w:r>
        <w:rPr>
          <w:rFonts w:hint="eastAsia"/>
        </w:rPr>
        <w:t>cheme 2: SSB-RO mapping adaptation at the level of association period)</w:t>
      </w:r>
    </w:p>
    <w:tbl>
      <w:tblPr>
        <w:tblStyle w:val="af3"/>
        <w:tblW w:w="0" w:type="auto"/>
        <w:jc w:val="center"/>
        <w:tblLook w:val="04A0" w:firstRow="1" w:lastRow="0" w:firstColumn="1" w:lastColumn="0" w:noHBand="0" w:noVBand="1"/>
      </w:tblPr>
      <w:tblGrid>
        <w:gridCol w:w="1216"/>
        <w:gridCol w:w="1216"/>
        <w:gridCol w:w="1217"/>
        <w:gridCol w:w="1217"/>
        <w:gridCol w:w="1218"/>
        <w:gridCol w:w="1217"/>
        <w:gridCol w:w="1217"/>
      </w:tblGrid>
      <w:tr w:rsidR="00095EF3">
        <w:trPr>
          <w:jc w:val="center"/>
        </w:trPr>
        <w:tc>
          <w:tcPr>
            <w:tcW w:w="1216" w:type="dxa"/>
            <w:vMerge w:val="restart"/>
            <w:shd w:val="clear" w:color="auto" w:fill="D7D7D7"/>
            <w:vAlign w:val="center"/>
          </w:tcPr>
          <w:p w:rsidR="00095EF3" w:rsidRDefault="00FE1FEC">
            <w:pPr>
              <w:widowControl w:val="0"/>
              <w:spacing w:beforeLines="0" w:afterLines="0" w:after="0" w:line="240" w:lineRule="auto"/>
              <w:jc w:val="center"/>
              <w:rPr>
                <w:szCs w:val="24"/>
              </w:rPr>
            </w:pPr>
            <w:r>
              <w:rPr>
                <w:rFonts w:hint="eastAsia"/>
                <w:szCs w:val="24"/>
              </w:rPr>
              <w:lastRenderedPageBreak/>
              <w:t>PRACH config.</w:t>
            </w:r>
          </w:p>
        </w:tc>
        <w:tc>
          <w:tcPr>
            <w:tcW w:w="1216" w:type="dxa"/>
            <w:vMerge w:val="restart"/>
            <w:shd w:val="clear" w:color="auto" w:fill="D7D7D7"/>
            <w:vAlign w:val="center"/>
          </w:tcPr>
          <w:p w:rsidR="00095EF3" w:rsidRDefault="00FE1FEC">
            <w:pPr>
              <w:widowControl w:val="0"/>
              <w:spacing w:beforeLines="0" w:afterLines="0" w:after="0" w:line="240" w:lineRule="auto"/>
              <w:jc w:val="center"/>
              <w:rPr>
                <w:szCs w:val="24"/>
              </w:rPr>
            </w:pPr>
            <w:r>
              <w:rPr>
                <w:rFonts w:hint="eastAsia"/>
                <w:szCs w:val="24"/>
              </w:rPr>
              <w:t>SIB1 periodicity</w:t>
            </w:r>
          </w:p>
        </w:tc>
        <w:tc>
          <w:tcPr>
            <w:tcW w:w="1217" w:type="dxa"/>
            <w:vMerge w:val="restart"/>
            <w:shd w:val="clear" w:color="auto" w:fill="D7D7D7"/>
            <w:vAlign w:val="center"/>
          </w:tcPr>
          <w:p w:rsidR="00095EF3" w:rsidRDefault="00FE1FEC">
            <w:pPr>
              <w:widowControl w:val="0"/>
              <w:spacing w:beforeLines="0" w:afterLines="0" w:after="0" w:line="240" w:lineRule="auto"/>
              <w:jc w:val="center"/>
              <w:rPr>
                <w:szCs w:val="24"/>
              </w:rPr>
            </w:pPr>
            <w:r>
              <w:rPr>
                <w:rFonts w:hint="eastAsia"/>
                <w:szCs w:val="24"/>
              </w:rPr>
              <w:t>Cell load</w:t>
            </w:r>
          </w:p>
        </w:tc>
        <w:tc>
          <w:tcPr>
            <w:tcW w:w="2435" w:type="dxa"/>
            <w:gridSpan w:val="2"/>
            <w:shd w:val="clear" w:color="auto" w:fill="D7D7D7"/>
            <w:vAlign w:val="center"/>
          </w:tcPr>
          <w:p w:rsidR="00095EF3" w:rsidRDefault="00FE1FEC">
            <w:pPr>
              <w:widowControl w:val="0"/>
              <w:spacing w:beforeLines="0" w:afterLines="0" w:after="0" w:line="240" w:lineRule="auto"/>
              <w:jc w:val="center"/>
              <w:rPr>
                <w:szCs w:val="24"/>
              </w:rPr>
            </w:pPr>
            <w:r>
              <w:rPr>
                <w:rFonts w:hint="eastAsia"/>
                <w:szCs w:val="24"/>
              </w:rPr>
              <w:t>Power consumption</w:t>
            </w:r>
          </w:p>
        </w:tc>
        <w:tc>
          <w:tcPr>
            <w:tcW w:w="2434" w:type="dxa"/>
            <w:gridSpan w:val="2"/>
            <w:shd w:val="clear" w:color="auto" w:fill="D7D7D7"/>
            <w:vAlign w:val="center"/>
          </w:tcPr>
          <w:p w:rsidR="00095EF3" w:rsidRDefault="00FE1FEC">
            <w:pPr>
              <w:widowControl w:val="0"/>
              <w:spacing w:beforeLines="0" w:afterLines="0" w:after="0" w:line="240" w:lineRule="auto"/>
              <w:jc w:val="center"/>
              <w:rPr>
                <w:szCs w:val="24"/>
              </w:rPr>
            </w:pPr>
            <w:r>
              <w:rPr>
                <w:rFonts w:hint="eastAsia"/>
                <w:szCs w:val="24"/>
              </w:rPr>
              <w:t>NES gain (%)</w:t>
            </w:r>
          </w:p>
        </w:tc>
      </w:tr>
      <w:tr w:rsidR="00095EF3">
        <w:trPr>
          <w:jc w:val="center"/>
        </w:trPr>
        <w:tc>
          <w:tcPr>
            <w:tcW w:w="1216" w:type="dxa"/>
            <w:vMerge/>
            <w:tcBorders>
              <w:bottom w:val="single" w:sz="18" w:space="0" w:color="000000"/>
            </w:tcBorders>
            <w:shd w:val="clear" w:color="auto" w:fill="D7D7D7"/>
            <w:vAlign w:val="center"/>
          </w:tcPr>
          <w:p w:rsidR="00095EF3" w:rsidRDefault="00095EF3">
            <w:pPr>
              <w:widowControl w:val="0"/>
              <w:spacing w:beforeLines="0" w:afterLines="0" w:after="0" w:line="240" w:lineRule="auto"/>
              <w:jc w:val="center"/>
              <w:rPr>
                <w:szCs w:val="24"/>
              </w:rPr>
            </w:pPr>
          </w:p>
        </w:tc>
        <w:tc>
          <w:tcPr>
            <w:tcW w:w="1216" w:type="dxa"/>
            <w:vMerge/>
            <w:tcBorders>
              <w:bottom w:val="single" w:sz="18" w:space="0" w:color="000000"/>
            </w:tcBorders>
            <w:shd w:val="clear" w:color="auto" w:fill="D7D7D7"/>
            <w:vAlign w:val="center"/>
          </w:tcPr>
          <w:p w:rsidR="00095EF3" w:rsidRDefault="00095EF3">
            <w:pPr>
              <w:widowControl w:val="0"/>
              <w:spacing w:beforeLines="0" w:afterLines="0" w:after="0" w:line="240" w:lineRule="auto"/>
              <w:jc w:val="center"/>
              <w:rPr>
                <w:szCs w:val="24"/>
              </w:rPr>
            </w:pPr>
          </w:p>
        </w:tc>
        <w:tc>
          <w:tcPr>
            <w:tcW w:w="1217" w:type="dxa"/>
            <w:vMerge/>
            <w:tcBorders>
              <w:bottom w:val="single" w:sz="18" w:space="0" w:color="000000"/>
            </w:tcBorders>
            <w:shd w:val="clear" w:color="auto" w:fill="D7D7D7"/>
            <w:vAlign w:val="center"/>
          </w:tcPr>
          <w:p w:rsidR="00095EF3" w:rsidRDefault="00095EF3">
            <w:pPr>
              <w:widowControl w:val="0"/>
              <w:spacing w:beforeLines="0" w:afterLines="0" w:after="0" w:line="240" w:lineRule="auto"/>
              <w:jc w:val="center"/>
              <w:rPr>
                <w:szCs w:val="24"/>
              </w:rPr>
            </w:pPr>
          </w:p>
        </w:tc>
        <w:tc>
          <w:tcPr>
            <w:tcW w:w="1217" w:type="dxa"/>
            <w:tcBorders>
              <w:bottom w:val="single" w:sz="18" w:space="0" w:color="000000"/>
            </w:tcBorders>
            <w:shd w:val="clear" w:color="auto" w:fill="D7D7D7"/>
            <w:vAlign w:val="center"/>
          </w:tcPr>
          <w:p w:rsidR="00095EF3" w:rsidRDefault="00FE1FEC">
            <w:pPr>
              <w:widowControl w:val="0"/>
              <w:spacing w:beforeLines="0" w:afterLines="0" w:after="0" w:line="240" w:lineRule="auto"/>
              <w:jc w:val="center"/>
              <w:rPr>
                <w:szCs w:val="24"/>
              </w:rPr>
            </w:pPr>
            <w:r>
              <w:rPr>
                <w:rFonts w:hint="eastAsia"/>
                <w:szCs w:val="24"/>
              </w:rPr>
              <w:t>Cat 1</w:t>
            </w:r>
          </w:p>
        </w:tc>
        <w:tc>
          <w:tcPr>
            <w:tcW w:w="1218" w:type="dxa"/>
            <w:tcBorders>
              <w:bottom w:val="single" w:sz="18" w:space="0" w:color="000000"/>
            </w:tcBorders>
            <w:shd w:val="clear" w:color="auto" w:fill="D7D7D7"/>
            <w:vAlign w:val="center"/>
          </w:tcPr>
          <w:p w:rsidR="00095EF3" w:rsidRDefault="00FE1FEC">
            <w:pPr>
              <w:widowControl w:val="0"/>
              <w:spacing w:beforeLines="0" w:afterLines="0" w:after="0" w:line="240" w:lineRule="auto"/>
              <w:jc w:val="center"/>
              <w:rPr>
                <w:szCs w:val="24"/>
              </w:rPr>
            </w:pPr>
            <w:r>
              <w:rPr>
                <w:rFonts w:hint="eastAsia"/>
                <w:szCs w:val="24"/>
              </w:rPr>
              <w:t>Cat 2</w:t>
            </w:r>
          </w:p>
        </w:tc>
        <w:tc>
          <w:tcPr>
            <w:tcW w:w="1217" w:type="dxa"/>
            <w:tcBorders>
              <w:bottom w:val="single" w:sz="18" w:space="0" w:color="000000"/>
            </w:tcBorders>
            <w:shd w:val="clear" w:color="auto" w:fill="D7D7D7"/>
            <w:vAlign w:val="center"/>
          </w:tcPr>
          <w:p w:rsidR="00095EF3" w:rsidRDefault="00FE1FEC">
            <w:pPr>
              <w:widowControl w:val="0"/>
              <w:spacing w:beforeLines="0" w:afterLines="0" w:after="0" w:line="240" w:lineRule="auto"/>
              <w:jc w:val="center"/>
              <w:rPr>
                <w:szCs w:val="24"/>
              </w:rPr>
            </w:pPr>
            <w:r>
              <w:rPr>
                <w:rFonts w:hint="eastAsia"/>
                <w:szCs w:val="24"/>
              </w:rPr>
              <w:t>Cat 1</w:t>
            </w:r>
          </w:p>
        </w:tc>
        <w:tc>
          <w:tcPr>
            <w:tcW w:w="1217" w:type="dxa"/>
            <w:tcBorders>
              <w:bottom w:val="single" w:sz="18" w:space="0" w:color="000000"/>
            </w:tcBorders>
            <w:shd w:val="clear" w:color="auto" w:fill="D7D7D7"/>
            <w:vAlign w:val="center"/>
          </w:tcPr>
          <w:p w:rsidR="00095EF3" w:rsidRDefault="00FE1FEC">
            <w:pPr>
              <w:widowControl w:val="0"/>
              <w:spacing w:beforeLines="0" w:afterLines="0" w:after="0" w:line="240" w:lineRule="auto"/>
              <w:jc w:val="center"/>
              <w:rPr>
                <w:szCs w:val="24"/>
              </w:rPr>
            </w:pPr>
            <w:r>
              <w:rPr>
                <w:rFonts w:hint="eastAsia"/>
                <w:szCs w:val="24"/>
              </w:rPr>
              <w:t>Cat 2</w:t>
            </w:r>
          </w:p>
        </w:tc>
      </w:tr>
      <w:tr w:rsidR="00095EF3">
        <w:trPr>
          <w:jc w:val="center"/>
        </w:trPr>
        <w:tc>
          <w:tcPr>
            <w:tcW w:w="1216" w:type="dxa"/>
            <w:vMerge w:val="restart"/>
            <w:tcBorders>
              <w:top w:val="single" w:sz="18" w:space="0" w:color="000000"/>
              <w:lef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Legacy</w:t>
            </w:r>
          </w:p>
        </w:tc>
        <w:tc>
          <w:tcPr>
            <w:tcW w:w="1216" w:type="dxa"/>
            <w:vMerge w:val="restart"/>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20ms</w:t>
            </w:r>
          </w:p>
        </w:tc>
        <w:tc>
          <w:tcPr>
            <w:tcW w:w="1217" w:type="dxa"/>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Empty</w:t>
            </w:r>
          </w:p>
        </w:tc>
        <w:tc>
          <w:tcPr>
            <w:tcW w:w="1217" w:type="dxa"/>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80.6838</w:t>
            </w:r>
          </w:p>
        </w:tc>
        <w:tc>
          <w:tcPr>
            <w:tcW w:w="1218" w:type="dxa"/>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7.9772</w:t>
            </w:r>
          </w:p>
        </w:tc>
        <w:tc>
          <w:tcPr>
            <w:tcW w:w="1217" w:type="dxa"/>
            <w:vMerge w:val="restart"/>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N/A</w:t>
            </w:r>
          </w:p>
        </w:tc>
        <w:tc>
          <w:tcPr>
            <w:tcW w:w="1217" w:type="dxa"/>
            <w:vMerge w:val="restart"/>
            <w:tcBorders>
              <w:top w:val="single" w:sz="18" w:space="0" w:color="000000"/>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N/A</w:t>
            </w:r>
          </w:p>
        </w:tc>
      </w:tr>
      <w:tr w:rsidR="00095EF3">
        <w:trPr>
          <w:jc w:val="center"/>
        </w:trPr>
        <w:tc>
          <w:tcPr>
            <w:tcW w:w="1216" w:type="dxa"/>
            <w:vMerge/>
            <w:tcBorders>
              <w:left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vAlign w:val="center"/>
          </w:tcPr>
          <w:p w:rsidR="00095EF3" w:rsidRDefault="00095EF3">
            <w:pPr>
              <w:widowControl w:val="0"/>
              <w:spacing w:beforeLines="0" w:afterLines="0" w:after="0" w:line="240" w:lineRule="auto"/>
              <w:jc w:val="center"/>
              <w:rPr>
                <w:szCs w:val="24"/>
              </w:rPr>
            </w:pP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Low</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91.8495</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9.2815</w:t>
            </w:r>
          </w:p>
        </w:tc>
        <w:tc>
          <w:tcPr>
            <w:tcW w:w="1217" w:type="dxa"/>
            <w:vMerge/>
            <w:vAlign w:val="center"/>
          </w:tcPr>
          <w:p w:rsidR="00095EF3" w:rsidRDefault="00095EF3">
            <w:pPr>
              <w:widowControl w:val="0"/>
              <w:spacing w:beforeLines="0" w:afterLines="0" w:after="0" w:line="240" w:lineRule="auto"/>
              <w:jc w:val="center"/>
              <w:rPr>
                <w:szCs w:val="24"/>
              </w:rPr>
            </w:pPr>
          </w:p>
        </w:tc>
        <w:tc>
          <w:tcPr>
            <w:tcW w:w="1217" w:type="dxa"/>
            <w:vMerge/>
            <w:tcBorders>
              <w:right w:val="single" w:sz="18" w:space="0" w:color="000000"/>
            </w:tcBorders>
            <w:vAlign w:val="center"/>
          </w:tcPr>
          <w:p w:rsidR="00095EF3" w:rsidRDefault="00095EF3">
            <w:pPr>
              <w:widowControl w:val="0"/>
              <w:spacing w:beforeLines="0" w:afterLines="0" w:after="0" w:line="240" w:lineRule="auto"/>
              <w:jc w:val="center"/>
              <w:rPr>
                <w:szCs w:val="24"/>
              </w:rPr>
            </w:pPr>
          </w:p>
        </w:tc>
      </w:tr>
      <w:tr w:rsidR="00095EF3">
        <w:trPr>
          <w:jc w:val="center"/>
        </w:trPr>
        <w:tc>
          <w:tcPr>
            <w:tcW w:w="1216" w:type="dxa"/>
            <w:vMerge/>
            <w:tcBorders>
              <w:left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vAlign w:val="center"/>
          </w:tcPr>
          <w:p w:rsidR="00095EF3" w:rsidRDefault="00095EF3">
            <w:pPr>
              <w:widowControl w:val="0"/>
              <w:spacing w:beforeLines="0" w:afterLines="0" w:after="0" w:line="240" w:lineRule="auto"/>
              <w:jc w:val="center"/>
              <w:rPr>
                <w:szCs w:val="24"/>
              </w:rPr>
            </w:pP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Medium</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175.5477</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19.0578</w:t>
            </w:r>
          </w:p>
        </w:tc>
        <w:tc>
          <w:tcPr>
            <w:tcW w:w="1217" w:type="dxa"/>
            <w:vMerge/>
            <w:vAlign w:val="center"/>
          </w:tcPr>
          <w:p w:rsidR="00095EF3" w:rsidRDefault="00095EF3">
            <w:pPr>
              <w:widowControl w:val="0"/>
              <w:spacing w:beforeLines="0" w:afterLines="0" w:after="0" w:line="240" w:lineRule="auto"/>
              <w:jc w:val="center"/>
              <w:rPr>
                <w:szCs w:val="24"/>
              </w:rPr>
            </w:pPr>
          </w:p>
        </w:tc>
        <w:tc>
          <w:tcPr>
            <w:tcW w:w="1217" w:type="dxa"/>
            <w:vMerge/>
            <w:tcBorders>
              <w:right w:val="single" w:sz="18" w:space="0" w:color="000000"/>
            </w:tcBorders>
            <w:vAlign w:val="center"/>
          </w:tcPr>
          <w:p w:rsidR="00095EF3" w:rsidRDefault="00095EF3">
            <w:pPr>
              <w:widowControl w:val="0"/>
              <w:spacing w:beforeLines="0" w:afterLines="0" w:after="0" w:line="240" w:lineRule="auto"/>
              <w:jc w:val="center"/>
              <w:rPr>
                <w:szCs w:val="24"/>
              </w:rPr>
            </w:pPr>
          </w:p>
        </w:tc>
      </w:tr>
      <w:tr w:rsidR="00095EF3">
        <w:trPr>
          <w:jc w:val="center"/>
        </w:trPr>
        <w:tc>
          <w:tcPr>
            <w:tcW w:w="1216" w:type="dxa"/>
            <w:vMerge w:val="restart"/>
            <w:tcBorders>
              <w:left w:val="single" w:sz="18" w:space="0" w:color="000000"/>
            </w:tcBorders>
            <w:vAlign w:val="center"/>
          </w:tcPr>
          <w:p w:rsidR="00095EF3" w:rsidRDefault="00FE1FEC">
            <w:pPr>
              <w:widowControl w:val="0"/>
              <w:spacing w:beforeLines="0" w:afterLines="0" w:after="0" w:line="240" w:lineRule="auto"/>
              <w:jc w:val="center"/>
              <w:rPr>
                <w:szCs w:val="24"/>
              </w:rPr>
            </w:pPr>
            <w:proofErr w:type="spellStart"/>
            <w:r>
              <w:rPr>
                <w:rFonts w:hint="eastAsia"/>
                <w:szCs w:val="24"/>
              </w:rPr>
              <w:t>Enh</w:t>
            </w:r>
            <w:proofErr w:type="spellEnd"/>
            <w:r>
              <w:rPr>
                <w:rFonts w:hint="eastAsia"/>
                <w:szCs w:val="24"/>
              </w:rPr>
              <w:t>. Scheme 2</w:t>
            </w:r>
          </w:p>
        </w:tc>
        <w:tc>
          <w:tcPr>
            <w:tcW w:w="1216" w:type="dxa"/>
            <w:vMerge w:val="restart"/>
            <w:vAlign w:val="center"/>
          </w:tcPr>
          <w:p w:rsidR="00095EF3" w:rsidRDefault="00FE1FEC">
            <w:pPr>
              <w:widowControl w:val="0"/>
              <w:spacing w:beforeLines="0" w:afterLines="0" w:after="0" w:line="240" w:lineRule="auto"/>
              <w:jc w:val="center"/>
              <w:rPr>
                <w:szCs w:val="24"/>
              </w:rPr>
            </w:pPr>
            <w:r>
              <w:rPr>
                <w:rFonts w:hint="eastAsia"/>
                <w:szCs w:val="24"/>
              </w:rPr>
              <w:t>20ms</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Empty</w:t>
            </w:r>
          </w:p>
        </w:tc>
        <w:tc>
          <w:tcPr>
            <w:tcW w:w="1217" w:type="dxa"/>
            <w:vAlign w:val="center"/>
          </w:tcPr>
          <w:p w:rsidR="00095EF3" w:rsidRDefault="00FE1FEC">
            <w:pPr>
              <w:widowControl w:val="0"/>
              <w:spacing w:beforeLines="0" w:afterLines="0" w:after="0" w:line="240" w:lineRule="auto"/>
              <w:jc w:val="center"/>
              <w:rPr>
                <w:szCs w:val="24"/>
              </w:rPr>
            </w:pPr>
            <w:r>
              <w:rPr>
                <w:szCs w:val="24"/>
              </w:rPr>
              <w:t>68.5588</w:t>
            </w:r>
          </w:p>
        </w:tc>
        <w:tc>
          <w:tcPr>
            <w:tcW w:w="1218" w:type="dxa"/>
            <w:vAlign w:val="center"/>
          </w:tcPr>
          <w:p w:rsidR="00095EF3" w:rsidRDefault="00FE1FEC">
            <w:pPr>
              <w:widowControl w:val="0"/>
              <w:spacing w:beforeLines="0" w:afterLines="0" w:after="0" w:line="240" w:lineRule="auto"/>
              <w:jc w:val="center"/>
              <w:rPr>
                <w:szCs w:val="24"/>
              </w:rPr>
            </w:pPr>
            <w:r>
              <w:rPr>
                <w:szCs w:val="24"/>
              </w:rPr>
              <w:t>7.9272</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15.03%</w:t>
            </w:r>
          </w:p>
        </w:tc>
        <w:tc>
          <w:tcPr>
            <w:tcW w:w="1217" w:type="dxa"/>
            <w:tcBorders>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0.62%</w:t>
            </w:r>
          </w:p>
        </w:tc>
      </w:tr>
      <w:tr w:rsidR="00095EF3">
        <w:trPr>
          <w:jc w:val="center"/>
        </w:trPr>
        <w:tc>
          <w:tcPr>
            <w:tcW w:w="1216" w:type="dxa"/>
            <w:vMerge/>
            <w:tcBorders>
              <w:left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vAlign w:val="center"/>
          </w:tcPr>
          <w:p w:rsidR="00095EF3" w:rsidRDefault="00095EF3">
            <w:pPr>
              <w:widowControl w:val="0"/>
              <w:spacing w:beforeLines="0" w:afterLines="0" w:after="0" w:line="240" w:lineRule="auto"/>
              <w:jc w:val="center"/>
              <w:rPr>
                <w:szCs w:val="24"/>
              </w:rPr>
            </w:pP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Low</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80.5499</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9.2315</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12.30%</w:t>
            </w:r>
          </w:p>
        </w:tc>
        <w:tc>
          <w:tcPr>
            <w:tcW w:w="1217" w:type="dxa"/>
            <w:tcBorders>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0.54%</w:t>
            </w:r>
          </w:p>
        </w:tc>
      </w:tr>
      <w:tr w:rsidR="00095EF3">
        <w:trPr>
          <w:jc w:val="center"/>
        </w:trPr>
        <w:tc>
          <w:tcPr>
            <w:tcW w:w="1216" w:type="dxa"/>
            <w:vMerge/>
            <w:tcBorders>
              <w:left w:val="single" w:sz="18" w:space="0" w:color="000000"/>
              <w:bottom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tcBorders>
              <w:bottom w:val="single" w:sz="18" w:space="0" w:color="000000"/>
            </w:tcBorders>
            <w:vAlign w:val="center"/>
          </w:tcPr>
          <w:p w:rsidR="00095EF3" w:rsidRDefault="00095EF3">
            <w:pPr>
              <w:widowControl w:val="0"/>
              <w:spacing w:beforeLines="0" w:afterLines="0" w:after="0" w:line="240" w:lineRule="auto"/>
              <w:jc w:val="center"/>
              <w:rPr>
                <w:szCs w:val="24"/>
              </w:rPr>
            </w:pPr>
          </w:p>
        </w:tc>
        <w:tc>
          <w:tcPr>
            <w:tcW w:w="1217"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Medium</w:t>
            </w:r>
          </w:p>
        </w:tc>
        <w:tc>
          <w:tcPr>
            <w:tcW w:w="1217"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168.8584</w:t>
            </w:r>
          </w:p>
        </w:tc>
        <w:tc>
          <w:tcPr>
            <w:tcW w:w="1218"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19.0078</w:t>
            </w:r>
          </w:p>
        </w:tc>
        <w:tc>
          <w:tcPr>
            <w:tcW w:w="1217"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3.81%</w:t>
            </w:r>
          </w:p>
        </w:tc>
        <w:tc>
          <w:tcPr>
            <w:tcW w:w="1217" w:type="dxa"/>
            <w:tcBorders>
              <w:bottom w:val="single" w:sz="18" w:space="0" w:color="000000"/>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0.26%</w:t>
            </w:r>
          </w:p>
        </w:tc>
      </w:tr>
      <w:tr w:rsidR="00095EF3">
        <w:trPr>
          <w:jc w:val="center"/>
        </w:trPr>
        <w:tc>
          <w:tcPr>
            <w:tcW w:w="1216" w:type="dxa"/>
            <w:vMerge w:val="restart"/>
            <w:tcBorders>
              <w:top w:val="single" w:sz="18" w:space="0" w:color="000000"/>
              <w:lef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Legacy</w:t>
            </w:r>
          </w:p>
        </w:tc>
        <w:tc>
          <w:tcPr>
            <w:tcW w:w="1216" w:type="dxa"/>
            <w:vMerge w:val="restart"/>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40ms</w:t>
            </w:r>
          </w:p>
        </w:tc>
        <w:tc>
          <w:tcPr>
            <w:tcW w:w="1217" w:type="dxa"/>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Empty</w:t>
            </w:r>
          </w:p>
        </w:tc>
        <w:tc>
          <w:tcPr>
            <w:tcW w:w="1217" w:type="dxa"/>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73.4470</w:t>
            </w:r>
          </w:p>
        </w:tc>
        <w:tc>
          <w:tcPr>
            <w:tcW w:w="1218" w:type="dxa"/>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7.1249</w:t>
            </w:r>
          </w:p>
        </w:tc>
        <w:tc>
          <w:tcPr>
            <w:tcW w:w="1217" w:type="dxa"/>
            <w:vMerge w:val="restart"/>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N/A</w:t>
            </w:r>
          </w:p>
        </w:tc>
        <w:tc>
          <w:tcPr>
            <w:tcW w:w="1217" w:type="dxa"/>
            <w:vMerge w:val="restart"/>
            <w:tcBorders>
              <w:top w:val="single" w:sz="18" w:space="0" w:color="000000"/>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N/A</w:t>
            </w:r>
          </w:p>
        </w:tc>
      </w:tr>
      <w:tr w:rsidR="00095EF3">
        <w:trPr>
          <w:jc w:val="center"/>
        </w:trPr>
        <w:tc>
          <w:tcPr>
            <w:tcW w:w="1216" w:type="dxa"/>
            <w:vMerge/>
            <w:tcBorders>
              <w:left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vAlign w:val="center"/>
          </w:tcPr>
          <w:p w:rsidR="00095EF3" w:rsidRDefault="00095EF3">
            <w:pPr>
              <w:widowControl w:val="0"/>
              <w:spacing w:beforeLines="0" w:afterLines="0" w:after="0" w:line="240" w:lineRule="auto"/>
              <w:jc w:val="center"/>
              <w:rPr>
                <w:szCs w:val="24"/>
              </w:rPr>
            </w:pP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Low</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84.1762</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8.3807</w:t>
            </w:r>
          </w:p>
        </w:tc>
        <w:tc>
          <w:tcPr>
            <w:tcW w:w="1217" w:type="dxa"/>
            <w:vMerge/>
            <w:vAlign w:val="center"/>
          </w:tcPr>
          <w:p w:rsidR="00095EF3" w:rsidRDefault="00095EF3">
            <w:pPr>
              <w:widowControl w:val="0"/>
              <w:spacing w:beforeLines="0" w:afterLines="0" w:after="0" w:line="240" w:lineRule="auto"/>
              <w:jc w:val="center"/>
              <w:rPr>
                <w:szCs w:val="24"/>
              </w:rPr>
            </w:pPr>
          </w:p>
        </w:tc>
        <w:tc>
          <w:tcPr>
            <w:tcW w:w="1217" w:type="dxa"/>
            <w:vMerge/>
            <w:tcBorders>
              <w:right w:val="single" w:sz="18" w:space="0" w:color="000000"/>
            </w:tcBorders>
            <w:vAlign w:val="center"/>
          </w:tcPr>
          <w:p w:rsidR="00095EF3" w:rsidRDefault="00095EF3">
            <w:pPr>
              <w:widowControl w:val="0"/>
              <w:spacing w:beforeLines="0" w:afterLines="0" w:after="0" w:line="240" w:lineRule="auto"/>
              <w:jc w:val="center"/>
              <w:rPr>
                <w:szCs w:val="24"/>
              </w:rPr>
            </w:pPr>
          </w:p>
        </w:tc>
      </w:tr>
      <w:tr w:rsidR="00095EF3">
        <w:trPr>
          <w:jc w:val="center"/>
        </w:trPr>
        <w:tc>
          <w:tcPr>
            <w:tcW w:w="1216" w:type="dxa"/>
            <w:vMerge/>
            <w:tcBorders>
              <w:left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vAlign w:val="center"/>
          </w:tcPr>
          <w:p w:rsidR="00095EF3" w:rsidRDefault="00095EF3">
            <w:pPr>
              <w:widowControl w:val="0"/>
              <w:spacing w:beforeLines="0" w:afterLines="0" w:after="0" w:line="240" w:lineRule="auto"/>
              <w:jc w:val="center"/>
              <w:rPr>
                <w:szCs w:val="24"/>
              </w:rPr>
            </w:pP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Medium</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165.0097</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17.8404</w:t>
            </w:r>
          </w:p>
        </w:tc>
        <w:tc>
          <w:tcPr>
            <w:tcW w:w="1217" w:type="dxa"/>
            <w:vMerge/>
            <w:vAlign w:val="center"/>
          </w:tcPr>
          <w:p w:rsidR="00095EF3" w:rsidRDefault="00095EF3">
            <w:pPr>
              <w:widowControl w:val="0"/>
              <w:spacing w:beforeLines="0" w:afterLines="0" w:after="0" w:line="240" w:lineRule="auto"/>
              <w:jc w:val="center"/>
              <w:rPr>
                <w:szCs w:val="24"/>
              </w:rPr>
            </w:pPr>
          </w:p>
        </w:tc>
        <w:tc>
          <w:tcPr>
            <w:tcW w:w="1217" w:type="dxa"/>
            <w:vMerge/>
            <w:tcBorders>
              <w:right w:val="single" w:sz="18" w:space="0" w:color="000000"/>
            </w:tcBorders>
            <w:vAlign w:val="center"/>
          </w:tcPr>
          <w:p w:rsidR="00095EF3" w:rsidRDefault="00095EF3">
            <w:pPr>
              <w:widowControl w:val="0"/>
              <w:spacing w:beforeLines="0" w:afterLines="0" w:after="0" w:line="240" w:lineRule="auto"/>
              <w:jc w:val="center"/>
              <w:rPr>
                <w:szCs w:val="24"/>
              </w:rPr>
            </w:pPr>
          </w:p>
        </w:tc>
      </w:tr>
      <w:tr w:rsidR="00095EF3">
        <w:trPr>
          <w:jc w:val="center"/>
        </w:trPr>
        <w:tc>
          <w:tcPr>
            <w:tcW w:w="1216" w:type="dxa"/>
            <w:vMerge w:val="restart"/>
            <w:tcBorders>
              <w:left w:val="single" w:sz="18" w:space="0" w:color="000000"/>
            </w:tcBorders>
            <w:vAlign w:val="center"/>
          </w:tcPr>
          <w:p w:rsidR="00095EF3" w:rsidRDefault="00FE1FEC">
            <w:pPr>
              <w:widowControl w:val="0"/>
              <w:spacing w:beforeLines="0" w:afterLines="0" w:after="0" w:line="240" w:lineRule="auto"/>
              <w:jc w:val="center"/>
              <w:rPr>
                <w:szCs w:val="24"/>
              </w:rPr>
            </w:pPr>
            <w:proofErr w:type="spellStart"/>
            <w:r>
              <w:rPr>
                <w:rFonts w:hint="eastAsia"/>
                <w:szCs w:val="24"/>
              </w:rPr>
              <w:t>Enh</w:t>
            </w:r>
            <w:proofErr w:type="spellEnd"/>
            <w:r>
              <w:rPr>
                <w:rFonts w:hint="eastAsia"/>
                <w:szCs w:val="24"/>
              </w:rPr>
              <w:t>. Scheme 2</w:t>
            </w:r>
          </w:p>
        </w:tc>
        <w:tc>
          <w:tcPr>
            <w:tcW w:w="1216" w:type="dxa"/>
            <w:vMerge w:val="restart"/>
            <w:vAlign w:val="center"/>
          </w:tcPr>
          <w:p w:rsidR="00095EF3" w:rsidRDefault="00FE1FEC">
            <w:pPr>
              <w:widowControl w:val="0"/>
              <w:spacing w:beforeLines="0" w:afterLines="0" w:after="0" w:line="240" w:lineRule="auto"/>
              <w:jc w:val="center"/>
              <w:rPr>
                <w:szCs w:val="24"/>
              </w:rPr>
            </w:pPr>
            <w:r>
              <w:rPr>
                <w:rFonts w:hint="eastAsia"/>
                <w:szCs w:val="24"/>
              </w:rPr>
              <w:t>40ms</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Empty</w:t>
            </w:r>
          </w:p>
        </w:tc>
        <w:tc>
          <w:tcPr>
            <w:tcW w:w="1217" w:type="dxa"/>
            <w:vAlign w:val="center"/>
          </w:tcPr>
          <w:p w:rsidR="00095EF3" w:rsidRDefault="00FE1FEC">
            <w:pPr>
              <w:widowControl w:val="0"/>
              <w:spacing w:beforeLines="0" w:afterLines="0" w:after="0" w:line="240" w:lineRule="auto"/>
              <w:jc w:val="center"/>
              <w:rPr>
                <w:szCs w:val="24"/>
              </w:rPr>
            </w:pPr>
            <w:r>
              <w:rPr>
                <w:szCs w:val="24"/>
              </w:rPr>
              <w:t>60.384</w:t>
            </w:r>
            <w:r>
              <w:rPr>
                <w:rFonts w:hint="eastAsia"/>
                <w:szCs w:val="24"/>
              </w:rPr>
              <w:t>5</w:t>
            </w:r>
          </w:p>
        </w:tc>
        <w:tc>
          <w:tcPr>
            <w:tcW w:w="1218" w:type="dxa"/>
            <w:vAlign w:val="center"/>
          </w:tcPr>
          <w:p w:rsidR="00095EF3" w:rsidRDefault="00FE1FEC">
            <w:pPr>
              <w:widowControl w:val="0"/>
              <w:spacing w:beforeLines="0" w:afterLines="0" w:after="0" w:line="240" w:lineRule="auto"/>
              <w:jc w:val="center"/>
              <w:rPr>
                <w:szCs w:val="24"/>
              </w:rPr>
            </w:pPr>
            <w:r>
              <w:rPr>
                <w:rFonts w:hint="eastAsia"/>
              </w:rPr>
              <w:t>7.0749</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17.78%</w:t>
            </w:r>
          </w:p>
        </w:tc>
        <w:tc>
          <w:tcPr>
            <w:tcW w:w="1217" w:type="dxa"/>
            <w:tcBorders>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0.70%</w:t>
            </w:r>
          </w:p>
        </w:tc>
      </w:tr>
      <w:tr w:rsidR="00095EF3">
        <w:trPr>
          <w:trHeight w:val="219"/>
          <w:jc w:val="center"/>
        </w:trPr>
        <w:tc>
          <w:tcPr>
            <w:tcW w:w="1216" w:type="dxa"/>
            <w:vMerge/>
            <w:tcBorders>
              <w:left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vAlign w:val="center"/>
          </w:tcPr>
          <w:p w:rsidR="00095EF3" w:rsidRDefault="00095EF3">
            <w:pPr>
              <w:widowControl w:val="0"/>
              <w:spacing w:beforeLines="0" w:afterLines="0" w:after="0" w:line="240" w:lineRule="auto"/>
              <w:jc w:val="center"/>
              <w:rPr>
                <w:szCs w:val="24"/>
              </w:rPr>
            </w:pP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Low</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72.0356</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8.3307</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14.42%</w:t>
            </w:r>
          </w:p>
        </w:tc>
        <w:tc>
          <w:tcPr>
            <w:tcW w:w="1217" w:type="dxa"/>
            <w:tcBorders>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0.60%</w:t>
            </w:r>
          </w:p>
        </w:tc>
      </w:tr>
      <w:tr w:rsidR="00095EF3">
        <w:trPr>
          <w:jc w:val="center"/>
        </w:trPr>
        <w:tc>
          <w:tcPr>
            <w:tcW w:w="1216" w:type="dxa"/>
            <w:vMerge/>
            <w:tcBorders>
              <w:left w:val="single" w:sz="18" w:space="0" w:color="000000"/>
              <w:bottom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tcBorders>
              <w:bottom w:val="single" w:sz="18" w:space="0" w:color="000000"/>
            </w:tcBorders>
            <w:vAlign w:val="center"/>
          </w:tcPr>
          <w:p w:rsidR="00095EF3" w:rsidRDefault="00095EF3">
            <w:pPr>
              <w:widowControl w:val="0"/>
              <w:spacing w:beforeLines="0" w:afterLines="0" w:after="0" w:line="240" w:lineRule="auto"/>
              <w:jc w:val="center"/>
              <w:rPr>
                <w:szCs w:val="24"/>
              </w:rPr>
            </w:pPr>
          </w:p>
        </w:tc>
        <w:tc>
          <w:tcPr>
            <w:tcW w:w="1217"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Medium</w:t>
            </w:r>
          </w:p>
        </w:tc>
        <w:tc>
          <w:tcPr>
            <w:tcW w:w="1217"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157.8320</w:t>
            </w:r>
          </w:p>
        </w:tc>
        <w:tc>
          <w:tcPr>
            <w:tcW w:w="1218"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17.7904</w:t>
            </w:r>
          </w:p>
        </w:tc>
        <w:tc>
          <w:tcPr>
            <w:tcW w:w="1217"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4.35%</w:t>
            </w:r>
          </w:p>
        </w:tc>
        <w:tc>
          <w:tcPr>
            <w:tcW w:w="1217" w:type="dxa"/>
            <w:tcBorders>
              <w:bottom w:val="single" w:sz="18" w:space="0" w:color="000000"/>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0.28%</w:t>
            </w:r>
          </w:p>
        </w:tc>
      </w:tr>
      <w:tr w:rsidR="00095EF3">
        <w:trPr>
          <w:jc w:val="center"/>
        </w:trPr>
        <w:tc>
          <w:tcPr>
            <w:tcW w:w="1216" w:type="dxa"/>
            <w:vMerge w:val="restart"/>
            <w:tcBorders>
              <w:top w:val="single" w:sz="18" w:space="0" w:color="000000"/>
              <w:lef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Legacy</w:t>
            </w:r>
          </w:p>
        </w:tc>
        <w:tc>
          <w:tcPr>
            <w:tcW w:w="1216" w:type="dxa"/>
            <w:vMerge w:val="restart"/>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160ms</w:t>
            </w:r>
          </w:p>
        </w:tc>
        <w:tc>
          <w:tcPr>
            <w:tcW w:w="1217" w:type="dxa"/>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Empty</w:t>
            </w:r>
          </w:p>
        </w:tc>
        <w:tc>
          <w:tcPr>
            <w:tcW w:w="1217" w:type="dxa"/>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68.0193</w:t>
            </w:r>
          </w:p>
        </w:tc>
        <w:tc>
          <w:tcPr>
            <w:tcW w:w="1218" w:type="dxa"/>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6.4856</w:t>
            </w:r>
          </w:p>
        </w:tc>
        <w:tc>
          <w:tcPr>
            <w:tcW w:w="1217" w:type="dxa"/>
            <w:vMerge w:val="restart"/>
            <w:tcBorders>
              <w:top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N/A</w:t>
            </w:r>
          </w:p>
        </w:tc>
        <w:tc>
          <w:tcPr>
            <w:tcW w:w="1217" w:type="dxa"/>
            <w:vMerge w:val="restart"/>
            <w:tcBorders>
              <w:top w:val="single" w:sz="18" w:space="0" w:color="000000"/>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N/A</w:t>
            </w:r>
          </w:p>
        </w:tc>
      </w:tr>
      <w:tr w:rsidR="00095EF3">
        <w:trPr>
          <w:jc w:val="center"/>
        </w:trPr>
        <w:tc>
          <w:tcPr>
            <w:tcW w:w="1216" w:type="dxa"/>
            <w:vMerge/>
            <w:tcBorders>
              <w:left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vAlign w:val="center"/>
          </w:tcPr>
          <w:p w:rsidR="00095EF3" w:rsidRDefault="00095EF3">
            <w:pPr>
              <w:widowControl w:val="0"/>
              <w:spacing w:beforeLines="0" w:afterLines="0" w:after="0" w:line="240" w:lineRule="auto"/>
              <w:jc w:val="center"/>
              <w:rPr>
                <w:szCs w:val="24"/>
              </w:rPr>
            </w:pP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Low</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78.5154</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7.7161</w:t>
            </w:r>
          </w:p>
        </w:tc>
        <w:tc>
          <w:tcPr>
            <w:tcW w:w="1217" w:type="dxa"/>
            <w:vMerge/>
            <w:vAlign w:val="center"/>
          </w:tcPr>
          <w:p w:rsidR="00095EF3" w:rsidRDefault="00095EF3">
            <w:pPr>
              <w:widowControl w:val="0"/>
              <w:spacing w:beforeLines="0" w:afterLines="0" w:after="0" w:line="240" w:lineRule="auto"/>
              <w:jc w:val="center"/>
              <w:rPr>
                <w:szCs w:val="24"/>
              </w:rPr>
            </w:pPr>
          </w:p>
        </w:tc>
        <w:tc>
          <w:tcPr>
            <w:tcW w:w="1217" w:type="dxa"/>
            <w:vMerge/>
            <w:tcBorders>
              <w:right w:val="single" w:sz="18" w:space="0" w:color="000000"/>
            </w:tcBorders>
            <w:vAlign w:val="center"/>
          </w:tcPr>
          <w:p w:rsidR="00095EF3" w:rsidRDefault="00095EF3">
            <w:pPr>
              <w:widowControl w:val="0"/>
              <w:spacing w:beforeLines="0" w:afterLines="0" w:after="0" w:line="240" w:lineRule="auto"/>
              <w:jc w:val="center"/>
              <w:rPr>
                <w:szCs w:val="24"/>
              </w:rPr>
            </w:pPr>
          </w:p>
        </w:tc>
      </w:tr>
      <w:tr w:rsidR="00095EF3">
        <w:trPr>
          <w:jc w:val="center"/>
        </w:trPr>
        <w:tc>
          <w:tcPr>
            <w:tcW w:w="1216" w:type="dxa"/>
            <w:vMerge/>
            <w:tcBorders>
              <w:left w:val="single" w:sz="18" w:space="0" w:color="000000"/>
            </w:tcBorders>
            <w:vAlign w:val="center"/>
          </w:tcPr>
          <w:p w:rsidR="00095EF3" w:rsidRDefault="00095EF3">
            <w:pPr>
              <w:widowControl w:val="0"/>
              <w:spacing w:beforeLines="0" w:afterLines="0" w:after="0" w:line="240" w:lineRule="auto"/>
              <w:jc w:val="center"/>
              <w:rPr>
                <w:szCs w:val="24"/>
              </w:rPr>
            </w:pPr>
          </w:p>
        </w:tc>
        <w:tc>
          <w:tcPr>
            <w:tcW w:w="1216" w:type="dxa"/>
            <w:vMerge/>
            <w:vAlign w:val="center"/>
          </w:tcPr>
          <w:p w:rsidR="00095EF3" w:rsidRDefault="00095EF3">
            <w:pPr>
              <w:widowControl w:val="0"/>
              <w:spacing w:beforeLines="0" w:afterLines="0" w:after="0" w:line="240" w:lineRule="auto"/>
              <w:jc w:val="center"/>
              <w:rPr>
                <w:szCs w:val="24"/>
              </w:rPr>
            </w:pP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Medium</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157.6810</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16.9940</w:t>
            </w:r>
          </w:p>
        </w:tc>
        <w:tc>
          <w:tcPr>
            <w:tcW w:w="1217" w:type="dxa"/>
            <w:vMerge/>
            <w:vAlign w:val="center"/>
          </w:tcPr>
          <w:p w:rsidR="00095EF3" w:rsidRDefault="00095EF3">
            <w:pPr>
              <w:widowControl w:val="0"/>
              <w:spacing w:beforeLines="0" w:afterLines="0" w:after="0" w:line="240" w:lineRule="auto"/>
              <w:jc w:val="center"/>
              <w:rPr>
                <w:szCs w:val="24"/>
              </w:rPr>
            </w:pPr>
          </w:p>
        </w:tc>
        <w:tc>
          <w:tcPr>
            <w:tcW w:w="1217" w:type="dxa"/>
            <w:vMerge/>
            <w:tcBorders>
              <w:right w:val="single" w:sz="18" w:space="0" w:color="000000"/>
            </w:tcBorders>
            <w:vAlign w:val="center"/>
          </w:tcPr>
          <w:p w:rsidR="00095EF3" w:rsidRDefault="00095EF3">
            <w:pPr>
              <w:widowControl w:val="0"/>
              <w:spacing w:beforeLines="0" w:afterLines="0" w:after="0" w:line="240" w:lineRule="auto"/>
              <w:jc w:val="center"/>
              <w:rPr>
                <w:szCs w:val="24"/>
              </w:rPr>
            </w:pPr>
          </w:p>
        </w:tc>
      </w:tr>
      <w:tr w:rsidR="00095EF3">
        <w:trPr>
          <w:jc w:val="center"/>
        </w:trPr>
        <w:tc>
          <w:tcPr>
            <w:tcW w:w="1216" w:type="dxa"/>
            <w:vMerge w:val="restart"/>
            <w:tcBorders>
              <w:left w:val="single" w:sz="18" w:space="0" w:color="000000"/>
            </w:tcBorders>
            <w:vAlign w:val="center"/>
          </w:tcPr>
          <w:p w:rsidR="00095EF3" w:rsidRDefault="00FE1FEC">
            <w:pPr>
              <w:widowControl w:val="0"/>
              <w:spacing w:beforeLines="0" w:afterLines="0" w:after="0" w:line="240" w:lineRule="auto"/>
              <w:jc w:val="center"/>
              <w:rPr>
                <w:szCs w:val="24"/>
              </w:rPr>
            </w:pPr>
            <w:proofErr w:type="spellStart"/>
            <w:r>
              <w:rPr>
                <w:rFonts w:hint="eastAsia"/>
                <w:szCs w:val="24"/>
              </w:rPr>
              <w:t>Enh</w:t>
            </w:r>
            <w:proofErr w:type="spellEnd"/>
            <w:r>
              <w:rPr>
                <w:rFonts w:hint="eastAsia"/>
                <w:szCs w:val="24"/>
              </w:rPr>
              <w:t>. Scheme 2</w:t>
            </w:r>
          </w:p>
        </w:tc>
        <w:tc>
          <w:tcPr>
            <w:tcW w:w="1216" w:type="dxa"/>
            <w:vMerge w:val="restart"/>
            <w:vAlign w:val="center"/>
          </w:tcPr>
          <w:p w:rsidR="00095EF3" w:rsidRDefault="00FE1FEC">
            <w:pPr>
              <w:widowControl w:val="0"/>
              <w:spacing w:beforeLines="0" w:afterLines="0" w:after="0" w:line="240" w:lineRule="auto"/>
              <w:jc w:val="center"/>
              <w:rPr>
                <w:szCs w:val="24"/>
              </w:rPr>
            </w:pPr>
            <w:r>
              <w:rPr>
                <w:rFonts w:hint="eastAsia"/>
                <w:szCs w:val="24"/>
              </w:rPr>
              <w:t>160ms</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Empty</w:t>
            </w:r>
          </w:p>
        </w:tc>
        <w:tc>
          <w:tcPr>
            <w:tcW w:w="1217" w:type="dxa"/>
            <w:vAlign w:val="center"/>
          </w:tcPr>
          <w:p w:rsidR="00095EF3" w:rsidRDefault="00FE1FEC">
            <w:pPr>
              <w:widowControl w:val="0"/>
              <w:spacing w:beforeLines="0" w:afterLines="0" w:after="0" w:line="240" w:lineRule="auto"/>
              <w:jc w:val="center"/>
              <w:rPr>
                <w:szCs w:val="24"/>
              </w:rPr>
            </w:pPr>
            <w:r>
              <w:rPr>
                <w:szCs w:val="24"/>
              </w:rPr>
              <w:t>54.258</w:t>
            </w:r>
            <w:r>
              <w:rPr>
                <w:rFonts w:hint="eastAsia"/>
                <w:szCs w:val="24"/>
              </w:rPr>
              <w:t>4</w:t>
            </w:r>
          </w:p>
        </w:tc>
        <w:tc>
          <w:tcPr>
            <w:tcW w:w="1218" w:type="dxa"/>
            <w:vAlign w:val="center"/>
          </w:tcPr>
          <w:p w:rsidR="00095EF3" w:rsidRDefault="00FE1FEC">
            <w:pPr>
              <w:widowControl w:val="0"/>
              <w:spacing w:beforeLines="0" w:afterLines="0" w:after="0" w:line="240" w:lineRule="auto"/>
              <w:jc w:val="center"/>
              <w:rPr>
                <w:szCs w:val="24"/>
              </w:rPr>
            </w:pPr>
            <w:r>
              <w:rPr>
                <w:szCs w:val="24"/>
              </w:rPr>
              <w:t>6.4356</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20.23%</w:t>
            </w:r>
          </w:p>
        </w:tc>
        <w:tc>
          <w:tcPr>
            <w:tcW w:w="1217" w:type="dxa"/>
            <w:tcBorders>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0.77%</w:t>
            </w:r>
          </w:p>
        </w:tc>
      </w:tr>
      <w:tr w:rsidR="00095EF3">
        <w:trPr>
          <w:trHeight w:val="243"/>
          <w:jc w:val="center"/>
        </w:trPr>
        <w:tc>
          <w:tcPr>
            <w:tcW w:w="1216" w:type="dxa"/>
            <w:vMerge/>
            <w:tcBorders>
              <w:left w:val="single" w:sz="18" w:space="0" w:color="000000"/>
            </w:tcBorders>
          </w:tcPr>
          <w:p w:rsidR="00095EF3" w:rsidRDefault="00095EF3">
            <w:pPr>
              <w:widowControl w:val="0"/>
              <w:spacing w:beforeLines="0" w:afterLines="0" w:after="0" w:line="240" w:lineRule="auto"/>
              <w:rPr>
                <w:szCs w:val="24"/>
              </w:rPr>
            </w:pPr>
          </w:p>
        </w:tc>
        <w:tc>
          <w:tcPr>
            <w:tcW w:w="1216" w:type="dxa"/>
            <w:vMerge/>
          </w:tcPr>
          <w:p w:rsidR="00095EF3" w:rsidRDefault="00095EF3">
            <w:pPr>
              <w:widowControl w:val="0"/>
              <w:spacing w:beforeLines="0" w:afterLines="0" w:after="0" w:line="240" w:lineRule="auto"/>
              <w:rPr>
                <w:szCs w:val="24"/>
              </w:rPr>
            </w:pP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Low</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65.7865</w:t>
            </w:r>
          </w:p>
        </w:tc>
        <w:tc>
          <w:tcPr>
            <w:tcW w:w="1218" w:type="dxa"/>
            <w:vAlign w:val="center"/>
          </w:tcPr>
          <w:p w:rsidR="00095EF3" w:rsidRDefault="00FE1FEC">
            <w:pPr>
              <w:widowControl w:val="0"/>
              <w:spacing w:beforeLines="0" w:afterLines="0" w:after="0" w:line="240" w:lineRule="auto"/>
              <w:jc w:val="center"/>
              <w:rPr>
                <w:szCs w:val="24"/>
              </w:rPr>
            </w:pPr>
            <w:r>
              <w:rPr>
                <w:rFonts w:hint="eastAsia"/>
                <w:szCs w:val="24"/>
              </w:rPr>
              <w:t>7.6661</w:t>
            </w:r>
          </w:p>
        </w:tc>
        <w:tc>
          <w:tcPr>
            <w:tcW w:w="1217" w:type="dxa"/>
            <w:vAlign w:val="center"/>
          </w:tcPr>
          <w:p w:rsidR="00095EF3" w:rsidRDefault="00FE1FEC">
            <w:pPr>
              <w:widowControl w:val="0"/>
              <w:spacing w:beforeLines="0" w:afterLines="0" w:after="0" w:line="240" w:lineRule="auto"/>
              <w:jc w:val="center"/>
              <w:rPr>
                <w:szCs w:val="24"/>
              </w:rPr>
            </w:pPr>
            <w:r>
              <w:rPr>
                <w:rFonts w:hint="eastAsia"/>
                <w:szCs w:val="24"/>
              </w:rPr>
              <w:t>16.21%</w:t>
            </w:r>
          </w:p>
        </w:tc>
        <w:tc>
          <w:tcPr>
            <w:tcW w:w="1217" w:type="dxa"/>
            <w:tcBorders>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0.65%</w:t>
            </w:r>
          </w:p>
        </w:tc>
      </w:tr>
      <w:tr w:rsidR="00095EF3">
        <w:trPr>
          <w:jc w:val="center"/>
        </w:trPr>
        <w:tc>
          <w:tcPr>
            <w:tcW w:w="1216" w:type="dxa"/>
            <w:vMerge/>
            <w:tcBorders>
              <w:left w:val="single" w:sz="18" w:space="0" w:color="000000"/>
              <w:bottom w:val="single" w:sz="18" w:space="0" w:color="000000"/>
            </w:tcBorders>
          </w:tcPr>
          <w:p w:rsidR="00095EF3" w:rsidRDefault="00095EF3">
            <w:pPr>
              <w:widowControl w:val="0"/>
              <w:spacing w:beforeLines="0" w:afterLines="0" w:after="0" w:line="240" w:lineRule="auto"/>
              <w:rPr>
                <w:szCs w:val="24"/>
              </w:rPr>
            </w:pPr>
          </w:p>
        </w:tc>
        <w:tc>
          <w:tcPr>
            <w:tcW w:w="1216" w:type="dxa"/>
            <w:vMerge/>
            <w:tcBorders>
              <w:bottom w:val="single" w:sz="18" w:space="0" w:color="000000"/>
            </w:tcBorders>
          </w:tcPr>
          <w:p w:rsidR="00095EF3" w:rsidRDefault="00095EF3">
            <w:pPr>
              <w:widowControl w:val="0"/>
              <w:spacing w:beforeLines="0" w:afterLines="0" w:after="0" w:line="240" w:lineRule="auto"/>
              <w:rPr>
                <w:szCs w:val="24"/>
              </w:rPr>
            </w:pPr>
          </w:p>
        </w:tc>
        <w:tc>
          <w:tcPr>
            <w:tcW w:w="1217"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Medium</w:t>
            </w:r>
          </w:p>
        </w:tc>
        <w:tc>
          <w:tcPr>
            <w:tcW w:w="1217"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150.1474</w:t>
            </w:r>
          </w:p>
        </w:tc>
        <w:tc>
          <w:tcPr>
            <w:tcW w:w="1218"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16.9440</w:t>
            </w:r>
          </w:p>
        </w:tc>
        <w:tc>
          <w:tcPr>
            <w:tcW w:w="1217" w:type="dxa"/>
            <w:tcBorders>
              <w:bottom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4.78%</w:t>
            </w:r>
          </w:p>
        </w:tc>
        <w:tc>
          <w:tcPr>
            <w:tcW w:w="1217" w:type="dxa"/>
            <w:tcBorders>
              <w:bottom w:val="single" w:sz="18" w:space="0" w:color="000000"/>
              <w:right w:val="single" w:sz="18" w:space="0" w:color="000000"/>
            </w:tcBorders>
            <w:vAlign w:val="center"/>
          </w:tcPr>
          <w:p w:rsidR="00095EF3" w:rsidRDefault="00FE1FEC">
            <w:pPr>
              <w:widowControl w:val="0"/>
              <w:spacing w:beforeLines="0" w:afterLines="0" w:after="0" w:line="240" w:lineRule="auto"/>
              <w:jc w:val="center"/>
              <w:rPr>
                <w:szCs w:val="24"/>
              </w:rPr>
            </w:pPr>
            <w:r>
              <w:rPr>
                <w:rFonts w:hint="eastAsia"/>
                <w:szCs w:val="24"/>
              </w:rPr>
              <w:t>0.29%</w:t>
            </w:r>
          </w:p>
        </w:tc>
      </w:tr>
    </w:tbl>
    <w:p w:rsidR="00095EF3" w:rsidRDefault="00FE1FEC">
      <w:pPr>
        <w:pStyle w:val="YJ-Observation"/>
        <w:spacing w:before="120" w:after="120"/>
        <w:jc w:val="both"/>
        <w:rPr>
          <w:lang w:val="en-US" w:eastAsia="zh-CN"/>
        </w:rPr>
      </w:pPr>
      <w:bookmarkStart w:id="28" w:name="_Toc32269"/>
      <w:r>
        <w:rPr>
          <w:rFonts w:hint="eastAsia"/>
          <w:lang w:val="en-US" w:eastAsia="zh-CN"/>
        </w:rPr>
        <w:t xml:space="preserve">For Cat 1 base station, </w:t>
      </w:r>
      <w:r>
        <w:rPr>
          <w:rFonts w:hint="eastAsia"/>
        </w:rPr>
        <w:t>SSB-RO mapping adaptation</w:t>
      </w:r>
      <w:r>
        <w:rPr>
          <w:rFonts w:hint="eastAsia"/>
          <w:lang w:val="en-US" w:eastAsia="zh-CN"/>
        </w:rPr>
        <w:t xml:space="preserve"> at the level of </w:t>
      </w:r>
      <w:r>
        <w:rPr>
          <w:rFonts w:hint="eastAsia"/>
        </w:rPr>
        <w:t>association period</w:t>
      </w:r>
      <w:r>
        <w:rPr>
          <w:rFonts w:eastAsia="宋体" w:hint="eastAsia"/>
          <w:lang w:val="en-US" w:eastAsia="zh-CN"/>
        </w:rPr>
        <w:t xml:space="preserve"> </w:t>
      </w:r>
      <w:r>
        <w:rPr>
          <w:rFonts w:hint="eastAsia"/>
          <w:lang w:val="en-US" w:eastAsia="zh-CN"/>
        </w:rPr>
        <w:t>scheme can obtain the following range of NES gain from medium cell load to empty cell load:</w:t>
      </w:r>
      <w:bookmarkEnd w:id="28"/>
    </w:p>
    <w:p w:rsidR="00095EF3" w:rsidRDefault="00FE1FEC">
      <w:pPr>
        <w:pStyle w:val="YJ-Observation"/>
        <w:numPr>
          <w:ilvl w:val="1"/>
          <w:numId w:val="3"/>
        </w:numPr>
        <w:tabs>
          <w:tab w:val="clear" w:pos="840"/>
        </w:tabs>
        <w:spacing w:before="120" w:after="120"/>
        <w:jc w:val="both"/>
        <w:rPr>
          <w:lang w:val="en-US" w:eastAsia="zh-CN"/>
        </w:rPr>
      </w:pPr>
      <w:bookmarkStart w:id="29" w:name="_Toc4025"/>
      <w:r>
        <w:rPr>
          <w:rFonts w:hint="eastAsia"/>
          <w:lang w:val="en-US" w:eastAsia="zh-CN"/>
        </w:rPr>
        <w:t>3.81%~15.03% NES gain, when SIB1 periodicity is 20ms.</w:t>
      </w:r>
      <w:bookmarkEnd w:id="29"/>
    </w:p>
    <w:p w:rsidR="00095EF3" w:rsidRDefault="00FE1FEC">
      <w:pPr>
        <w:pStyle w:val="YJ-Observation"/>
        <w:numPr>
          <w:ilvl w:val="1"/>
          <w:numId w:val="3"/>
        </w:numPr>
        <w:tabs>
          <w:tab w:val="clear" w:pos="840"/>
        </w:tabs>
        <w:spacing w:before="120" w:after="120"/>
        <w:jc w:val="both"/>
        <w:rPr>
          <w:lang w:val="en-US" w:eastAsia="zh-CN"/>
        </w:rPr>
      </w:pPr>
      <w:bookmarkStart w:id="30" w:name="_Toc14953"/>
      <w:r>
        <w:rPr>
          <w:rFonts w:hint="eastAsia"/>
          <w:lang w:val="en-US" w:eastAsia="zh-CN"/>
        </w:rPr>
        <w:t>4.35%~17.78% NES gain, when SIB1 periodicity is 40ms.</w:t>
      </w:r>
      <w:bookmarkEnd w:id="30"/>
    </w:p>
    <w:p w:rsidR="00095EF3" w:rsidRDefault="00FE1FEC">
      <w:pPr>
        <w:pStyle w:val="YJ-Observation"/>
        <w:numPr>
          <w:ilvl w:val="1"/>
          <w:numId w:val="3"/>
        </w:numPr>
        <w:tabs>
          <w:tab w:val="clear" w:pos="840"/>
        </w:tabs>
        <w:spacing w:before="120" w:after="120"/>
        <w:jc w:val="both"/>
        <w:rPr>
          <w:lang w:val="en-US" w:eastAsia="zh-CN"/>
        </w:rPr>
      </w:pPr>
      <w:bookmarkStart w:id="31" w:name="_Toc9390"/>
      <w:r>
        <w:rPr>
          <w:rFonts w:hint="eastAsia"/>
          <w:lang w:val="en-US" w:eastAsia="zh-CN"/>
        </w:rPr>
        <w:t>4.78%~20.23% NES gain, when SIB1 periodicity is 160ms.</w:t>
      </w:r>
      <w:bookmarkEnd w:id="31"/>
    </w:p>
    <w:p w:rsidR="00095EF3" w:rsidRDefault="00FE1FEC">
      <w:pPr>
        <w:pStyle w:val="YJ-Observation"/>
        <w:spacing w:before="120" w:after="120"/>
        <w:jc w:val="both"/>
        <w:rPr>
          <w:lang w:val="en-US" w:eastAsia="zh-CN"/>
        </w:rPr>
      </w:pPr>
      <w:bookmarkStart w:id="32" w:name="_Toc19090"/>
      <w:r>
        <w:rPr>
          <w:rFonts w:hint="eastAsia"/>
          <w:lang w:val="en-US" w:eastAsia="zh-CN"/>
        </w:rPr>
        <w:t xml:space="preserve">For Cat 2 base station, </w:t>
      </w:r>
      <w:r>
        <w:rPr>
          <w:rFonts w:hint="eastAsia"/>
        </w:rPr>
        <w:t>SSB-RO mapping adaptation</w:t>
      </w:r>
      <w:r>
        <w:rPr>
          <w:rFonts w:hint="eastAsia"/>
          <w:lang w:val="en-US" w:eastAsia="zh-CN"/>
        </w:rPr>
        <w:t xml:space="preserve"> at the level of </w:t>
      </w:r>
      <w:r>
        <w:rPr>
          <w:rFonts w:hint="eastAsia"/>
        </w:rPr>
        <w:t>association period</w:t>
      </w:r>
      <w:r>
        <w:rPr>
          <w:rFonts w:eastAsia="宋体" w:hint="eastAsia"/>
          <w:lang w:val="en-US" w:eastAsia="zh-CN"/>
        </w:rPr>
        <w:t xml:space="preserve"> </w:t>
      </w:r>
      <w:r>
        <w:rPr>
          <w:rFonts w:hint="eastAsia"/>
          <w:lang w:val="en-US" w:eastAsia="zh-CN"/>
        </w:rPr>
        <w:t>scheme can obtain the following range of NES gain from medium cell load to empty cell load:</w:t>
      </w:r>
      <w:bookmarkEnd w:id="32"/>
    </w:p>
    <w:p w:rsidR="00095EF3" w:rsidRDefault="00FE1FEC">
      <w:pPr>
        <w:pStyle w:val="YJ-Observation"/>
        <w:numPr>
          <w:ilvl w:val="1"/>
          <w:numId w:val="3"/>
        </w:numPr>
        <w:tabs>
          <w:tab w:val="clear" w:pos="840"/>
        </w:tabs>
        <w:spacing w:before="120" w:after="120"/>
        <w:jc w:val="both"/>
        <w:rPr>
          <w:lang w:val="en-US" w:eastAsia="zh-CN"/>
        </w:rPr>
      </w:pPr>
      <w:bookmarkStart w:id="33" w:name="_Toc32708"/>
      <w:r>
        <w:rPr>
          <w:rFonts w:hint="eastAsia"/>
          <w:lang w:val="en-US" w:eastAsia="zh-CN"/>
        </w:rPr>
        <w:t>0.26%~0.62% NES gain, when SIB1 periodicity is 20ms.</w:t>
      </w:r>
      <w:bookmarkEnd w:id="33"/>
    </w:p>
    <w:p w:rsidR="00095EF3" w:rsidRDefault="00FE1FEC">
      <w:pPr>
        <w:pStyle w:val="YJ-Observation"/>
        <w:numPr>
          <w:ilvl w:val="1"/>
          <w:numId w:val="3"/>
        </w:numPr>
        <w:tabs>
          <w:tab w:val="clear" w:pos="840"/>
        </w:tabs>
        <w:spacing w:before="120" w:after="120"/>
        <w:jc w:val="both"/>
        <w:rPr>
          <w:lang w:val="en-US" w:eastAsia="zh-CN"/>
        </w:rPr>
      </w:pPr>
      <w:bookmarkStart w:id="34" w:name="_Toc11458"/>
      <w:r>
        <w:rPr>
          <w:rFonts w:hint="eastAsia"/>
          <w:lang w:val="en-US" w:eastAsia="zh-CN"/>
        </w:rPr>
        <w:t>0.28%~0.70% NES gain, when SIB1 periodicity is 40ms.</w:t>
      </w:r>
      <w:bookmarkEnd w:id="34"/>
    </w:p>
    <w:p w:rsidR="00095EF3" w:rsidRDefault="00FE1FEC">
      <w:pPr>
        <w:pStyle w:val="YJ-Observation"/>
        <w:numPr>
          <w:ilvl w:val="1"/>
          <w:numId w:val="3"/>
        </w:numPr>
        <w:tabs>
          <w:tab w:val="clear" w:pos="840"/>
        </w:tabs>
        <w:spacing w:before="120" w:after="120"/>
        <w:jc w:val="both"/>
        <w:rPr>
          <w:lang w:val="en-US" w:eastAsia="zh-CN"/>
        </w:rPr>
      </w:pPr>
      <w:bookmarkStart w:id="35" w:name="_Toc15482"/>
      <w:r>
        <w:rPr>
          <w:rFonts w:hint="eastAsia"/>
          <w:lang w:val="en-US" w:eastAsia="zh-CN"/>
        </w:rPr>
        <w:t>0.29%~0.77% NES gain, when SIB1 periodicity is 160ms</w:t>
      </w:r>
      <w:bookmarkEnd w:id="35"/>
    </w:p>
    <w:p w:rsidR="00095EF3" w:rsidRDefault="00FE1FEC">
      <w:pPr>
        <w:spacing w:before="120" w:after="120"/>
      </w:pPr>
      <w:r>
        <w:rPr>
          <w:rFonts w:hint="eastAsia"/>
        </w:rPr>
        <w:t xml:space="preserve">Besides, when accounting for scenarios where multiple SSB-RO mapping cycles exist in one association period, the SSB-RO mapping adaptation at the level of the SSB-RO mapping cycles is also able to yield significant NES gain. </w:t>
      </w:r>
    </w:p>
    <w:p w:rsidR="00095EF3" w:rsidRDefault="00FE1FEC">
      <w:pPr>
        <w:spacing w:before="120" w:after="120"/>
      </w:pPr>
      <w:r>
        <w:rPr>
          <w:rFonts w:hint="eastAsia"/>
        </w:rPr>
        <w:t>To this end, based on the simulation results, we have the following proposal:</w:t>
      </w:r>
    </w:p>
    <w:p w:rsidR="00095EF3" w:rsidRDefault="00FE1FEC">
      <w:pPr>
        <w:pStyle w:val="YJ-Proposal"/>
        <w:spacing w:before="120" w:after="120"/>
        <w:jc w:val="both"/>
        <w:rPr>
          <w:lang w:val="en-US" w:eastAsia="zh-CN"/>
        </w:rPr>
      </w:pPr>
      <w:bookmarkStart w:id="36" w:name="_Toc19144"/>
      <w:r>
        <w:rPr>
          <w:rFonts w:hint="eastAsia"/>
          <w:lang w:val="en-US" w:eastAsia="zh-CN"/>
        </w:rPr>
        <w:t>Study mechanisms for PRACH adaptation in spatial domain</w:t>
      </w:r>
      <w:r>
        <w:rPr>
          <w:lang w:val="en-US" w:eastAsia="zh-CN"/>
        </w:rPr>
        <w:t xml:space="preserve"> including</w:t>
      </w:r>
      <w:bookmarkEnd w:id="36"/>
      <w:r>
        <w:rPr>
          <w:rFonts w:hint="eastAsia"/>
          <w:lang w:val="en-US" w:eastAsia="zh-CN"/>
        </w:rPr>
        <w:t xml:space="preserve"> </w:t>
      </w:r>
    </w:p>
    <w:p w:rsidR="00095EF3" w:rsidRDefault="00FE1FEC">
      <w:pPr>
        <w:pStyle w:val="YJ-Proposal"/>
        <w:numPr>
          <w:ilvl w:val="1"/>
          <w:numId w:val="4"/>
        </w:numPr>
        <w:spacing w:before="120" w:after="120"/>
        <w:jc w:val="both"/>
        <w:rPr>
          <w:lang w:val="en-US" w:eastAsia="zh-CN"/>
        </w:rPr>
      </w:pPr>
      <w:bookmarkStart w:id="37" w:name="_Toc15864"/>
      <w:r>
        <w:rPr>
          <w:rFonts w:hint="eastAsia"/>
          <w:lang w:val="en-US" w:eastAsia="zh-CN"/>
        </w:rPr>
        <w:t xml:space="preserve">SSB-RO mapping adaptation </w:t>
      </w:r>
      <w:r w:rsidR="00A82F1B">
        <w:rPr>
          <w:lang w:val="en-US" w:eastAsia="zh-CN"/>
        </w:rPr>
        <w:t xml:space="preserve">at the level of </w:t>
      </w:r>
      <w:r>
        <w:rPr>
          <w:lang w:val="en-US" w:eastAsia="zh-CN"/>
        </w:rPr>
        <w:t>association period</w:t>
      </w:r>
      <w:r w:rsidR="00A82F1B">
        <w:rPr>
          <w:rFonts w:hint="eastAsia"/>
          <w:lang w:val="en-US" w:eastAsia="zh-CN"/>
        </w:rPr>
        <w:t xml:space="preserve">, or </w:t>
      </w:r>
      <w:r>
        <w:rPr>
          <w:rFonts w:hint="eastAsia"/>
          <w:lang w:val="en-US" w:eastAsia="zh-CN"/>
        </w:rPr>
        <w:t>SSB-RO mapping cycle</w:t>
      </w:r>
      <w:bookmarkEnd w:id="37"/>
      <w:r>
        <w:rPr>
          <w:rFonts w:hint="eastAsia"/>
          <w:lang w:val="en-US" w:eastAsia="zh-CN"/>
        </w:rPr>
        <w:t xml:space="preserve"> </w:t>
      </w:r>
    </w:p>
    <w:p w:rsidR="00095EF3" w:rsidRDefault="00FE1FEC">
      <w:pPr>
        <w:pStyle w:val="YJ-Proposal"/>
        <w:numPr>
          <w:ilvl w:val="1"/>
          <w:numId w:val="4"/>
        </w:numPr>
        <w:tabs>
          <w:tab w:val="clear" w:pos="840"/>
        </w:tabs>
        <w:spacing w:before="120" w:after="120"/>
        <w:jc w:val="both"/>
        <w:rPr>
          <w:lang w:val="en-US" w:eastAsia="zh-CN"/>
        </w:rPr>
      </w:pPr>
      <w:bookmarkStart w:id="38" w:name="_Toc162"/>
      <w:r>
        <w:rPr>
          <w:rFonts w:hint="eastAsia"/>
          <w:lang w:val="en-US" w:eastAsia="zh-CN"/>
        </w:rPr>
        <w:t>Non-uniform SSB-RO mapping</w:t>
      </w:r>
      <w:bookmarkEnd w:id="38"/>
    </w:p>
    <w:p w:rsidR="00095EF3" w:rsidRDefault="00FE1FEC">
      <w:pPr>
        <w:pStyle w:val="1"/>
        <w:spacing w:before="120" w:after="120"/>
        <w:ind w:left="0"/>
        <w:rPr>
          <w:rFonts w:eastAsia="宋体"/>
        </w:rPr>
      </w:pPr>
      <w:r>
        <w:t>Adaptation of paging occasions</w:t>
      </w:r>
      <w:r>
        <w:rPr>
          <w:rFonts w:hint="eastAsia"/>
        </w:rPr>
        <w:t xml:space="preserve"> in the time domain</w:t>
      </w:r>
    </w:p>
    <w:p w:rsidR="00095EF3" w:rsidRDefault="00FE1FEC">
      <w:pPr>
        <w:pStyle w:val="2"/>
        <w:spacing w:before="120" w:after="120"/>
        <w:ind w:left="991" w:right="210" w:hangingChars="354" w:hanging="991"/>
        <w:rPr>
          <w:rFonts w:eastAsia="宋体"/>
        </w:rPr>
      </w:pPr>
      <w:r>
        <w:rPr>
          <w:rFonts w:eastAsia="宋体" w:hint="eastAsia"/>
        </w:rPr>
        <w:t xml:space="preserve">Techniques for adaptation of paging occasions in time-domain </w:t>
      </w:r>
    </w:p>
    <w:p w:rsidR="00095EF3" w:rsidRDefault="00FE1FEC">
      <w:pPr>
        <w:spacing w:before="120" w:after="120"/>
        <w:rPr>
          <w:szCs w:val="21"/>
        </w:rPr>
      </w:pPr>
      <w:r>
        <w:rPr>
          <w:rFonts w:hint="eastAsia"/>
          <w:szCs w:val="21"/>
        </w:rPr>
        <w:t>In RAN1#116 meeting, the agreement about adaptation of paging occasions in time domain is shown as follows [1].</w:t>
      </w:r>
    </w:p>
    <w:tbl>
      <w:tblPr>
        <w:tblStyle w:val="af3"/>
        <w:tblW w:w="0" w:type="auto"/>
        <w:tblLook w:val="04A0" w:firstRow="1" w:lastRow="0" w:firstColumn="1" w:lastColumn="0" w:noHBand="0" w:noVBand="1"/>
      </w:tblPr>
      <w:tblGrid>
        <w:gridCol w:w="9650"/>
      </w:tblGrid>
      <w:tr w:rsidR="00095EF3">
        <w:tc>
          <w:tcPr>
            <w:tcW w:w="9876" w:type="dxa"/>
          </w:tcPr>
          <w:p w:rsidR="00095EF3" w:rsidRDefault="00FE1FEC">
            <w:pPr>
              <w:spacing w:beforeLines="0" w:afterLines="0" w:after="0" w:line="240" w:lineRule="auto"/>
              <w:rPr>
                <w:b/>
                <w:bCs/>
                <w:highlight w:val="green"/>
              </w:rPr>
            </w:pPr>
            <w:r>
              <w:rPr>
                <w:b/>
                <w:bCs/>
                <w:highlight w:val="green"/>
              </w:rPr>
              <w:t>Agreement</w:t>
            </w:r>
          </w:p>
          <w:p w:rsidR="00095EF3" w:rsidRDefault="00FE1FEC">
            <w:pPr>
              <w:pStyle w:val="a9"/>
              <w:spacing w:beforeLines="0" w:afterLines="0" w:after="0" w:line="240" w:lineRule="auto"/>
              <w:rPr>
                <w:rFonts w:ascii="Times New Roman" w:hAnsi="Times New Roman"/>
              </w:rPr>
            </w:pPr>
            <w:r>
              <w:rPr>
                <w:rFonts w:ascii="Times New Roman" w:hAnsi="Times New Roman"/>
              </w:rPr>
              <w:t xml:space="preserve">For adaptation of paging, </w:t>
            </w:r>
          </w:p>
          <w:p w:rsidR="00095EF3" w:rsidRDefault="00FE1FEC">
            <w:pPr>
              <w:pStyle w:val="a9"/>
              <w:numPr>
                <w:ilvl w:val="0"/>
                <w:numId w:val="8"/>
              </w:numPr>
              <w:spacing w:beforeLines="0" w:afterLines="0" w:after="0" w:line="240" w:lineRule="auto"/>
              <w:ind w:left="583" w:hanging="291"/>
              <w:jc w:val="left"/>
              <w:rPr>
                <w:rFonts w:ascii="Times New Roman" w:hAnsi="Times New Roman"/>
              </w:rPr>
            </w:pPr>
            <w:r>
              <w:rPr>
                <w:rFonts w:ascii="Times New Roman" w:hAnsi="Times New Roman"/>
              </w:rPr>
              <w:lastRenderedPageBreak/>
              <w:t>Study further from RAN1 perspective, techniques for adaptation of paging occasions in time-domain and achievable network energy savings</w:t>
            </w:r>
          </w:p>
          <w:p w:rsidR="00095EF3" w:rsidRDefault="00FE1FEC">
            <w:pPr>
              <w:pStyle w:val="a9"/>
              <w:numPr>
                <w:ilvl w:val="0"/>
                <w:numId w:val="8"/>
              </w:numPr>
              <w:spacing w:beforeLines="0" w:afterLines="0" w:after="0" w:line="240" w:lineRule="auto"/>
              <w:ind w:left="583" w:hanging="291"/>
              <w:jc w:val="left"/>
              <w:rPr>
                <w:szCs w:val="21"/>
              </w:rPr>
            </w:pPr>
            <w:r>
              <w:rPr>
                <w:rFonts w:ascii="Times New Roman" w:hAnsi="Times New Roman"/>
              </w:rPr>
              <w:t>Note: Specification details for PO/PF determination and paging-related configuration/procedures to be handled by RAN2</w:t>
            </w:r>
          </w:p>
        </w:tc>
      </w:tr>
    </w:tbl>
    <w:p w:rsidR="00095EF3" w:rsidRDefault="00FE1FEC">
      <w:pPr>
        <w:spacing w:before="120" w:after="120"/>
        <w:rPr>
          <w:szCs w:val="21"/>
        </w:rPr>
      </w:pPr>
      <w:r>
        <w:rPr>
          <w:rFonts w:hint="eastAsia"/>
          <w:szCs w:val="21"/>
        </w:rPr>
        <w:lastRenderedPageBreak/>
        <w:t>Towards adaptation of paging occasions in time domain, the goal is to confine paging occasion in time domain to obtain NES gain. In RAN1#116 meeting, there was consensus that most of proposed schemes about confining paging occasions should be handled by RAN2. To this end, from RAN1</w:t>
      </w:r>
      <w:r>
        <w:rPr>
          <w:szCs w:val="21"/>
        </w:rPr>
        <w:t>’</w:t>
      </w:r>
      <w:r>
        <w:rPr>
          <w:rFonts w:hint="eastAsia"/>
          <w:szCs w:val="21"/>
        </w:rPr>
        <w:t>s perspective, the discussion should focus on how to indicate the adaptation of paging. Since paging is mainly monitored by both idle/inactive UEs and connected mode UEs, DCI based indication for the adaptation of paging occasions in time domain is more feasible.</w:t>
      </w:r>
    </w:p>
    <w:p w:rsidR="00095EF3" w:rsidRDefault="00FE1FEC">
      <w:pPr>
        <w:pStyle w:val="YJ-Proposal"/>
        <w:spacing w:before="120" w:after="120"/>
        <w:jc w:val="both"/>
        <w:rPr>
          <w:szCs w:val="21"/>
          <w:lang w:val="en-US" w:eastAsia="zh-CN"/>
        </w:rPr>
      </w:pPr>
      <w:bookmarkStart w:id="39" w:name="_Toc13415"/>
      <w:r>
        <w:rPr>
          <w:rFonts w:hint="eastAsia"/>
          <w:lang w:val="en-US" w:eastAsia="zh-CN"/>
        </w:rPr>
        <w:t>DCI based indication for the adaptation of paging occasions in time domain can be considered for the paging configuration adaptation.</w:t>
      </w:r>
      <w:bookmarkEnd w:id="39"/>
      <w:r>
        <w:rPr>
          <w:rFonts w:hint="eastAsia"/>
          <w:lang w:val="en-US" w:eastAsia="zh-CN"/>
        </w:rPr>
        <w:t xml:space="preserve"> </w:t>
      </w:r>
    </w:p>
    <w:p w:rsidR="00095EF3" w:rsidRDefault="00FE1FEC">
      <w:pPr>
        <w:pStyle w:val="1"/>
        <w:spacing w:before="120" w:after="120"/>
        <w:ind w:left="0"/>
      </w:pPr>
      <w:r>
        <w:rPr>
          <w:rFonts w:eastAsia="宋体" w:hint="eastAsia"/>
        </w:rPr>
        <w:t>Unified signaling for</w:t>
      </w:r>
      <w:r>
        <w:rPr>
          <w:rFonts w:hint="eastAsia"/>
        </w:rPr>
        <w:t xml:space="preserve"> adaptation of common signal/channel</w:t>
      </w:r>
    </w:p>
    <w:p w:rsidR="00095EF3" w:rsidRDefault="00FE1FEC">
      <w:pPr>
        <w:spacing w:before="120" w:after="120"/>
        <w:rPr>
          <w:szCs w:val="21"/>
        </w:rPr>
      </w:pPr>
      <w:r>
        <w:rPr>
          <w:rFonts w:hint="eastAsia"/>
          <w:szCs w:val="21"/>
        </w:rPr>
        <w:t>From signaling perspective in general, dynamic adaptation of common signal/channel including SSB, PRACH, paging configuration can be considered together. Therefore, a unified signaling design is proposed to reduce the workload. Besides, a common signaling for both idle/inactive UE and connected UE is preferred.</w:t>
      </w:r>
    </w:p>
    <w:p w:rsidR="00095EF3" w:rsidRDefault="00FE1FEC">
      <w:pPr>
        <w:spacing w:before="120" w:after="120"/>
      </w:pPr>
      <w:r>
        <w:rPr>
          <w:rFonts w:hint="eastAsia"/>
          <w:szCs w:val="21"/>
        </w:rPr>
        <w:t xml:space="preserve">The idle/inactive mode UEs are required to monitor paging DCI, SI DCI and PEI. </w:t>
      </w:r>
      <w:r>
        <w:rPr>
          <w:rFonts w:hint="eastAsia"/>
        </w:rPr>
        <w:t xml:space="preserve">For example, paging early indication signaling (PEI) can be considered. UEs in idle/inactive should monitor PEI signaling after receiving SSB. Hence, paging early indication signaling (PEI) is suitable for inform the adaptation of SSB in time domain. For UEs in RRC connected mode, it is necessary to modify the UE behavior on monitoring PEI. </w:t>
      </w:r>
    </w:p>
    <w:p w:rsidR="00095EF3" w:rsidRDefault="00FE1FEC">
      <w:pPr>
        <w:pStyle w:val="YJ-Proposal"/>
        <w:spacing w:before="120" w:after="120"/>
        <w:jc w:val="both"/>
        <w:rPr>
          <w:lang w:val="en-US" w:eastAsia="zh-CN"/>
        </w:rPr>
      </w:pPr>
      <w:bookmarkStart w:id="40" w:name="_Toc29821"/>
      <w:r>
        <w:rPr>
          <w:rFonts w:hint="eastAsia"/>
          <w:lang w:val="en-US" w:eastAsia="zh-CN"/>
        </w:rPr>
        <w:t>A unified signaling can be considered for the indication of SSB adaptation, PRACH adaptation and paging adaptation.</w:t>
      </w:r>
      <w:bookmarkEnd w:id="40"/>
      <w:r>
        <w:rPr>
          <w:rFonts w:hint="eastAsia"/>
          <w:lang w:val="en-US" w:eastAsia="zh-CN"/>
        </w:rPr>
        <w:t xml:space="preserve"> </w:t>
      </w:r>
    </w:p>
    <w:p w:rsidR="00095EF3" w:rsidRDefault="00FE1FEC">
      <w:pPr>
        <w:pStyle w:val="1"/>
        <w:spacing w:before="120" w:after="120"/>
        <w:ind w:left="0"/>
        <w:rPr>
          <w:rFonts w:eastAsia="宋体"/>
        </w:rPr>
      </w:pPr>
      <w:r>
        <w:rPr>
          <w:rFonts w:eastAsia="宋体"/>
        </w:rPr>
        <w:t>Conclusion</w:t>
      </w:r>
    </w:p>
    <w:p w:rsidR="00095EF3" w:rsidRDefault="00FE1FEC">
      <w:pPr>
        <w:spacing w:before="120" w:after="120"/>
      </w:pPr>
      <w:r>
        <w:rPr>
          <w:rFonts w:hint="eastAsia"/>
        </w:rPr>
        <w:t>In this contribution, we have the following observations/proposals:</w:t>
      </w:r>
    </w:p>
    <w:p w:rsidR="00095EF3" w:rsidRDefault="00FE1FEC">
      <w:pPr>
        <w:pStyle w:val="TOC1"/>
        <w:tabs>
          <w:tab w:val="clear" w:pos="0"/>
          <w:tab w:val="right" w:leader="dot" w:pos="9660"/>
        </w:tabs>
        <w:spacing w:before="120" w:after="120"/>
      </w:pPr>
      <w:r>
        <w:rPr>
          <w:i w:val="0"/>
          <w:iCs w:val="0"/>
          <w:sz w:val="21"/>
          <w:szCs w:val="22"/>
          <w:highlight w:val="yellow"/>
        </w:rPr>
        <w:fldChar w:fldCharType="begin"/>
      </w:r>
      <w:r>
        <w:rPr>
          <w:i w:val="0"/>
          <w:iCs w:val="0"/>
          <w:sz w:val="21"/>
          <w:szCs w:val="22"/>
          <w:highlight w:val="yellow"/>
        </w:rPr>
        <w:instrText>TOC \n  \t "YJ-Observation,1,sub-observation,2,3rd level observation,3" \h</w:instrText>
      </w:r>
      <w:r>
        <w:rPr>
          <w:i w:val="0"/>
          <w:iCs w:val="0"/>
          <w:sz w:val="21"/>
          <w:szCs w:val="22"/>
          <w:highlight w:val="yellow"/>
        </w:rPr>
        <w:fldChar w:fldCharType="separate"/>
      </w:r>
      <w:hyperlink w:anchor="_Toc21238" w:history="1">
        <w:r>
          <w:t>Observation 1: If only adaptation of not cell-defining SSB is considered, there is limited negative impact on UEs in idle/inactive mode, but marginal NES gain</w:t>
        </w:r>
        <w:r>
          <w:rPr>
            <w:rFonts w:hint="eastAsia"/>
          </w:rPr>
          <w:t>.</w:t>
        </w:r>
      </w:hyperlink>
    </w:p>
    <w:p w:rsidR="00095EF3" w:rsidRDefault="004B24BB">
      <w:pPr>
        <w:pStyle w:val="TOC1"/>
        <w:tabs>
          <w:tab w:val="clear" w:pos="0"/>
          <w:tab w:val="right" w:leader="dot" w:pos="9660"/>
        </w:tabs>
        <w:spacing w:before="120" w:after="120"/>
      </w:pPr>
      <w:hyperlink w:anchor="_Toc6071" w:history="1">
        <w:r w:rsidR="00FE1FEC">
          <w:t xml:space="preserve">Observation 2: </w:t>
        </w:r>
        <w:r w:rsidR="00FE1FEC">
          <w:rPr>
            <w:rFonts w:hint="eastAsia"/>
          </w:rPr>
          <w:t xml:space="preserve">The separate SSB-RO mapping between overlapped PRACH resources with that of legacy UEs and non-overlapped PRACH resources is capable of </w:t>
        </w:r>
        <w:r w:rsidR="00FE1FEC">
          <w:t>minimizing</w:t>
        </w:r>
        <w:r w:rsidR="00FE1FEC">
          <w:rPr>
            <w:rFonts w:hint="eastAsia"/>
          </w:rPr>
          <w:t xml:space="preserve"> the impact of legacy UEs.</w:t>
        </w:r>
      </w:hyperlink>
    </w:p>
    <w:p w:rsidR="00095EF3" w:rsidRDefault="004B24BB">
      <w:pPr>
        <w:pStyle w:val="TOC1"/>
        <w:tabs>
          <w:tab w:val="clear" w:pos="0"/>
          <w:tab w:val="right" w:leader="dot" w:pos="9660"/>
        </w:tabs>
        <w:spacing w:before="120" w:after="120"/>
      </w:pPr>
      <w:hyperlink w:anchor="_Toc11511" w:history="1">
        <w:r w:rsidR="00FE1FEC">
          <w:t xml:space="preserve">Observation 3: </w:t>
        </w:r>
        <w:r w:rsidR="00FE1FEC">
          <w:rPr>
            <w:rFonts w:hint="eastAsia"/>
          </w:rPr>
          <w:t xml:space="preserve">NES gain of non-uniform SSB-RO mapping for the PRACH adaptation in the spatial domain are highly depended on the </w:t>
        </w:r>
        <w:r w:rsidR="00FE1FEC">
          <w:t xml:space="preserve">derivation of </w:t>
        </w:r>
        <w:r w:rsidR="00FE1FEC">
          <w:rPr>
            <w:rFonts w:hint="eastAsia"/>
          </w:rPr>
          <w:t>association period.</w:t>
        </w:r>
      </w:hyperlink>
    </w:p>
    <w:p w:rsidR="00095EF3" w:rsidRDefault="004B24BB">
      <w:pPr>
        <w:pStyle w:val="TOC1"/>
        <w:tabs>
          <w:tab w:val="clear" w:pos="0"/>
          <w:tab w:val="right" w:leader="dot" w:pos="9660"/>
        </w:tabs>
        <w:spacing w:before="120" w:after="120"/>
      </w:pPr>
      <w:hyperlink w:anchor="_Toc4444" w:history="1">
        <w:r w:rsidR="00FE1FEC">
          <w:t xml:space="preserve">Observation 4: </w:t>
        </w:r>
        <w:r w:rsidR="00FE1FEC">
          <w:rPr>
            <w:rFonts w:hint="eastAsia"/>
          </w:rPr>
          <w:t>For Cat 1 base station, non-uniform SSB-RO mapping scheme can obtain the following range of NES gain from medium cell load to empty cell load:</w:t>
        </w:r>
      </w:hyperlink>
    </w:p>
    <w:p w:rsidR="00095EF3" w:rsidRDefault="004B24BB">
      <w:pPr>
        <w:pStyle w:val="TOC1"/>
        <w:tabs>
          <w:tab w:val="clear" w:pos="0"/>
          <w:tab w:val="right" w:leader="dot" w:pos="9660"/>
        </w:tabs>
        <w:spacing w:before="120" w:after="120"/>
        <w:ind w:leftChars="200" w:left="420"/>
      </w:pPr>
      <w:hyperlink w:anchor="_Toc19377" w:history="1">
        <w:r w:rsidR="00FE1FEC">
          <w:t xml:space="preserve">a) </w:t>
        </w:r>
        <w:r w:rsidR="00FE1FEC">
          <w:rPr>
            <w:rFonts w:hint="eastAsia"/>
          </w:rPr>
          <w:t>3.32%~13.71% NES gain, when SIB1 periodicity is 20ms.</w:t>
        </w:r>
      </w:hyperlink>
    </w:p>
    <w:p w:rsidR="00095EF3" w:rsidRDefault="004B24BB">
      <w:pPr>
        <w:pStyle w:val="TOC1"/>
        <w:tabs>
          <w:tab w:val="clear" w:pos="0"/>
          <w:tab w:val="right" w:leader="dot" w:pos="9660"/>
        </w:tabs>
        <w:spacing w:before="120" w:after="120"/>
        <w:ind w:leftChars="200" w:left="420"/>
      </w:pPr>
      <w:hyperlink w:anchor="_Toc10839" w:history="1">
        <w:r w:rsidR="00FE1FEC">
          <w:t xml:space="preserve">b) </w:t>
        </w:r>
        <w:r w:rsidR="00FE1FEC">
          <w:rPr>
            <w:rFonts w:hint="eastAsia"/>
          </w:rPr>
          <w:t>3.54%~15.06% NES gain, when SIB1 periodicity is 40ms.</w:t>
        </w:r>
      </w:hyperlink>
    </w:p>
    <w:p w:rsidR="00095EF3" w:rsidRDefault="004B24BB">
      <w:pPr>
        <w:pStyle w:val="TOC1"/>
        <w:tabs>
          <w:tab w:val="clear" w:pos="0"/>
          <w:tab w:val="right" w:leader="dot" w:pos="9660"/>
        </w:tabs>
        <w:spacing w:before="120" w:after="120"/>
        <w:ind w:leftChars="200" w:left="420"/>
      </w:pPr>
      <w:hyperlink w:anchor="_Toc22756" w:history="1">
        <w:r w:rsidR="00FE1FEC">
          <w:t xml:space="preserve">c) </w:t>
        </w:r>
        <w:r w:rsidR="00FE1FEC">
          <w:rPr>
            <w:rFonts w:hint="eastAsia"/>
          </w:rPr>
          <w:t>3.70%~16.26% NES gain, when SIB1 periodicity is 160ms.</w:t>
        </w:r>
      </w:hyperlink>
    </w:p>
    <w:p w:rsidR="00095EF3" w:rsidRDefault="004B24BB">
      <w:pPr>
        <w:pStyle w:val="TOC1"/>
        <w:tabs>
          <w:tab w:val="clear" w:pos="0"/>
          <w:tab w:val="right" w:leader="dot" w:pos="9660"/>
        </w:tabs>
        <w:spacing w:before="120" w:after="120"/>
      </w:pPr>
      <w:hyperlink w:anchor="_Toc21362" w:history="1">
        <w:r w:rsidR="00FE1FEC">
          <w:t xml:space="preserve">Observation 5: </w:t>
        </w:r>
        <w:r w:rsidR="00FE1FEC">
          <w:rPr>
            <w:rFonts w:hint="eastAsia"/>
          </w:rPr>
          <w:t>For Cat 2 base station, non-uniform SSB-RO mapping scheme can obtain the following range of NES gain from medium cell load to empty cell load:</w:t>
        </w:r>
      </w:hyperlink>
    </w:p>
    <w:p w:rsidR="00095EF3" w:rsidRDefault="004B24BB">
      <w:pPr>
        <w:pStyle w:val="TOC1"/>
        <w:tabs>
          <w:tab w:val="clear" w:pos="0"/>
          <w:tab w:val="right" w:leader="dot" w:pos="9660"/>
        </w:tabs>
        <w:spacing w:before="120" w:after="120"/>
        <w:ind w:leftChars="200" w:left="420"/>
      </w:pPr>
      <w:hyperlink w:anchor="_Toc24596" w:history="1">
        <w:r w:rsidR="00FE1FEC">
          <w:t xml:space="preserve">a) </w:t>
        </w:r>
        <w:r w:rsidR="00FE1FEC">
          <w:rPr>
            <w:rFonts w:hint="eastAsia"/>
          </w:rPr>
          <w:t>0.20%~0.47% NES gain, when SIB1 periodicity is 20ms.</w:t>
        </w:r>
      </w:hyperlink>
    </w:p>
    <w:p w:rsidR="00095EF3" w:rsidRDefault="004B24BB">
      <w:pPr>
        <w:pStyle w:val="TOC1"/>
        <w:tabs>
          <w:tab w:val="clear" w:pos="0"/>
          <w:tab w:val="right" w:leader="dot" w:pos="9660"/>
        </w:tabs>
        <w:spacing w:before="120" w:after="120"/>
        <w:ind w:leftChars="200" w:left="420"/>
      </w:pPr>
      <w:hyperlink w:anchor="_Toc22652" w:history="1">
        <w:r w:rsidR="00FE1FEC">
          <w:t xml:space="preserve">b) </w:t>
        </w:r>
        <w:r w:rsidR="00FE1FEC">
          <w:rPr>
            <w:rFonts w:hint="eastAsia"/>
          </w:rPr>
          <w:t>0.21%~0.53% NES gain, when SIB1 periodicity is 40ms.</w:t>
        </w:r>
      </w:hyperlink>
    </w:p>
    <w:p w:rsidR="00095EF3" w:rsidRDefault="004B24BB">
      <w:pPr>
        <w:pStyle w:val="TOC1"/>
        <w:tabs>
          <w:tab w:val="clear" w:pos="0"/>
          <w:tab w:val="right" w:leader="dot" w:pos="9660"/>
        </w:tabs>
        <w:spacing w:before="120" w:after="120"/>
        <w:ind w:leftChars="200" w:left="420"/>
      </w:pPr>
      <w:hyperlink w:anchor="_Toc6855" w:history="1">
        <w:r w:rsidR="00FE1FEC">
          <w:t xml:space="preserve">c) </w:t>
        </w:r>
        <w:r w:rsidR="00FE1FEC">
          <w:rPr>
            <w:rFonts w:hint="eastAsia"/>
          </w:rPr>
          <w:t>0.22%~0.58% NES gain, when SIB1 periodicity is 160ms</w:t>
        </w:r>
      </w:hyperlink>
    </w:p>
    <w:p w:rsidR="00095EF3" w:rsidRDefault="004B24BB">
      <w:pPr>
        <w:pStyle w:val="TOC1"/>
        <w:tabs>
          <w:tab w:val="clear" w:pos="0"/>
          <w:tab w:val="right" w:leader="dot" w:pos="9660"/>
        </w:tabs>
        <w:spacing w:before="120" w:after="120"/>
      </w:pPr>
      <w:hyperlink w:anchor="_Toc32269" w:history="1">
        <w:r w:rsidR="00FE1FEC">
          <w:t xml:space="preserve">Observation 6: </w:t>
        </w:r>
        <w:r w:rsidR="00FE1FEC">
          <w:rPr>
            <w:rFonts w:hint="eastAsia"/>
          </w:rPr>
          <w:t>For Cat 1 base station, SSB-RO mapping adaptation at the level of association period scheme can obtain the following range of NES gain from medium cell load to empty cell load:</w:t>
        </w:r>
      </w:hyperlink>
    </w:p>
    <w:p w:rsidR="00095EF3" w:rsidRDefault="004B24BB">
      <w:pPr>
        <w:pStyle w:val="TOC1"/>
        <w:tabs>
          <w:tab w:val="clear" w:pos="0"/>
          <w:tab w:val="right" w:leader="dot" w:pos="9660"/>
        </w:tabs>
        <w:spacing w:before="120" w:after="120"/>
        <w:ind w:leftChars="200" w:left="420"/>
      </w:pPr>
      <w:hyperlink w:anchor="_Toc4025" w:history="1">
        <w:r w:rsidR="00FE1FEC">
          <w:t xml:space="preserve">a) </w:t>
        </w:r>
        <w:r w:rsidR="00FE1FEC">
          <w:rPr>
            <w:rFonts w:hint="eastAsia"/>
          </w:rPr>
          <w:t>3.81%~15.03% NES gain, when SIB1 periodicity is 20ms.</w:t>
        </w:r>
      </w:hyperlink>
    </w:p>
    <w:p w:rsidR="00095EF3" w:rsidRDefault="004B24BB">
      <w:pPr>
        <w:pStyle w:val="TOC1"/>
        <w:tabs>
          <w:tab w:val="clear" w:pos="0"/>
          <w:tab w:val="right" w:leader="dot" w:pos="9660"/>
        </w:tabs>
        <w:spacing w:before="120" w:after="120"/>
        <w:ind w:leftChars="200" w:left="420"/>
      </w:pPr>
      <w:hyperlink w:anchor="_Toc14953" w:history="1">
        <w:r w:rsidR="00FE1FEC">
          <w:t xml:space="preserve">b) </w:t>
        </w:r>
        <w:r w:rsidR="00FE1FEC">
          <w:rPr>
            <w:rFonts w:hint="eastAsia"/>
          </w:rPr>
          <w:t>4.35%~17.78% NES gain, when SIB1 periodicity is 40ms.</w:t>
        </w:r>
      </w:hyperlink>
    </w:p>
    <w:p w:rsidR="00095EF3" w:rsidRDefault="004B24BB">
      <w:pPr>
        <w:pStyle w:val="TOC1"/>
        <w:tabs>
          <w:tab w:val="clear" w:pos="0"/>
          <w:tab w:val="right" w:leader="dot" w:pos="9660"/>
        </w:tabs>
        <w:spacing w:before="120" w:after="120"/>
        <w:ind w:leftChars="200" w:left="420"/>
      </w:pPr>
      <w:hyperlink w:anchor="_Toc9390" w:history="1">
        <w:r w:rsidR="00FE1FEC">
          <w:t xml:space="preserve">c) </w:t>
        </w:r>
        <w:r w:rsidR="00FE1FEC">
          <w:rPr>
            <w:rFonts w:hint="eastAsia"/>
          </w:rPr>
          <w:t>4.78%~20.23% NES gain, when SIB1 periodicity is 160ms.</w:t>
        </w:r>
      </w:hyperlink>
    </w:p>
    <w:p w:rsidR="00095EF3" w:rsidRDefault="004B24BB">
      <w:pPr>
        <w:pStyle w:val="TOC1"/>
        <w:tabs>
          <w:tab w:val="clear" w:pos="0"/>
          <w:tab w:val="right" w:leader="dot" w:pos="9660"/>
        </w:tabs>
        <w:spacing w:before="120" w:after="120"/>
      </w:pPr>
      <w:hyperlink w:anchor="_Toc19090" w:history="1">
        <w:r w:rsidR="00FE1FEC">
          <w:t xml:space="preserve">Observation 7: </w:t>
        </w:r>
        <w:r w:rsidR="00FE1FEC">
          <w:rPr>
            <w:rFonts w:hint="eastAsia"/>
          </w:rPr>
          <w:t>For Cat 2 base station, SSB-RO mapping adaptation at the level of association period scheme can obtain the following range of NES gain from medium cell load to empty cell load:</w:t>
        </w:r>
      </w:hyperlink>
    </w:p>
    <w:p w:rsidR="00095EF3" w:rsidRDefault="004B24BB">
      <w:pPr>
        <w:pStyle w:val="TOC1"/>
        <w:tabs>
          <w:tab w:val="clear" w:pos="0"/>
          <w:tab w:val="right" w:leader="dot" w:pos="9660"/>
        </w:tabs>
        <w:spacing w:before="120" w:after="120"/>
        <w:ind w:leftChars="200" w:left="420"/>
      </w:pPr>
      <w:hyperlink w:anchor="_Toc32708" w:history="1">
        <w:r w:rsidR="00FE1FEC">
          <w:t xml:space="preserve">a) </w:t>
        </w:r>
        <w:r w:rsidR="00FE1FEC">
          <w:rPr>
            <w:rFonts w:hint="eastAsia"/>
          </w:rPr>
          <w:t>0.26%~0.62% NES gain, when SIB1 periodicity is 20ms.</w:t>
        </w:r>
      </w:hyperlink>
    </w:p>
    <w:p w:rsidR="00095EF3" w:rsidRDefault="004B24BB">
      <w:pPr>
        <w:pStyle w:val="TOC1"/>
        <w:tabs>
          <w:tab w:val="clear" w:pos="0"/>
          <w:tab w:val="right" w:leader="dot" w:pos="9660"/>
        </w:tabs>
        <w:spacing w:before="120" w:after="120"/>
        <w:ind w:leftChars="200" w:left="420"/>
      </w:pPr>
      <w:hyperlink w:anchor="_Toc11458" w:history="1">
        <w:r w:rsidR="00FE1FEC">
          <w:t xml:space="preserve">b) </w:t>
        </w:r>
        <w:r w:rsidR="00FE1FEC">
          <w:rPr>
            <w:rFonts w:hint="eastAsia"/>
          </w:rPr>
          <w:t>0.28%~0.70% NES gain, when SIB1 periodicity is 40ms.</w:t>
        </w:r>
      </w:hyperlink>
    </w:p>
    <w:p w:rsidR="00095EF3" w:rsidRDefault="004B24BB">
      <w:pPr>
        <w:pStyle w:val="TOC1"/>
        <w:tabs>
          <w:tab w:val="clear" w:pos="0"/>
          <w:tab w:val="right" w:leader="dot" w:pos="9660"/>
        </w:tabs>
        <w:spacing w:before="120" w:after="120"/>
        <w:ind w:leftChars="200" w:left="420"/>
      </w:pPr>
      <w:hyperlink w:anchor="_Toc15482" w:history="1">
        <w:r w:rsidR="00FE1FEC">
          <w:t xml:space="preserve">c) </w:t>
        </w:r>
        <w:r w:rsidR="00FE1FEC">
          <w:rPr>
            <w:rFonts w:hint="eastAsia"/>
          </w:rPr>
          <w:t>0.29%~0.77% NES gain, when SIB1 periodicity is 160ms</w:t>
        </w:r>
      </w:hyperlink>
    </w:p>
    <w:p w:rsidR="00095EF3" w:rsidRDefault="00FE1FEC">
      <w:pPr>
        <w:spacing w:before="120" w:after="120"/>
        <w:rPr>
          <w:highlight w:val="yellow"/>
        </w:rPr>
      </w:pPr>
      <w:r>
        <w:rPr>
          <w:szCs w:val="22"/>
          <w:highlight w:val="yellow"/>
        </w:rPr>
        <w:fldChar w:fldCharType="end"/>
      </w:r>
    </w:p>
    <w:p w:rsidR="00095EF3" w:rsidRDefault="00FE1FEC">
      <w:pPr>
        <w:pStyle w:val="TOC1"/>
        <w:tabs>
          <w:tab w:val="clear" w:pos="0"/>
          <w:tab w:val="right" w:leader="dot" w:pos="9660"/>
        </w:tabs>
        <w:spacing w:before="120" w:after="120"/>
      </w:pPr>
      <w:r>
        <w:rPr>
          <w:highlight w:val="yellow"/>
        </w:rPr>
        <w:fldChar w:fldCharType="begin"/>
      </w:r>
      <w:r>
        <w:rPr>
          <w:highlight w:val="yellow"/>
        </w:rPr>
        <w:instrText>TOC \n  \t "YJ-Proposal,1,sub-proposal,2,3rd level proposal,3" \h</w:instrText>
      </w:r>
      <w:r>
        <w:rPr>
          <w:highlight w:val="yellow"/>
        </w:rPr>
        <w:fldChar w:fldCharType="separate"/>
      </w:r>
      <w:hyperlink w:anchor="_Toc5387" w:history="1">
        <w:r>
          <w:t>Proposal 1: For PC</w:t>
        </w:r>
        <w:r>
          <w:rPr>
            <w:rFonts w:hint="eastAsia"/>
          </w:rPr>
          <w:t>ell</w:t>
        </w:r>
        <w:r>
          <w:t>, with both legacy UEs and Rel-19 NES-capable UEs, s</w:t>
        </w:r>
        <w:r>
          <w:rPr>
            <w:rFonts w:hint="eastAsia"/>
          </w:rPr>
          <w:t>upport Option A1: adaptation of CD-SSB</w:t>
        </w:r>
        <w:r>
          <w:t>.</w:t>
        </w:r>
      </w:hyperlink>
    </w:p>
    <w:p w:rsidR="00095EF3" w:rsidRDefault="004B24BB">
      <w:pPr>
        <w:pStyle w:val="TOC1"/>
        <w:tabs>
          <w:tab w:val="clear" w:pos="0"/>
          <w:tab w:val="right" w:leader="dot" w:pos="9660"/>
        </w:tabs>
        <w:spacing w:before="120" w:after="120"/>
      </w:pPr>
      <w:hyperlink w:anchor="_Toc9439" w:history="1">
        <w:r w:rsidR="00FE1FEC">
          <w:t>Proposal 2: For SCell, with both legacy UEs and Rel-19 NES-capable UEs, support Option B1: adaptation of CD-SSB</w:t>
        </w:r>
        <w:r w:rsidR="00FE1FEC">
          <w:rPr>
            <w:rFonts w:hint="eastAsia"/>
          </w:rPr>
          <w:t xml:space="preserve"> .</w:t>
        </w:r>
      </w:hyperlink>
    </w:p>
    <w:p w:rsidR="00095EF3" w:rsidRDefault="004B24BB">
      <w:pPr>
        <w:pStyle w:val="TOC1"/>
        <w:tabs>
          <w:tab w:val="clear" w:pos="0"/>
          <w:tab w:val="right" w:leader="dot" w:pos="9660"/>
        </w:tabs>
        <w:spacing w:before="120" w:after="120"/>
      </w:pPr>
      <w:hyperlink w:anchor="_Toc7736" w:history="1">
        <w:r w:rsidR="00FE1FEC">
          <w:t xml:space="preserve">Proposal 3: </w:t>
        </w:r>
        <w:r w:rsidR="00FE1FEC">
          <w:rPr>
            <w:rFonts w:hint="eastAsia"/>
          </w:rPr>
          <w:t>Support SSB adaptation in time domain for Rel-19 NES-capable UEs in idle/inactive mode.</w:t>
        </w:r>
      </w:hyperlink>
    </w:p>
    <w:p w:rsidR="00095EF3" w:rsidRDefault="004B24BB">
      <w:pPr>
        <w:pStyle w:val="TOC1"/>
        <w:tabs>
          <w:tab w:val="clear" w:pos="0"/>
          <w:tab w:val="right" w:leader="dot" w:pos="9660"/>
        </w:tabs>
        <w:spacing w:before="120" w:after="120"/>
      </w:pPr>
      <w:hyperlink w:anchor="_Toc31394" w:history="1">
        <w:r w:rsidR="00FE1FEC">
          <w:t xml:space="preserve">Proposal 4: </w:t>
        </w:r>
        <w:r w:rsidR="00FE1FEC">
          <w:rPr>
            <w:rFonts w:hint="eastAsia"/>
          </w:rPr>
          <w:t>Support to consider SSB adaptation in time domain in the scenario that cell with only Rel-19 NES-capable UEs.</w:t>
        </w:r>
      </w:hyperlink>
    </w:p>
    <w:p w:rsidR="00095EF3" w:rsidRDefault="004B24BB">
      <w:pPr>
        <w:pStyle w:val="TOC1"/>
        <w:tabs>
          <w:tab w:val="clear" w:pos="0"/>
          <w:tab w:val="right" w:leader="dot" w:pos="9660"/>
        </w:tabs>
        <w:spacing w:before="120" w:after="120"/>
      </w:pPr>
      <w:hyperlink w:anchor="_Toc823" w:history="1">
        <w:r w:rsidR="00FE1FEC">
          <w:t xml:space="preserve">Proposal 5: </w:t>
        </w:r>
        <w:r w:rsidR="00FE1FEC">
          <w:rPr>
            <w:rFonts w:hint="eastAsia"/>
          </w:rPr>
          <w:t>Prioritize to specify adaptation of SSB burst periodicity.</w:t>
        </w:r>
      </w:hyperlink>
    </w:p>
    <w:p w:rsidR="00095EF3" w:rsidRDefault="004B24BB">
      <w:pPr>
        <w:pStyle w:val="TOC1"/>
        <w:tabs>
          <w:tab w:val="clear" w:pos="0"/>
          <w:tab w:val="right" w:leader="dot" w:pos="9660"/>
        </w:tabs>
        <w:spacing w:before="120" w:after="120"/>
      </w:pPr>
      <w:hyperlink w:anchor="_Toc27244" w:history="1">
        <w:r w:rsidR="00FE1FEC">
          <w:t xml:space="preserve">Proposal 6: </w:t>
        </w:r>
        <w:r w:rsidR="00FE1FEC">
          <w:rPr>
            <w:rFonts w:hint="eastAsia"/>
          </w:rPr>
          <w:t>Specify dynamic signaling for adaptation of SSB in time domain.</w:t>
        </w:r>
      </w:hyperlink>
    </w:p>
    <w:p w:rsidR="00095EF3" w:rsidRDefault="004B24BB">
      <w:pPr>
        <w:pStyle w:val="TOC1"/>
        <w:tabs>
          <w:tab w:val="clear" w:pos="0"/>
          <w:tab w:val="right" w:leader="dot" w:pos="9660"/>
        </w:tabs>
        <w:spacing w:before="120" w:after="120"/>
      </w:pPr>
      <w:hyperlink w:anchor="_Toc25247" w:history="1">
        <w:r w:rsidR="00FE1FEC">
          <w:t xml:space="preserve">Proposal 7: </w:t>
        </w:r>
        <w:r w:rsidR="00FE1FEC">
          <w:rPr>
            <w:rFonts w:hint="eastAsia"/>
          </w:rPr>
          <w:t>Consider extended SSB burst periodicity in adaptation of SSB burst periodicity.</w:t>
        </w:r>
      </w:hyperlink>
    </w:p>
    <w:p w:rsidR="00095EF3" w:rsidRDefault="004B24BB">
      <w:pPr>
        <w:pStyle w:val="TOC1"/>
        <w:tabs>
          <w:tab w:val="clear" w:pos="0"/>
          <w:tab w:val="right" w:leader="dot" w:pos="9660"/>
        </w:tabs>
        <w:spacing w:before="120" w:after="120"/>
      </w:pPr>
      <w:hyperlink w:anchor="_Toc7808" w:history="1">
        <w:r w:rsidR="00FE1FEC">
          <w:t xml:space="preserve">Proposal 8: </w:t>
        </w:r>
        <w:r w:rsidR="00FE1FEC">
          <w:rPr>
            <w:rFonts w:hint="eastAsia"/>
          </w:rPr>
          <w:t>PRACH resources for Rel-19 NES-capable UE are generated by existing PRACH configurations in TS 38.211.</w:t>
        </w:r>
      </w:hyperlink>
    </w:p>
    <w:p w:rsidR="00095EF3" w:rsidRDefault="004B24BB">
      <w:pPr>
        <w:pStyle w:val="TOC1"/>
        <w:tabs>
          <w:tab w:val="clear" w:pos="0"/>
          <w:tab w:val="right" w:leader="dot" w:pos="9660"/>
        </w:tabs>
        <w:spacing w:before="120" w:after="120"/>
      </w:pPr>
      <w:hyperlink w:anchor="_Toc13221" w:history="1">
        <w:r w:rsidR="00FE1FEC">
          <w:t xml:space="preserve">Proposal 9: SSB-RO mapping </w:t>
        </w:r>
        <w:r w:rsidR="00FE1FEC">
          <w:rPr>
            <w:rFonts w:hint="eastAsia"/>
          </w:rPr>
          <w:t xml:space="preserve">rule </w:t>
        </w:r>
        <w:r w:rsidR="00FE1FEC">
          <w:t>for the additional PRACH resources</w:t>
        </w:r>
        <w:r w:rsidR="00FE1FEC">
          <w:rPr>
            <w:rFonts w:hint="eastAsia"/>
          </w:rPr>
          <w:t xml:space="preserve"> within </w:t>
        </w:r>
        <w:r w:rsidR="00FE1FEC">
          <w:t>the</w:t>
        </w:r>
        <w:r w:rsidR="00FE1FEC">
          <w:rPr>
            <w:rFonts w:hint="eastAsia"/>
          </w:rPr>
          <w:t xml:space="preserve"> association period should take into account the</w:t>
        </w:r>
        <w:r w:rsidR="00FE1FEC">
          <w:t xml:space="preserve"> number of transmitted SSBs and </w:t>
        </w:r>
        <w:r w:rsidR="00FE1FEC">
          <w:rPr>
            <w:rFonts w:hint="eastAsia"/>
          </w:rPr>
          <w:t>PRACH resources</w:t>
        </w:r>
        <w:r w:rsidR="00FE1FEC">
          <w:t xml:space="preserve"> </w:t>
        </w:r>
        <w:r w:rsidR="00FE1FEC">
          <w:rPr>
            <w:rFonts w:hint="eastAsia"/>
          </w:rPr>
          <w:t>including those that</w:t>
        </w:r>
        <w:r w:rsidR="00FE1FEC">
          <w:t xml:space="preserve"> </w:t>
        </w:r>
        <w:r w:rsidR="00FE1FEC">
          <w:rPr>
            <w:rFonts w:hint="eastAsia"/>
          </w:rPr>
          <w:t xml:space="preserve">are </w:t>
        </w:r>
        <w:r w:rsidR="00FE1FEC">
          <w:t>accessible to legacy UE</w:t>
        </w:r>
        <w:r w:rsidR="00FE1FEC">
          <w:rPr>
            <w:rFonts w:hint="eastAsia"/>
          </w:rPr>
          <w:t>.</w:t>
        </w:r>
      </w:hyperlink>
    </w:p>
    <w:p w:rsidR="00095EF3" w:rsidRDefault="004B24BB">
      <w:pPr>
        <w:pStyle w:val="TOC1"/>
        <w:tabs>
          <w:tab w:val="clear" w:pos="0"/>
          <w:tab w:val="right" w:leader="dot" w:pos="9660"/>
        </w:tabs>
        <w:spacing w:before="120" w:after="120"/>
      </w:pPr>
      <w:hyperlink w:anchor="_Toc14155" w:history="1">
        <w:r w:rsidR="00FE1FEC">
          <w:t xml:space="preserve">Proposal 10: </w:t>
        </w:r>
        <w:r w:rsidR="00FE1FEC">
          <w:rPr>
            <w:rFonts w:hint="eastAsia"/>
          </w:rPr>
          <w:t>Specify DCI based signaling for adaptation of PRACH in time domain.</w:t>
        </w:r>
      </w:hyperlink>
    </w:p>
    <w:p w:rsidR="00095EF3" w:rsidRDefault="004B24BB">
      <w:pPr>
        <w:pStyle w:val="TOC1"/>
        <w:tabs>
          <w:tab w:val="clear" w:pos="0"/>
          <w:tab w:val="right" w:leader="dot" w:pos="9660"/>
        </w:tabs>
        <w:spacing w:before="120" w:after="120"/>
      </w:pPr>
      <w:hyperlink w:anchor="_Toc19144" w:history="1">
        <w:r w:rsidR="00FE1FEC">
          <w:t xml:space="preserve">Proposal 11: </w:t>
        </w:r>
        <w:r w:rsidR="00FE1FEC">
          <w:rPr>
            <w:rFonts w:hint="eastAsia"/>
          </w:rPr>
          <w:t>Study mechanisms for PRACH adaptation in spatial domain</w:t>
        </w:r>
        <w:r w:rsidR="00FE1FEC">
          <w:t xml:space="preserve"> including</w:t>
        </w:r>
      </w:hyperlink>
    </w:p>
    <w:p w:rsidR="00095EF3" w:rsidRDefault="004B24BB">
      <w:pPr>
        <w:pStyle w:val="TOC1"/>
        <w:tabs>
          <w:tab w:val="clear" w:pos="0"/>
          <w:tab w:val="right" w:leader="dot" w:pos="9660"/>
        </w:tabs>
        <w:spacing w:before="120" w:after="120"/>
        <w:ind w:leftChars="200" w:left="420"/>
      </w:pPr>
      <w:hyperlink w:anchor="_Toc15864" w:history="1">
        <w:r w:rsidR="00FE1FEC">
          <w:rPr>
            <w:rFonts w:ascii="Arial" w:hAnsi="Arial" w:cs="Arial"/>
          </w:rPr>
          <w:t xml:space="preserve">• </w:t>
        </w:r>
        <w:r w:rsidR="00FE1FEC">
          <w:rPr>
            <w:rFonts w:hint="eastAsia"/>
          </w:rPr>
          <w:t xml:space="preserve">SSB-RO mapping adaptation </w:t>
        </w:r>
        <w:r w:rsidR="00A82F1B">
          <w:t>at the level of</w:t>
        </w:r>
        <w:r w:rsidR="00FE1FEC">
          <w:t xml:space="preserve"> association period</w:t>
        </w:r>
        <w:r w:rsidR="00A82F1B">
          <w:rPr>
            <w:rFonts w:hint="eastAsia"/>
          </w:rPr>
          <w:t>, or</w:t>
        </w:r>
        <w:r w:rsidR="00FE1FEC">
          <w:rPr>
            <w:rFonts w:hint="eastAsia"/>
          </w:rPr>
          <w:t xml:space="preserve"> SSB-RO mapping cycle</w:t>
        </w:r>
      </w:hyperlink>
    </w:p>
    <w:p w:rsidR="00095EF3" w:rsidRDefault="004B24BB">
      <w:pPr>
        <w:pStyle w:val="TOC1"/>
        <w:tabs>
          <w:tab w:val="clear" w:pos="0"/>
          <w:tab w:val="right" w:leader="dot" w:pos="9660"/>
        </w:tabs>
        <w:spacing w:before="120" w:after="120"/>
        <w:ind w:leftChars="200" w:left="420"/>
      </w:pPr>
      <w:hyperlink w:anchor="_Toc162" w:history="1">
        <w:r w:rsidR="00FE1FEC">
          <w:rPr>
            <w:rFonts w:ascii="Arial" w:hAnsi="Arial" w:cs="Arial"/>
          </w:rPr>
          <w:t xml:space="preserve">• </w:t>
        </w:r>
        <w:r w:rsidR="00FE1FEC">
          <w:rPr>
            <w:rFonts w:hint="eastAsia"/>
          </w:rPr>
          <w:t>Non-uniform SSB-RO mapping</w:t>
        </w:r>
      </w:hyperlink>
    </w:p>
    <w:p w:rsidR="00095EF3" w:rsidRDefault="004B24BB">
      <w:pPr>
        <w:pStyle w:val="TOC1"/>
        <w:tabs>
          <w:tab w:val="clear" w:pos="0"/>
          <w:tab w:val="right" w:leader="dot" w:pos="9660"/>
        </w:tabs>
        <w:spacing w:before="120" w:after="120"/>
      </w:pPr>
      <w:hyperlink w:anchor="_Toc13415" w:history="1">
        <w:r w:rsidR="00FE1FEC">
          <w:t xml:space="preserve">Proposal 12: </w:t>
        </w:r>
        <w:r w:rsidR="00FE1FEC">
          <w:rPr>
            <w:rFonts w:hint="eastAsia"/>
          </w:rPr>
          <w:t>DCI based indication for the adaptation of paging occasions in time domain can be considered for the paging configuration adaptation.</w:t>
        </w:r>
      </w:hyperlink>
    </w:p>
    <w:p w:rsidR="00095EF3" w:rsidRDefault="004B24BB">
      <w:pPr>
        <w:pStyle w:val="TOC1"/>
        <w:tabs>
          <w:tab w:val="clear" w:pos="0"/>
          <w:tab w:val="right" w:leader="dot" w:pos="9660"/>
        </w:tabs>
        <w:spacing w:before="120" w:after="120"/>
      </w:pPr>
      <w:hyperlink w:anchor="_Toc29821" w:history="1">
        <w:r w:rsidR="00FE1FEC">
          <w:t xml:space="preserve">Proposal 13: </w:t>
        </w:r>
        <w:r w:rsidR="00FE1FEC">
          <w:rPr>
            <w:rFonts w:hint="eastAsia"/>
          </w:rPr>
          <w:t>A unified signaling can be considered for the indication of SSB adaptation, PRACH adaptation and paging adaptation.</w:t>
        </w:r>
      </w:hyperlink>
    </w:p>
    <w:p w:rsidR="00095EF3" w:rsidRDefault="00FE1FEC">
      <w:pPr>
        <w:spacing w:before="120" w:after="120"/>
        <w:rPr>
          <w:highlight w:val="yellow"/>
        </w:rPr>
      </w:pPr>
      <w:r>
        <w:rPr>
          <w:highlight w:val="yellow"/>
        </w:rPr>
        <w:fldChar w:fldCharType="end"/>
      </w:r>
    </w:p>
    <w:p w:rsidR="00095EF3" w:rsidRDefault="00FE1FEC">
      <w:pPr>
        <w:pStyle w:val="1"/>
        <w:spacing w:before="120" w:after="120"/>
        <w:ind w:left="0"/>
        <w:rPr>
          <w:rFonts w:eastAsia="宋体"/>
        </w:rPr>
      </w:pPr>
      <w:r>
        <w:rPr>
          <w:rFonts w:eastAsia="宋体" w:hint="eastAsia"/>
        </w:rPr>
        <w:t>Reference</w:t>
      </w:r>
      <w:r>
        <w:rPr>
          <w:rFonts w:eastAsia="宋体"/>
        </w:rPr>
        <w:t>s</w:t>
      </w:r>
    </w:p>
    <w:p w:rsidR="00095EF3" w:rsidRDefault="00FE1FEC">
      <w:pPr>
        <w:pStyle w:val="References"/>
        <w:spacing w:before="120" w:after="120"/>
        <w:ind w:left="363" w:hanging="363"/>
      </w:pPr>
      <w:r>
        <w:rPr>
          <w:rFonts w:hint="eastAsia"/>
        </w:rPr>
        <w:t>RAN1 Chair</w:t>
      </w:r>
      <w:r>
        <w:t>’</w:t>
      </w:r>
      <w:r>
        <w:rPr>
          <w:rFonts w:hint="eastAsia"/>
        </w:rPr>
        <w:t>s Note, 3GPP TSG RAN WG1 #116bis, Changsha, China, April 15th - April 19th, 2024.</w:t>
      </w:r>
    </w:p>
    <w:p w:rsidR="00095EF3" w:rsidRDefault="00FE1FEC">
      <w:pPr>
        <w:pStyle w:val="References"/>
        <w:spacing w:before="120" w:after="120"/>
        <w:ind w:left="363" w:hanging="363"/>
      </w:pPr>
      <w:r>
        <w:rPr>
          <w:lang w:val="de-DE"/>
        </w:rPr>
        <w:lastRenderedPageBreak/>
        <w:t>R1-2403777</w:t>
      </w:r>
      <w:r>
        <w:rPr>
          <w:rFonts w:hint="eastAsia"/>
        </w:rPr>
        <w:t xml:space="preserve">, </w:t>
      </w:r>
      <w:r>
        <w:t>Final summary of AI 9.5.3 for R19 NES</w:t>
      </w:r>
      <w:r>
        <w:rPr>
          <w:rFonts w:hint="eastAsia"/>
        </w:rPr>
        <w:t>, 3GPP TSG RAN WG #116bis, Moderator (Ericsson), Changsha, China, April 15th - April 19th, 2024</w:t>
      </w:r>
    </w:p>
    <w:p w:rsidR="00095EF3" w:rsidRDefault="00FE1FEC">
      <w:pPr>
        <w:pStyle w:val="References"/>
        <w:spacing w:before="120" w:after="120"/>
        <w:ind w:left="363" w:hanging="363"/>
      </w:pPr>
      <w:r>
        <w:rPr>
          <w:rFonts w:hint="eastAsia"/>
        </w:rPr>
        <w:t>TS 38.213, V18.2.0, Physical layer procedures for control (Release 18).</w:t>
      </w:r>
    </w:p>
    <w:p w:rsidR="00095EF3" w:rsidRPr="00C07367" w:rsidRDefault="00FE1FEC" w:rsidP="00C07367">
      <w:pPr>
        <w:pStyle w:val="References"/>
        <w:spacing w:before="120" w:after="120"/>
        <w:ind w:left="363" w:hanging="363"/>
        <w:rPr>
          <w:rFonts w:hint="eastAsia"/>
        </w:rPr>
      </w:pPr>
      <w:r>
        <w:rPr>
          <w:rFonts w:hint="eastAsia"/>
        </w:rPr>
        <w:t>TS 38.211, V18.2.0 Physical channels and modulation (Release 18)</w:t>
      </w:r>
      <w:bookmarkStart w:id="41" w:name="_GoBack"/>
      <w:bookmarkEnd w:id="41"/>
    </w:p>
    <w:sectPr w:rsidR="00095EF3" w:rsidRPr="00C07367">
      <w:headerReference w:type="even" r:id="rId16"/>
      <w:headerReference w:type="default" r:id="rId17"/>
      <w:footerReference w:type="even" r:id="rId18"/>
      <w:footerReference w:type="default" r:id="rId19"/>
      <w:headerReference w:type="first" r:id="rId20"/>
      <w:footerReference w:type="first" r:id="rId21"/>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24BB" w:rsidRDefault="004B24BB">
      <w:pPr>
        <w:spacing w:before="120" w:after="120" w:line="240" w:lineRule="auto"/>
      </w:pPr>
      <w:r>
        <w:separator/>
      </w:r>
    </w:p>
  </w:endnote>
  <w:endnote w:type="continuationSeparator" w:id="0">
    <w:p w:rsidR="004B24BB" w:rsidRDefault="004B24B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CC5" w:rsidRDefault="002B0CC5">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CC5" w:rsidRDefault="002B0CC5">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2B0CC5" w:rsidRDefault="002B0CC5">
                          <w:pPr>
                            <w:pStyle w:val="ac"/>
                            <w:spacing w:before="120" w:after="120"/>
                          </w:pPr>
                          <w:r>
                            <w:fldChar w:fldCharType="begin"/>
                          </w:r>
                          <w:r>
                            <w:instrText xml:space="preserve"> PAGE  \* MERGEFORMAT </w:instrText>
                          </w:r>
                          <w:r>
                            <w:fldChar w:fldCharType="separate"/>
                          </w:r>
                          <w:r w:rsidR="00A82F1B">
                            <w:rPr>
                              <w:noProof/>
                            </w:rP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2B0CC5" w:rsidRDefault="002B0CC5">
                    <w:pPr>
                      <w:pStyle w:val="a9"/>
                      <w:spacing w:before="120" w:after="120"/>
                    </w:pPr>
                    <w:r>
                      <w:fldChar w:fldCharType="begin"/>
                    </w:r>
                    <w:r>
                      <w:instrText xml:space="preserve"> PAGE  \* MERGEFORMAT </w:instrText>
                    </w:r>
                    <w:r>
                      <w:fldChar w:fldCharType="separate"/>
                    </w:r>
                    <w:r w:rsidR="00A82F1B">
                      <w:rPr>
                        <w:noProof/>
                      </w:rPr>
                      <w:t>12</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CC5" w:rsidRDefault="002B0CC5">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24BB" w:rsidRDefault="004B24BB">
      <w:pPr>
        <w:spacing w:before="120" w:after="120"/>
      </w:pPr>
      <w:r>
        <w:separator/>
      </w:r>
    </w:p>
  </w:footnote>
  <w:footnote w:type="continuationSeparator" w:id="0">
    <w:p w:rsidR="004B24BB" w:rsidRDefault="004B24BB">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CC5" w:rsidRDefault="002B0CC5">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CC5" w:rsidRDefault="002B0CC5">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CC5" w:rsidRDefault="002B0CC5">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0E744147"/>
    <w:multiLevelType w:val="singleLevel"/>
    <w:tmpl w:val="0E744147"/>
    <w:lvl w:ilvl="0">
      <w:start w:val="1"/>
      <w:numFmt w:val="bullet"/>
      <w:lvlText w:val=""/>
      <w:lvlJc w:val="left"/>
      <w:pPr>
        <w:tabs>
          <w:tab w:val="left" w:pos="420"/>
        </w:tabs>
        <w:ind w:left="840" w:hanging="420"/>
      </w:pPr>
      <w:rPr>
        <w:rFonts w:ascii="Wingdings" w:hAnsi="Wingdings" w:cs="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1"/>
  </w:num>
  <w:num w:numId="5">
    <w:abstractNumId w:val="2"/>
  </w:num>
  <w:num w:numId="6">
    <w:abstractNumId w:val="5"/>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03EA"/>
    <w:rsid w:val="00050423"/>
    <w:rsid w:val="00051F4E"/>
    <w:rsid w:val="000529AC"/>
    <w:rsid w:val="00072FB0"/>
    <w:rsid w:val="00093DF3"/>
    <w:rsid w:val="00095EF3"/>
    <w:rsid w:val="000A15BE"/>
    <w:rsid w:val="000B1CC4"/>
    <w:rsid w:val="000C1A96"/>
    <w:rsid w:val="000D0462"/>
    <w:rsid w:val="000D0706"/>
    <w:rsid w:val="000D5E9E"/>
    <w:rsid w:val="000E2433"/>
    <w:rsid w:val="000F28CA"/>
    <w:rsid w:val="00103906"/>
    <w:rsid w:val="00142961"/>
    <w:rsid w:val="001470AA"/>
    <w:rsid w:val="00153BF7"/>
    <w:rsid w:val="0016113B"/>
    <w:rsid w:val="001622FF"/>
    <w:rsid w:val="001632AB"/>
    <w:rsid w:val="00172A27"/>
    <w:rsid w:val="001754AE"/>
    <w:rsid w:val="0018732E"/>
    <w:rsid w:val="00191912"/>
    <w:rsid w:val="00195F46"/>
    <w:rsid w:val="001B3634"/>
    <w:rsid w:val="001C1894"/>
    <w:rsid w:val="001C196F"/>
    <w:rsid w:val="001D1287"/>
    <w:rsid w:val="001E125B"/>
    <w:rsid w:val="001E262F"/>
    <w:rsid w:val="001F1BB1"/>
    <w:rsid w:val="001F415E"/>
    <w:rsid w:val="001F6E58"/>
    <w:rsid w:val="0020406B"/>
    <w:rsid w:val="00212872"/>
    <w:rsid w:val="0021360B"/>
    <w:rsid w:val="002148FE"/>
    <w:rsid w:val="00216169"/>
    <w:rsid w:val="002240E1"/>
    <w:rsid w:val="00224A1A"/>
    <w:rsid w:val="00227DF5"/>
    <w:rsid w:val="002320CA"/>
    <w:rsid w:val="002401EC"/>
    <w:rsid w:val="00243B44"/>
    <w:rsid w:val="00244ABB"/>
    <w:rsid w:val="00247A67"/>
    <w:rsid w:val="00251814"/>
    <w:rsid w:val="00256B05"/>
    <w:rsid w:val="00261C72"/>
    <w:rsid w:val="0026766E"/>
    <w:rsid w:val="002748A9"/>
    <w:rsid w:val="00282069"/>
    <w:rsid w:val="002B0CC5"/>
    <w:rsid w:val="002B4661"/>
    <w:rsid w:val="002B65F4"/>
    <w:rsid w:val="002C43A1"/>
    <w:rsid w:val="002C4448"/>
    <w:rsid w:val="002C68AC"/>
    <w:rsid w:val="002C7CCD"/>
    <w:rsid w:val="002F037D"/>
    <w:rsid w:val="002F0E7A"/>
    <w:rsid w:val="002F2535"/>
    <w:rsid w:val="002F5687"/>
    <w:rsid w:val="002F5A8D"/>
    <w:rsid w:val="00302F20"/>
    <w:rsid w:val="00303936"/>
    <w:rsid w:val="00311A5F"/>
    <w:rsid w:val="00314748"/>
    <w:rsid w:val="00315B5C"/>
    <w:rsid w:val="00316046"/>
    <w:rsid w:val="00317501"/>
    <w:rsid w:val="0032132F"/>
    <w:rsid w:val="00322EE2"/>
    <w:rsid w:val="00325902"/>
    <w:rsid w:val="003275A3"/>
    <w:rsid w:val="00332D30"/>
    <w:rsid w:val="0033573E"/>
    <w:rsid w:val="00335FF9"/>
    <w:rsid w:val="0034009F"/>
    <w:rsid w:val="00340631"/>
    <w:rsid w:val="00343CE4"/>
    <w:rsid w:val="00344E48"/>
    <w:rsid w:val="003466BB"/>
    <w:rsid w:val="0035253F"/>
    <w:rsid w:val="00352F64"/>
    <w:rsid w:val="00361D52"/>
    <w:rsid w:val="003704FF"/>
    <w:rsid w:val="00370D7F"/>
    <w:rsid w:val="00372A00"/>
    <w:rsid w:val="00373667"/>
    <w:rsid w:val="00376E4B"/>
    <w:rsid w:val="00376EEB"/>
    <w:rsid w:val="00383894"/>
    <w:rsid w:val="003872BB"/>
    <w:rsid w:val="0039698B"/>
    <w:rsid w:val="00396F31"/>
    <w:rsid w:val="00397BA3"/>
    <w:rsid w:val="003A1DCE"/>
    <w:rsid w:val="003A4365"/>
    <w:rsid w:val="003A6BBE"/>
    <w:rsid w:val="003A7EAD"/>
    <w:rsid w:val="003B53DF"/>
    <w:rsid w:val="003D264E"/>
    <w:rsid w:val="003D44C6"/>
    <w:rsid w:val="003F7415"/>
    <w:rsid w:val="004003D2"/>
    <w:rsid w:val="00417C55"/>
    <w:rsid w:val="004209E1"/>
    <w:rsid w:val="0042238B"/>
    <w:rsid w:val="00424C58"/>
    <w:rsid w:val="00436330"/>
    <w:rsid w:val="00450C17"/>
    <w:rsid w:val="004527B1"/>
    <w:rsid w:val="004545A5"/>
    <w:rsid w:val="004608F6"/>
    <w:rsid w:val="004724B4"/>
    <w:rsid w:val="00472B06"/>
    <w:rsid w:val="00477655"/>
    <w:rsid w:val="0048120F"/>
    <w:rsid w:val="00482706"/>
    <w:rsid w:val="00490434"/>
    <w:rsid w:val="00495C90"/>
    <w:rsid w:val="004A142B"/>
    <w:rsid w:val="004A5D1D"/>
    <w:rsid w:val="004A699E"/>
    <w:rsid w:val="004B24BB"/>
    <w:rsid w:val="004B44A9"/>
    <w:rsid w:val="004C1A54"/>
    <w:rsid w:val="004F5994"/>
    <w:rsid w:val="00500F45"/>
    <w:rsid w:val="00503921"/>
    <w:rsid w:val="00507A00"/>
    <w:rsid w:val="005176E7"/>
    <w:rsid w:val="00523589"/>
    <w:rsid w:val="00523668"/>
    <w:rsid w:val="00523AD9"/>
    <w:rsid w:val="00523D5E"/>
    <w:rsid w:val="00527033"/>
    <w:rsid w:val="00531B5B"/>
    <w:rsid w:val="00532500"/>
    <w:rsid w:val="005349A5"/>
    <w:rsid w:val="00541B22"/>
    <w:rsid w:val="005441AF"/>
    <w:rsid w:val="00546436"/>
    <w:rsid w:val="00547723"/>
    <w:rsid w:val="00562BDD"/>
    <w:rsid w:val="00563D44"/>
    <w:rsid w:val="00564BCB"/>
    <w:rsid w:val="00572F6E"/>
    <w:rsid w:val="00574776"/>
    <w:rsid w:val="0058526A"/>
    <w:rsid w:val="0059321F"/>
    <w:rsid w:val="00593818"/>
    <w:rsid w:val="005A05C6"/>
    <w:rsid w:val="005A0FE9"/>
    <w:rsid w:val="005B4980"/>
    <w:rsid w:val="005B77A5"/>
    <w:rsid w:val="005C6B42"/>
    <w:rsid w:val="005D5019"/>
    <w:rsid w:val="005D6A1C"/>
    <w:rsid w:val="005E2C89"/>
    <w:rsid w:val="005E783C"/>
    <w:rsid w:val="005F26E5"/>
    <w:rsid w:val="005F4271"/>
    <w:rsid w:val="005F5C88"/>
    <w:rsid w:val="00611232"/>
    <w:rsid w:val="00613364"/>
    <w:rsid w:val="00613B13"/>
    <w:rsid w:val="00614E28"/>
    <w:rsid w:val="00617327"/>
    <w:rsid w:val="00617EE7"/>
    <w:rsid w:val="00620288"/>
    <w:rsid w:val="00620D7C"/>
    <w:rsid w:val="00620F64"/>
    <w:rsid w:val="006217A1"/>
    <w:rsid w:val="006231ED"/>
    <w:rsid w:val="00624C23"/>
    <w:rsid w:val="00631BAA"/>
    <w:rsid w:val="00633E43"/>
    <w:rsid w:val="00637D11"/>
    <w:rsid w:val="00640B94"/>
    <w:rsid w:val="00642298"/>
    <w:rsid w:val="00646EAA"/>
    <w:rsid w:val="006501AA"/>
    <w:rsid w:val="006536B8"/>
    <w:rsid w:val="00654F58"/>
    <w:rsid w:val="006619AB"/>
    <w:rsid w:val="00674739"/>
    <w:rsid w:val="00676C72"/>
    <w:rsid w:val="00680FFF"/>
    <w:rsid w:val="00691376"/>
    <w:rsid w:val="006922EF"/>
    <w:rsid w:val="00694EF8"/>
    <w:rsid w:val="00694FB9"/>
    <w:rsid w:val="006C2229"/>
    <w:rsid w:val="006C55B1"/>
    <w:rsid w:val="006C69C1"/>
    <w:rsid w:val="006D11DE"/>
    <w:rsid w:val="006D3D89"/>
    <w:rsid w:val="006D7607"/>
    <w:rsid w:val="006E01C3"/>
    <w:rsid w:val="006E5CA4"/>
    <w:rsid w:val="006F4852"/>
    <w:rsid w:val="00700636"/>
    <w:rsid w:val="00701BF9"/>
    <w:rsid w:val="007036F7"/>
    <w:rsid w:val="0070691A"/>
    <w:rsid w:val="0070693A"/>
    <w:rsid w:val="00717A38"/>
    <w:rsid w:val="0073053B"/>
    <w:rsid w:val="00735DC1"/>
    <w:rsid w:val="007427BB"/>
    <w:rsid w:val="007440A2"/>
    <w:rsid w:val="00745143"/>
    <w:rsid w:val="00747C56"/>
    <w:rsid w:val="007501AC"/>
    <w:rsid w:val="00762F1B"/>
    <w:rsid w:val="00764323"/>
    <w:rsid w:val="0076682E"/>
    <w:rsid w:val="00770A69"/>
    <w:rsid w:val="0077581A"/>
    <w:rsid w:val="0077761A"/>
    <w:rsid w:val="00784828"/>
    <w:rsid w:val="00785A2A"/>
    <w:rsid w:val="00786A2C"/>
    <w:rsid w:val="00787FA9"/>
    <w:rsid w:val="007A0CD8"/>
    <w:rsid w:val="007A116F"/>
    <w:rsid w:val="007B0FD9"/>
    <w:rsid w:val="007B458B"/>
    <w:rsid w:val="007B7FE6"/>
    <w:rsid w:val="007C4328"/>
    <w:rsid w:val="007C440F"/>
    <w:rsid w:val="007E4A23"/>
    <w:rsid w:val="007F39F4"/>
    <w:rsid w:val="00802A15"/>
    <w:rsid w:val="00810C42"/>
    <w:rsid w:val="00814C1B"/>
    <w:rsid w:val="00816EF3"/>
    <w:rsid w:val="008225A5"/>
    <w:rsid w:val="008266C4"/>
    <w:rsid w:val="008412CD"/>
    <w:rsid w:val="0084332A"/>
    <w:rsid w:val="00847621"/>
    <w:rsid w:val="00852635"/>
    <w:rsid w:val="008531F2"/>
    <w:rsid w:val="0085443B"/>
    <w:rsid w:val="00857E93"/>
    <w:rsid w:val="008652E8"/>
    <w:rsid w:val="00870679"/>
    <w:rsid w:val="00870E40"/>
    <w:rsid w:val="00886E49"/>
    <w:rsid w:val="00886EA7"/>
    <w:rsid w:val="00892B4C"/>
    <w:rsid w:val="00893268"/>
    <w:rsid w:val="0089344F"/>
    <w:rsid w:val="00894520"/>
    <w:rsid w:val="008A72B5"/>
    <w:rsid w:val="008B3130"/>
    <w:rsid w:val="008B547D"/>
    <w:rsid w:val="008B5C48"/>
    <w:rsid w:val="008B7F10"/>
    <w:rsid w:val="008C0445"/>
    <w:rsid w:val="008E4847"/>
    <w:rsid w:val="008F255E"/>
    <w:rsid w:val="008F3DC8"/>
    <w:rsid w:val="00903A35"/>
    <w:rsid w:val="00922624"/>
    <w:rsid w:val="00923BDA"/>
    <w:rsid w:val="0093617A"/>
    <w:rsid w:val="009411A5"/>
    <w:rsid w:val="00946A7C"/>
    <w:rsid w:val="00950DB1"/>
    <w:rsid w:val="009510DF"/>
    <w:rsid w:val="00952C83"/>
    <w:rsid w:val="00957418"/>
    <w:rsid w:val="009610C6"/>
    <w:rsid w:val="0096194F"/>
    <w:rsid w:val="009633C7"/>
    <w:rsid w:val="00966E7D"/>
    <w:rsid w:val="00970630"/>
    <w:rsid w:val="00971A1F"/>
    <w:rsid w:val="009734B7"/>
    <w:rsid w:val="00983FE2"/>
    <w:rsid w:val="009850EA"/>
    <w:rsid w:val="00986B97"/>
    <w:rsid w:val="009900F2"/>
    <w:rsid w:val="00994A41"/>
    <w:rsid w:val="009A380A"/>
    <w:rsid w:val="009A3A36"/>
    <w:rsid w:val="009A4F31"/>
    <w:rsid w:val="009B05AD"/>
    <w:rsid w:val="009B18A3"/>
    <w:rsid w:val="009B5557"/>
    <w:rsid w:val="009D6400"/>
    <w:rsid w:val="009D7770"/>
    <w:rsid w:val="009D7C12"/>
    <w:rsid w:val="009E62A3"/>
    <w:rsid w:val="009F65A8"/>
    <w:rsid w:val="009F7747"/>
    <w:rsid w:val="00A05A33"/>
    <w:rsid w:val="00A14F22"/>
    <w:rsid w:val="00A171E5"/>
    <w:rsid w:val="00A17810"/>
    <w:rsid w:val="00A17EA3"/>
    <w:rsid w:val="00A21523"/>
    <w:rsid w:val="00A26720"/>
    <w:rsid w:val="00A33BD9"/>
    <w:rsid w:val="00A40C3F"/>
    <w:rsid w:val="00A4182C"/>
    <w:rsid w:val="00A50B2A"/>
    <w:rsid w:val="00A51CDD"/>
    <w:rsid w:val="00A54165"/>
    <w:rsid w:val="00A54A48"/>
    <w:rsid w:val="00A551E2"/>
    <w:rsid w:val="00A56849"/>
    <w:rsid w:val="00A64DED"/>
    <w:rsid w:val="00A656E5"/>
    <w:rsid w:val="00A809DB"/>
    <w:rsid w:val="00A82F1B"/>
    <w:rsid w:val="00A86EB5"/>
    <w:rsid w:val="00A91773"/>
    <w:rsid w:val="00A92854"/>
    <w:rsid w:val="00A92CA8"/>
    <w:rsid w:val="00AA1889"/>
    <w:rsid w:val="00AB0AAF"/>
    <w:rsid w:val="00AB251B"/>
    <w:rsid w:val="00AB500B"/>
    <w:rsid w:val="00AB5108"/>
    <w:rsid w:val="00AB6D34"/>
    <w:rsid w:val="00AC24BF"/>
    <w:rsid w:val="00AD56C4"/>
    <w:rsid w:val="00AD7FE5"/>
    <w:rsid w:val="00AE5530"/>
    <w:rsid w:val="00B031EF"/>
    <w:rsid w:val="00B11405"/>
    <w:rsid w:val="00B138E9"/>
    <w:rsid w:val="00B179E3"/>
    <w:rsid w:val="00B245AA"/>
    <w:rsid w:val="00B34FF8"/>
    <w:rsid w:val="00B43645"/>
    <w:rsid w:val="00B54730"/>
    <w:rsid w:val="00B56091"/>
    <w:rsid w:val="00B60F6C"/>
    <w:rsid w:val="00B663FA"/>
    <w:rsid w:val="00B76824"/>
    <w:rsid w:val="00B81C3C"/>
    <w:rsid w:val="00B87AB7"/>
    <w:rsid w:val="00BA72B7"/>
    <w:rsid w:val="00BA7674"/>
    <w:rsid w:val="00BB08C4"/>
    <w:rsid w:val="00BD72A5"/>
    <w:rsid w:val="00BE22EC"/>
    <w:rsid w:val="00BE5D22"/>
    <w:rsid w:val="00BF526E"/>
    <w:rsid w:val="00BF743C"/>
    <w:rsid w:val="00C07367"/>
    <w:rsid w:val="00C07C74"/>
    <w:rsid w:val="00C12784"/>
    <w:rsid w:val="00C16276"/>
    <w:rsid w:val="00C212A7"/>
    <w:rsid w:val="00C2142E"/>
    <w:rsid w:val="00C22FCF"/>
    <w:rsid w:val="00C2334E"/>
    <w:rsid w:val="00C2713A"/>
    <w:rsid w:val="00C34D7A"/>
    <w:rsid w:val="00C34FD0"/>
    <w:rsid w:val="00C625E3"/>
    <w:rsid w:val="00C67AE3"/>
    <w:rsid w:val="00C76271"/>
    <w:rsid w:val="00C829B3"/>
    <w:rsid w:val="00C855D2"/>
    <w:rsid w:val="00C922BC"/>
    <w:rsid w:val="00C925E7"/>
    <w:rsid w:val="00CA09F5"/>
    <w:rsid w:val="00CA152B"/>
    <w:rsid w:val="00CB03D7"/>
    <w:rsid w:val="00CB046A"/>
    <w:rsid w:val="00CB7FB3"/>
    <w:rsid w:val="00CC01B0"/>
    <w:rsid w:val="00CC11A8"/>
    <w:rsid w:val="00CC2CD6"/>
    <w:rsid w:val="00CD41D7"/>
    <w:rsid w:val="00CD5E4A"/>
    <w:rsid w:val="00CD62C4"/>
    <w:rsid w:val="00CE32ED"/>
    <w:rsid w:val="00CF0062"/>
    <w:rsid w:val="00CF25E8"/>
    <w:rsid w:val="00CF4293"/>
    <w:rsid w:val="00D01D0A"/>
    <w:rsid w:val="00D029A8"/>
    <w:rsid w:val="00D06F00"/>
    <w:rsid w:val="00D14578"/>
    <w:rsid w:val="00D24465"/>
    <w:rsid w:val="00D27BF8"/>
    <w:rsid w:val="00D30D70"/>
    <w:rsid w:val="00D30FF6"/>
    <w:rsid w:val="00D54F1B"/>
    <w:rsid w:val="00D57D7B"/>
    <w:rsid w:val="00D60DA9"/>
    <w:rsid w:val="00D701BB"/>
    <w:rsid w:val="00D714E2"/>
    <w:rsid w:val="00D7289E"/>
    <w:rsid w:val="00D82051"/>
    <w:rsid w:val="00D82CF5"/>
    <w:rsid w:val="00D838A0"/>
    <w:rsid w:val="00D8554E"/>
    <w:rsid w:val="00D871C4"/>
    <w:rsid w:val="00D8785A"/>
    <w:rsid w:val="00D91349"/>
    <w:rsid w:val="00D92E3B"/>
    <w:rsid w:val="00DB0E95"/>
    <w:rsid w:val="00DB12AD"/>
    <w:rsid w:val="00DB2010"/>
    <w:rsid w:val="00DB505E"/>
    <w:rsid w:val="00DC0C4F"/>
    <w:rsid w:val="00DC1213"/>
    <w:rsid w:val="00DC6532"/>
    <w:rsid w:val="00DC6E1E"/>
    <w:rsid w:val="00DC70F6"/>
    <w:rsid w:val="00DC724A"/>
    <w:rsid w:val="00DD5F49"/>
    <w:rsid w:val="00DF2726"/>
    <w:rsid w:val="00DF4482"/>
    <w:rsid w:val="00E023FF"/>
    <w:rsid w:val="00E05651"/>
    <w:rsid w:val="00E068AA"/>
    <w:rsid w:val="00E258FC"/>
    <w:rsid w:val="00E30348"/>
    <w:rsid w:val="00E339EA"/>
    <w:rsid w:val="00E52879"/>
    <w:rsid w:val="00E55791"/>
    <w:rsid w:val="00E56340"/>
    <w:rsid w:val="00E67009"/>
    <w:rsid w:val="00E704FD"/>
    <w:rsid w:val="00E74935"/>
    <w:rsid w:val="00E75D6F"/>
    <w:rsid w:val="00E8609B"/>
    <w:rsid w:val="00E91559"/>
    <w:rsid w:val="00E92BF0"/>
    <w:rsid w:val="00E94718"/>
    <w:rsid w:val="00E95FFE"/>
    <w:rsid w:val="00EA0820"/>
    <w:rsid w:val="00EB70EA"/>
    <w:rsid w:val="00ED0DCA"/>
    <w:rsid w:val="00ED373D"/>
    <w:rsid w:val="00ED47A7"/>
    <w:rsid w:val="00EE1EE7"/>
    <w:rsid w:val="00F019E9"/>
    <w:rsid w:val="00F05DFC"/>
    <w:rsid w:val="00F072E8"/>
    <w:rsid w:val="00F143A1"/>
    <w:rsid w:val="00F1480F"/>
    <w:rsid w:val="00F14FDC"/>
    <w:rsid w:val="00F179F3"/>
    <w:rsid w:val="00F2072B"/>
    <w:rsid w:val="00F34277"/>
    <w:rsid w:val="00F4372E"/>
    <w:rsid w:val="00F453FE"/>
    <w:rsid w:val="00F71825"/>
    <w:rsid w:val="00F80169"/>
    <w:rsid w:val="00F81514"/>
    <w:rsid w:val="00F82200"/>
    <w:rsid w:val="00F86352"/>
    <w:rsid w:val="00F87040"/>
    <w:rsid w:val="00F95A32"/>
    <w:rsid w:val="00FA3FD9"/>
    <w:rsid w:val="00FA6AF6"/>
    <w:rsid w:val="00FA7D65"/>
    <w:rsid w:val="00FB593A"/>
    <w:rsid w:val="00FC20D8"/>
    <w:rsid w:val="00FC72FB"/>
    <w:rsid w:val="00FE0900"/>
    <w:rsid w:val="00FE1FEC"/>
    <w:rsid w:val="010D0267"/>
    <w:rsid w:val="010D6400"/>
    <w:rsid w:val="01116D56"/>
    <w:rsid w:val="011C7F2E"/>
    <w:rsid w:val="011D1CFC"/>
    <w:rsid w:val="013B3CF1"/>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2C91126"/>
    <w:rsid w:val="031A6DDF"/>
    <w:rsid w:val="032219B3"/>
    <w:rsid w:val="035F7137"/>
    <w:rsid w:val="0368661B"/>
    <w:rsid w:val="03817C6C"/>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965B13"/>
    <w:rsid w:val="05AA751F"/>
    <w:rsid w:val="05AB3E4C"/>
    <w:rsid w:val="05C40254"/>
    <w:rsid w:val="05D01949"/>
    <w:rsid w:val="05D45DE8"/>
    <w:rsid w:val="05DD3B0E"/>
    <w:rsid w:val="06083F43"/>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C0F1E"/>
    <w:rsid w:val="07573824"/>
    <w:rsid w:val="075A5568"/>
    <w:rsid w:val="077046F9"/>
    <w:rsid w:val="07816512"/>
    <w:rsid w:val="0797540B"/>
    <w:rsid w:val="07C51163"/>
    <w:rsid w:val="07F63B68"/>
    <w:rsid w:val="07FE43B3"/>
    <w:rsid w:val="07FF469C"/>
    <w:rsid w:val="08067A83"/>
    <w:rsid w:val="080C2DB1"/>
    <w:rsid w:val="083900EE"/>
    <w:rsid w:val="084F55D9"/>
    <w:rsid w:val="086F5C08"/>
    <w:rsid w:val="087807B5"/>
    <w:rsid w:val="087C2BF1"/>
    <w:rsid w:val="089D4BC3"/>
    <w:rsid w:val="08A367A0"/>
    <w:rsid w:val="08AD693C"/>
    <w:rsid w:val="08B7744C"/>
    <w:rsid w:val="08CA4673"/>
    <w:rsid w:val="08D24C49"/>
    <w:rsid w:val="08D545C6"/>
    <w:rsid w:val="08D92F9A"/>
    <w:rsid w:val="08E152BA"/>
    <w:rsid w:val="08E3236B"/>
    <w:rsid w:val="08E41C3F"/>
    <w:rsid w:val="08F362FF"/>
    <w:rsid w:val="08F76659"/>
    <w:rsid w:val="092A35DC"/>
    <w:rsid w:val="09733A93"/>
    <w:rsid w:val="09773AD2"/>
    <w:rsid w:val="09912D87"/>
    <w:rsid w:val="099D1F0E"/>
    <w:rsid w:val="09A13012"/>
    <w:rsid w:val="09B8038E"/>
    <w:rsid w:val="09B807DC"/>
    <w:rsid w:val="09B96487"/>
    <w:rsid w:val="09BB1324"/>
    <w:rsid w:val="09DD5F33"/>
    <w:rsid w:val="09E2510B"/>
    <w:rsid w:val="09E2618B"/>
    <w:rsid w:val="0A0D0A5C"/>
    <w:rsid w:val="0A1332A7"/>
    <w:rsid w:val="0A1434BD"/>
    <w:rsid w:val="0A177598"/>
    <w:rsid w:val="0A2A0A4E"/>
    <w:rsid w:val="0A33259C"/>
    <w:rsid w:val="0A3A2974"/>
    <w:rsid w:val="0A670FF2"/>
    <w:rsid w:val="0A902401"/>
    <w:rsid w:val="0AA04A08"/>
    <w:rsid w:val="0AC857E6"/>
    <w:rsid w:val="0AF011AC"/>
    <w:rsid w:val="0AFE6CA0"/>
    <w:rsid w:val="0B133891"/>
    <w:rsid w:val="0B17278B"/>
    <w:rsid w:val="0B2161DE"/>
    <w:rsid w:val="0B24227A"/>
    <w:rsid w:val="0B2C066D"/>
    <w:rsid w:val="0B372F62"/>
    <w:rsid w:val="0B527D96"/>
    <w:rsid w:val="0B7E7B40"/>
    <w:rsid w:val="0B867DD4"/>
    <w:rsid w:val="0B8906D5"/>
    <w:rsid w:val="0B990F05"/>
    <w:rsid w:val="0BA163C4"/>
    <w:rsid w:val="0BBA4C3E"/>
    <w:rsid w:val="0BC527E7"/>
    <w:rsid w:val="0BDE30C9"/>
    <w:rsid w:val="0BE9216B"/>
    <w:rsid w:val="0C04199B"/>
    <w:rsid w:val="0C0B0A79"/>
    <w:rsid w:val="0C182984"/>
    <w:rsid w:val="0C233DDB"/>
    <w:rsid w:val="0C243614"/>
    <w:rsid w:val="0C641CE4"/>
    <w:rsid w:val="0C8E4C85"/>
    <w:rsid w:val="0C8F3817"/>
    <w:rsid w:val="0C9A21C7"/>
    <w:rsid w:val="0CBA3E26"/>
    <w:rsid w:val="0CC86926"/>
    <w:rsid w:val="0CCA2E65"/>
    <w:rsid w:val="0CD87B6A"/>
    <w:rsid w:val="0CE70F5A"/>
    <w:rsid w:val="0CED70FB"/>
    <w:rsid w:val="0CF04B26"/>
    <w:rsid w:val="0D274B82"/>
    <w:rsid w:val="0D6718A8"/>
    <w:rsid w:val="0D8A5C4C"/>
    <w:rsid w:val="0D9D3B84"/>
    <w:rsid w:val="0DA826B2"/>
    <w:rsid w:val="0DC46801"/>
    <w:rsid w:val="0DD03A03"/>
    <w:rsid w:val="0DDA5E66"/>
    <w:rsid w:val="0DE80CCD"/>
    <w:rsid w:val="0DE92A73"/>
    <w:rsid w:val="0DFC6FB1"/>
    <w:rsid w:val="0E1B6666"/>
    <w:rsid w:val="0E342F61"/>
    <w:rsid w:val="0E546450"/>
    <w:rsid w:val="0E6A657A"/>
    <w:rsid w:val="0E6F3BE7"/>
    <w:rsid w:val="0E8756CE"/>
    <w:rsid w:val="0E875907"/>
    <w:rsid w:val="0E9E306F"/>
    <w:rsid w:val="0EBE485B"/>
    <w:rsid w:val="0ECE319D"/>
    <w:rsid w:val="0EE11FA9"/>
    <w:rsid w:val="0EEE11BD"/>
    <w:rsid w:val="0EF36676"/>
    <w:rsid w:val="0EFF2521"/>
    <w:rsid w:val="0F0E45C0"/>
    <w:rsid w:val="0F121040"/>
    <w:rsid w:val="0F210C17"/>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35011A"/>
    <w:rsid w:val="103607AE"/>
    <w:rsid w:val="10384280"/>
    <w:rsid w:val="105D7F23"/>
    <w:rsid w:val="106506A9"/>
    <w:rsid w:val="108E0879"/>
    <w:rsid w:val="10A7382A"/>
    <w:rsid w:val="10C359D9"/>
    <w:rsid w:val="11011524"/>
    <w:rsid w:val="110877A1"/>
    <w:rsid w:val="110D72EA"/>
    <w:rsid w:val="110E7959"/>
    <w:rsid w:val="1119722C"/>
    <w:rsid w:val="11241AA9"/>
    <w:rsid w:val="1127264D"/>
    <w:rsid w:val="11434434"/>
    <w:rsid w:val="114A05F1"/>
    <w:rsid w:val="115C58D6"/>
    <w:rsid w:val="11604BE2"/>
    <w:rsid w:val="11722043"/>
    <w:rsid w:val="118F4329"/>
    <w:rsid w:val="119F6D5C"/>
    <w:rsid w:val="11A0225A"/>
    <w:rsid w:val="11A922D8"/>
    <w:rsid w:val="11AC7AC7"/>
    <w:rsid w:val="11B513F7"/>
    <w:rsid w:val="11D45AE1"/>
    <w:rsid w:val="11EA2125"/>
    <w:rsid w:val="12023099"/>
    <w:rsid w:val="122012FA"/>
    <w:rsid w:val="12373AAE"/>
    <w:rsid w:val="123D7233"/>
    <w:rsid w:val="124421AC"/>
    <w:rsid w:val="124D011C"/>
    <w:rsid w:val="125B107A"/>
    <w:rsid w:val="12753E07"/>
    <w:rsid w:val="127B28B7"/>
    <w:rsid w:val="129245E5"/>
    <w:rsid w:val="12C10D7D"/>
    <w:rsid w:val="12CE1204"/>
    <w:rsid w:val="12F06EE1"/>
    <w:rsid w:val="12F32533"/>
    <w:rsid w:val="12F34854"/>
    <w:rsid w:val="13153AEF"/>
    <w:rsid w:val="132D77D9"/>
    <w:rsid w:val="134F7B0B"/>
    <w:rsid w:val="13683A5C"/>
    <w:rsid w:val="137C5217"/>
    <w:rsid w:val="13917553"/>
    <w:rsid w:val="13B07F3E"/>
    <w:rsid w:val="13B26405"/>
    <w:rsid w:val="13BF5ED3"/>
    <w:rsid w:val="13FD1C15"/>
    <w:rsid w:val="14083C98"/>
    <w:rsid w:val="140876D8"/>
    <w:rsid w:val="141845E0"/>
    <w:rsid w:val="141C18EA"/>
    <w:rsid w:val="141F1808"/>
    <w:rsid w:val="142B02F1"/>
    <w:rsid w:val="142E08FB"/>
    <w:rsid w:val="142F47CB"/>
    <w:rsid w:val="142F7B6B"/>
    <w:rsid w:val="1441758D"/>
    <w:rsid w:val="145B1FDF"/>
    <w:rsid w:val="145E7A95"/>
    <w:rsid w:val="146575A3"/>
    <w:rsid w:val="148B15E0"/>
    <w:rsid w:val="14D20D9B"/>
    <w:rsid w:val="15006FBE"/>
    <w:rsid w:val="151F6B5A"/>
    <w:rsid w:val="15212130"/>
    <w:rsid w:val="156542CB"/>
    <w:rsid w:val="156E500A"/>
    <w:rsid w:val="158014E9"/>
    <w:rsid w:val="158A5B50"/>
    <w:rsid w:val="159F23B3"/>
    <w:rsid w:val="15A2498C"/>
    <w:rsid w:val="15A41290"/>
    <w:rsid w:val="15B66B91"/>
    <w:rsid w:val="15C3420A"/>
    <w:rsid w:val="15E47F68"/>
    <w:rsid w:val="15EF0116"/>
    <w:rsid w:val="15FF6EEC"/>
    <w:rsid w:val="16041E01"/>
    <w:rsid w:val="16232CF9"/>
    <w:rsid w:val="16262029"/>
    <w:rsid w:val="16397749"/>
    <w:rsid w:val="164026BE"/>
    <w:rsid w:val="16406CEA"/>
    <w:rsid w:val="1650457C"/>
    <w:rsid w:val="16562259"/>
    <w:rsid w:val="165B3324"/>
    <w:rsid w:val="16764951"/>
    <w:rsid w:val="167A273E"/>
    <w:rsid w:val="16A61F0D"/>
    <w:rsid w:val="16A90BBF"/>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EF5DD9"/>
    <w:rsid w:val="17F77922"/>
    <w:rsid w:val="18055C5F"/>
    <w:rsid w:val="1818083E"/>
    <w:rsid w:val="184253B9"/>
    <w:rsid w:val="18434C37"/>
    <w:rsid w:val="186202E0"/>
    <w:rsid w:val="18655B8E"/>
    <w:rsid w:val="186E43F1"/>
    <w:rsid w:val="188153D5"/>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41A0E"/>
    <w:rsid w:val="1A6D533B"/>
    <w:rsid w:val="1A712F48"/>
    <w:rsid w:val="1A9D156F"/>
    <w:rsid w:val="1AA80D9B"/>
    <w:rsid w:val="1AA847EC"/>
    <w:rsid w:val="1AAD0BB3"/>
    <w:rsid w:val="1AD01EB8"/>
    <w:rsid w:val="1AD03E52"/>
    <w:rsid w:val="1AD875EC"/>
    <w:rsid w:val="1AE26A3D"/>
    <w:rsid w:val="1AF475AD"/>
    <w:rsid w:val="1AF92EDF"/>
    <w:rsid w:val="1AFD70F0"/>
    <w:rsid w:val="1B0270FF"/>
    <w:rsid w:val="1B171A8F"/>
    <w:rsid w:val="1B181DD9"/>
    <w:rsid w:val="1B2F477F"/>
    <w:rsid w:val="1B4604AB"/>
    <w:rsid w:val="1B68276D"/>
    <w:rsid w:val="1B6C3B7D"/>
    <w:rsid w:val="1B7F0ABE"/>
    <w:rsid w:val="1B834589"/>
    <w:rsid w:val="1B9C71DA"/>
    <w:rsid w:val="1BA75872"/>
    <w:rsid w:val="1BAB396E"/>
    <w:rsid w:val="1BB07C7C"/>
    <w:rsid w:val="1BBB692B"/>
    <w:rsid w:val="1BBF0E19"/>
    <w:rsid w:val="1BCD692F"/>
    <w:rsid w:val="1BE23EBD"/>
    <w:rsid w:val="1BFB1528"/>
    <w:rsid w:val="1BFE2888"/>
    <w:rsid w:val="1C2E6201"/>
    <w:rsid w:val="1C302928"/>
    <w:rsid w:val="1C52178E"/>
    <w:rsid w:val="1C68632B"/>
    <w:rsid w:val="1C9F1651"/>
    <w:rsid w:val="1CA6090C"/>
    <w:rsid w:val="1CEB46F7"/>
    <w:rsid w:val="1D23735C"/>
    <w:rsid w:val="1D54071F"/>
    <w:rsid w:val="1D6451C6"/>
    <w:rsid w:val="1D654C9F"/>
    <w:rsid w:val="1D69417C"/>
    <w:rsid w:val="1D807289"/>
    <w:rsid w:val="1D8E233B"/>
    <w:rsid w:val="1D92552F"/>
    <w:rsid w:val="1D975DF7"/>
    <w:rsid w:val="1D9B123D"/>
    <w:rsid w:val="1D9E12E8"/>
    <w:rsid w:val="1DCB4927"/>
    <w:rsid w:val="1DD6405C"/>
    <w:rsid w:val="1DDD3571"/>
    <w:rsid w:val="1E190463"/>
    <w:rsid w:val="1E24668A"/>
    <w:rsid w:val="1E2A27A6"/>
    <w:rsid w:val="1E4B2FD7"/>
    <w:rsid w:val="1E645EBF"/>
    <w:rsid w:val="1E6D28B4"/>
    <w:rsid w:val="1E7911C9"/>
    <w:rsid w:val="1E7B335B"/>
    <w:rsid w:val="1E8D194D"/>
    <w:rsid w:val="1EA50F33"/>
    <w:rsid w:val="1ED503FA"/>
    <w:rsid w:val="1EE724BA"/>
    <w:rsid w:val="1EFF6434"/>
    <w:rsid w:val="1F311F17"/>
    <w:rsid w:val="1F3A0011"/>
    <w:rsid w:val="1F3A5F92"/>
    <w:rsid w:val="1F5607E6"/>
    <w:rsid w:val="1F701095"/>
    <w:rsid w:val="1F923DE6"/>
    <w:rsid w:val="1FA42D75"/>
    <w:rsid w:val="1FA610B9"/>
    <w:rsid w:val="1FBE498B"/>
    <w:rsid w:val="1FD024AA"/>
    <w:rsid w:val="1FDC54C4"/>
    <w:rsid w:val="1FEE4C5C"/>
    <w:rsid w:val="1FF012A4"/>
    <w:rsid w:val="1FF23EC9"/>
    <w:rsid w:val="20040834"/>
    <w:rsid w:val="20190666"/>
    <w:rsid w:val="202C1885"/>
    <w:rsid w:val="203B574B"/>
    <w:rsid w:val="204A7C68"/>
    <w:rsid w:val="2053493C"/>
    <w:rsid w:val="205B6A7D"/>
    <w:rsid w:val="205E4038"/>
    <w:rsid w:val="2075093F"/>
    <w:rsid w:val="20786BA2"/>
    <w:rsid w:val="207F447D"/>
    <w:rsid w:val="20884263"/>
    <w:rsid w:val="209D6390"/>
    <w:rsid w:val="20A160B2"/>
    <w:rsid w:val="20D105CB"/>
    <w:rsid w:val="20D16460"/>
    <w:rsid w:val="20DD7F39"/>
    <w:rsid w:val="20E24774"/>
    <w:rsid w:val="20F10AC4"/>
    <w:rsid w:val="20F25221"/>
    <w:rsid w:val="21145BE0"/>
    <w:rsid w:val="21440678"/>
    <w:rsid w:val="216365D8"/>
    <w:rsid w:val="2165140C"/>
    <w:rsid w:val="21691F88"/>
    <w:rsid w:val="2187182E"/>
    <w:rsid w:val="218A070F"/>
    <w:rsid w:val="21957939"/>
    <w:rsid w:val="21C1624C"/>
    <w:rsid w:val="21E26EA0"/>
    <w:rsid w:val="21E4665D"/>
    <w:rsid w:val="21F34D45"/>
    <w:rsid w:val="21F950CF"/>
    <w:rsid w:val="22045432"/>
    <w:rsid w:val="222A3C9E"/>
    <w:rsid w:val="22396FF8"/>
    <w:rsid w:val="22431035"/>
    <w:rsid w:val="225C0846"/>
    <w:rsid w:val="22B0252A"/>
    <w:rsid w:val="22D75BB2"/>
    <w:rsid w:val="22E819D8"/>
    <w:rsid w:val="22F57E73"/>
    <w:rsid w:val="22FF792B"/>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4D2E57"/>
    <w:rsid w:val="246E404E"/>
    <w:rsid w:val="247F538E"/>
    <w:rsid w:val="248114CC"/>
    <w:rsid w:val="24A3249E"/>
    <w:rsid w:val="24A62D02"/>
    <w:rsid w:val="24AE2BE4"/>
    <w:rsid w:val="24AF069B"/>
    <w:rsid w:val="24AF1929"/>
    <w:rsid w:val="24B63D40"/>
    <w:rsid w:val="24C674E1"/>
    <w:rsid w:val="24C8317D"/>
    <w:rsid w:val="24FA0B67"/>
    <w:rsid w:val="25082A0B"/>
    <w:rsid w:val="252A182D"/>
    <w:rsid w:val="25417958"/>
    <w:rsid w:val="254369E7"/>
    <w:rsid w:val="25494E1D"/>
    <w:rsid w:val="2566023B"/>
    <w:rsid w:val="257A74F9"/>
    <w:rsid w:val="25895A3D"/>
    <w:rsid w:val="258D735D"/>
    <w:rsid w:val="259A68BC"/>
    <w:rsid w:val="25D1716B"/>
    <w:rsid w:val="25DF6A97"/>
    <w:rsid w:val="25E6024A"/>
    <w:rsid w:val="25EA0F86"/>
    <w:rsid w:val="26212585"/>
    <w:rsid w:val="26282ED7"/>
    <w:rsid w:val="263B1449"/>
    <w:rsid w:val="265B6DE8"/>
    <w:rsid w:val="265F04C1"/>
    <w:rsid w:val="2660228B"/>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71C93"/>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735A6"/>
    <w:rsid w:val="296D7E15"/>
    <w:rsid w:val="299171CC"/>
    <w:rsid w:val="29962D19"/>
    <w:rsid w:val="29AD3BB2"/>
    <w:rsid w:val="29B4309C"/>
    <w:rsid w:val="29C30BAC"/>
    <w:rsid w:val="29CD7458"/>
    <w:rsid w:val="29D9048F"/>
    <w:rsid w:val="29EF70CC"/>
    <w:rsid w:val="2A0A0002"/>
    <w:rsid w:val="2A1C62F4"/>
    <w:rsid w:val="2A3D1958"/>
    <w:rsid w:val="2A5F0A9A"/>
    <w:rsid w:val="2A802A87"/>
    <w:rsid w:val="2A931BB9"/>
    <w:rsid w:val="2A9D346A"/>
    <w:rsid w:val="2AB51A38"/>
    <w:rsid w:val="2AB903D8"/>
    <w:rsid w:val="2ACD6CCC"/>
    <w:rsid w:val="2ADF720A"/>
    <w:rsid w:val="2AEE4512"/>
    <w:rsid w:val="2AFC30F1"/>
    <w:rsid w:val="2B341240"/>
    <w:rsid w:val="2B34584A"/>
    <w:rsid w:val="2B3D6ED6"/>
    <w:rsid w:val="2B64015F"/>
    <w:rsid w:val="2B644948"/>
    <w:rsid w:val="2B7C6921"/>
    <w:rsid w:val="2B9C4F86"/>
    <w:rsid w:val="2BB92BAF"/>
    <w:rsid w:val="2BFE1EDB"/>
    <w:rsid w:val="2C044AFC"/>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72D84"/>
    <w:rsid w:val="2EE011A4"/>
    <w:rsid w:val="2EE359E2"/>
    <w:rsid w:val="2EEC1574"/>
    <w:rsid w:val="2F1B43C7"/>
    <w:rsid w:val="2F5604CA"/>
    <w:rsid w:val="2F592F8F"/>
    <w:rsid w:val="2F5942DE"/>
    <w:rsid w:val="2FA36E63"/>
    <w:rsid w:val="2FC33170"/>
    <w:rsid w:val="2FD2281B"/>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1012BD"/>
    <w:rsid w:val="3229313A"/>
    <w:rsid w:val="3229401D"/>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51AE9"/>
    <w:rsid w:val="37CA1388"/>
    <w:rsid w:val="37CC6ED3"/>
    <w:rsid w:val="37F94643"/>
    <w:rsid w:val="37FB24F6"/>
    <w:rsid w:val="3806724C"/>
    <w:rsid w:val="38292EF5"/>
    <w:rsid w:val="38305180"/>
    <w:rsid w:val="383B2625"/>
    <w:rsid w:val="3850158A"/>
    <w:rsid w:val="385C1B7F"/>
    <w:rsid w:val="38610D05"/>
    <w:rsid w:val="388F49F5"/>
    <w:rsid w:val="38A751FA"/>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449D4"/>
    <w:rsid w:val="3C8805E4"/>
    <w:rsid w:val="3C903856"/>
    <w:rsid w:val="3CB05E10"/>
    <w:rsid w:val="3CBF3D07"/>
    <w:rsid w:val="3CE90D4D"/>
    <w:rsid w:val="3CEC5BD9"/>
    <w:rsid w:val="3D0824E7"/>
    <w:rsid w:val="3D0A2A8A"/>
    <w:rsid w:val="3D0D553D"/>
    <w:rsid w:val="3D12272E"/>
    <w:rsid w:val="3D321FA1"/>
    <w:rsid w:val="3D4A6E2B"/>
    <w:rsid w:val="3D5C306C"/>
    <w:rsid w:val="3D6A3EE4"/>
    <w:rsid w:val="3D6E15B5"/>
    <w:rsid w:val="3D8762BD"/>
    <w:rsid w:val="3D941FD0"/>
    <w:rsid w:val="3DA75BB4"/>
    <w:rsid w:val="3DB73788"/>
    <w:rsid w:val="3DBE7888"/>
    <w:rsid w:val="3DBF012C"/>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6A4EFF"/>
    <w:rsid w:val="3F963935"/>
    <w:rsid w:val="3FBD7ADB"/>
    <w:rsid w:val="3FCC1F36"/>
    <w:rsid w:val="3FED10C4"/>
    <w:rsid w:val="3FFD69BE"/>
    <w:rsid w:val="40115E5D"/>
    <w:rsid w:val="40142B28"/>
    <w:rsid w:val="401C3BB3"/>
    <w:rsid w:val="402551CC"/>
    <w:rsid w:val="404C0EDB"/>
    <w:rsid w:val="405A7340"/>
    <w:rsid w:val="406563D6"/>
    <w:rsid w:val="406B7B27"/>
    <w:rsid w:val="40A1164F"/>
    <w:rsid w:val="40AD7C5B"/>
    <w:rsid w:val="40CD5F0B"/>
    <w:rsid w:val="40DD4729"/>
    <w:rsid w:val="40E06975"/>
    <w:rsid w:val="40EB7E0B"/>
    <w:rsid w:val="40F1349D"/>
    <w:rsid w:val="411E2BE4"/>
    <w:rsid w:val="41241C82"/>
    <w:rsid w:val="413A144A"/>
    <w:rsid w:val="41694287"/>
    <w:rsid w:val="416948A9"/>
    <w:rsid w:val="416B194D"/>
    <w:rsid w:val="417E1241"/>
    <w:rsid w:val="41BE3E52"/>
    <w:rsid w:val="41C36A02"/>
    <w:rsid w:val="41D8445C"/>
    <w:rsid w:val="41F85D27"/>
    <w:rsid w:val="420E2A1A"/>
    <w:rsid w:val="4237497C"/>
    <w:rsid w:val="424D68DB"/>
    <w:rsid w:val="42565FD0"/>
    <w:rsid w:val="42596CCD"/>
    <w:rsid w:val="425E5FDE"/>
    <w:rsid w:val="42686E79"/>
    <w:rsid w:val="427F350F"/>
    <w:rsid w:val="42914340"/>
    <w:rsid w:val="42A844B1"/>
    <w:rsid w:val="42AF1A12"/>
    <w:rsid w:val="42B008AC"/>
    <w:rsid w:val="42CE23F5"/>
    <w:rsid w:val="42D63463"/>
    <w:rsid w:val="43127FA0"/>
    <w:rsid w:val="431D66E9"/>
    <w:rsid w:val="4357457D"/>
    <w:rsid w:val="43587C29"/>
    <w:rsid w:val="435C6176"/>
    <w:rsid w:val="43616901"/>
    <w:rsid w:val="43667A8A"/>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530CF2"/>
    <w:rsid w:val="445676AA"/>
    <w:rsid w:val="445706DF"/>
    <w:rsid w:val="446B48FC"/>
    <w:rsid w:val="44785AEE"/>
    <w:rsid w:val="44843CC9"/>
    <w:rsid w:val="44880967"/>
    <w:rsid w:val="44B554E4"/>
    <w:rsid w:val="44B673AA"/>
    <w:rsid w:val="44B91803"/>
    <w:rsid w:val="44D26E80"/>
    <w:rsid w:val="44DB773A"/>
    <w:rsid w:val="44F14784"/>
    <w:rsid w:val="450039C1"/>
    <w:rsid w:val="451A32B1"/>
    <w:rsid w:val="451E341B"/>
    <w:rsid w:val="452D6C34"/>
    <w:rsid w:val="454D00BA"/>
    <w:rsid w:val="456951DA"/>
    <w:rsid w:val="45973AD6"/>
    <w:rsid w:val="45A52B1C"/>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A07846"/>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7F761D"/>
    <w:rsid w:val="4891605D"/>
    <w:rsid w:val="48D173C6"/>
    <w:rsid w:val="48E02F78"/>
    <w:rsid w:val="48E76F84"/>
    <w:rsid w:val="48E80C0D"/>
    <w:rsid w:val="48F00546"/>
    <w:rsid w:val="4906501C"/>
    <w:rsid w:val="49090450"/>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415089"/>
    <w:rsid w:val="4A5A35C4"/>
    <w:rsid w:val="4A6F2547"/>
    <w:rsid w:val="4A861680"/>
    <w:rsid w:val="4A8764D3"/>
    <w:rsid w:val="4A980B3E"/>
    <w:rsid w:val="4AA14A65"/>
    <w:rsid w:val="4AC77F8B"/>
    <w:rsid w:val="4AD74EF4"/>
    <w:rsid w:val="4AED5C11"/>
    <w:rsid w:val="4AFF253A"/>
    <w:rsid w:val="4B096721"/>
    <w:rsid w:val="4B151DD8"/>
    <w:rsid w:val="4B1932E6"/>
    <w:rsid w:val="4B2F5A69"/>
    <w:rsid w:val="4B600DBB"/>
    <w:rsid w:val="4B740186"/>
    <w:rsid w:val="4B7467CA"/>
    <w:rsid w:val="4B7A2CD7"/>
    <w:rsid w:val="4B8464B3"/>
    <w:rsid w:val="4B8A0553"/>
    <w:rsid w:val="4B96469A"/>
    <w:rsid w:val="4BB96A99"/>
    <w:rsid w:val="4BD47B3A"/>
    <w:rsid w:val="4BE60345"/>
    <w:rsid w:val="4BF61A49"/>
    <w:rsid w:val="4BFD254C"/>
    <w:rsid w:val="4BFD2BB9"/>
    <w:rsid w:val="4C007D9B"/>
    <w:rsid w:val="4C046786"/>
    <w:rsid w:val="4C097E52"/>
    <w:rsid w:val="4C251632"/>
    <w:rsid w:val="4C266DAF"/>
    <w:rsid w:val="4C3B2F36"/>
    <w:rsid w:val="4C3C7997"/>
    <w:rsid w:val="4C423D11"/>
    <w:rsid w:val="4C4277B1"/>
    <w:rsid w:val="4C4A7111"/>
    <w:rsid w:val="4C4E1FC9"/>
    <w:rsid w:val="4C6651D9"/>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A55917"/>
    <w:rsid w:val="4DCB0227"/>
    <w:rsid w:val="4DCF155E"/>
    <w:rsid w:val="4DD11AEE"/>
    <w:rsid w:val="4DE22B61"/>
    <w:rsid w:val="4E071018"/>
    <w:rsid w:val="4E1E35A8"/>
    <w:rsid w:val="4E4A36DE"/>
    <w:rsid w:val="4E4B1237"/>
    <w:rsid w:val="4E685D9D"/>
    <w:rsid w:val="4E757C8C"/>
    <w:rsid w:val="4E7C3CDE"/>
    <w:rsid w:val="4E997F39"/>
    <w:rsid w:val="4EA45038"/>
    <w:rsid w:val="4EA535EA"/>
    <w:rsid w:val="4EAA452F"/>
    <w:rsid w:val="4EAB7555"/>
    <w:rsid w:val="4EB16F4D"/>
    <w:rsid w:val="4ED37A9C"/>
    <w:rsid w:val="4EDE0A69"/>
    <w:rsid w:val="4EF438A7"/>
    <w:rsid w:val="4EF74679"/>
    <w:rsid w:val="4F053AD4"/>
    <w:rsid w:val="4F10480D"/>
    <w:rsid w:val="4F4F7C97"/>
    <w:rsid w:val="4F586DFE"/>
    <w:rsid w:val="4F7F3425"/>
    <w:rsid w:val="4F800DA8"/>
    <w:rsid w:val="4F890EBD"/>
    <w:rsid w:val="4F951D60"/>
    <w:rsid w:val="4FAB27E4"/>
    <w:rsid w:val="4FAD4336"/>
    <w:rsid w:val="4FEA66FB"/>
    <w:rsid w:val="4FFD6530"/>
    <w:rsid w:val="50000326"/>
    <w:rsid w:val="5012456C"/>
    <w:rsid w:val="501B0160"/>
    <w:rsid w:val="5028413A"/>
    <w:rsid w:val="502E0E02"/>
    <w:rsid w:val="5034185C"/>
    <w:rsid w:val="50662285"/>
    <w:rsid w:val="50935D58"/>
    <w:rsid w:val="509473B7"/>
    <w:rsid w:val="50C33F53"/>
    <w:rsid w:val="50C85002"/>
    <w:rsid w:val="50D3250E"/>
    <w:rsid w:val="50D33AD4"/>
    <w:rsid w:val="50D54B4D"/>
    <w:rsid w:val="50D565E3"/>
    <w:rsid w:val="51251091"/>
    <w:rsid w:val="512B4D4B"/>
    <w:rsid w:val="51351C9B"/>
    <w:rsid w:val="513D3709"/>
    <w:rsid w:val="515323AC"/>
    <w:rsid w:val="515911D2"/>
    <w:rsid w:val="5159308A"/>
    <w:rsid w:val="51636223"/>
    <w:rsid w:val="51665649"/>
    <w:rsid w:val="517462FF"/>
    <w:rsid w:val="51996C1B"/>
    <w:rsid w:val="51A56DF6"/>
    <w:rsid w:val="51AA59AF"/>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A023A"/>
    <w:rsid w:val="523E15D7"/>
    <w:rsid w:val="5244258E"/>
    <w:rsid w:val="5249313E"/>
    <w:rsid w:val="52527419"/>
    <w:rsid w:val="525A4669"/>
    <w:rsid w:val="525B22C4"/>
    <w:rsid w:val="526018C0"/>
    <w:rsid w:val="52781BE7"/>
    <w:rsid w:val="52841F28"/>
    <w:rsid w:val="52AD06F5"/>
    <w:rsid w:val="52BE0F28"/>
    <w:rsid w:val="52D32108"/>
    <w:rsid w:val="52D6356D"/>
    <w:rsid w:val="52F77D67"/>
    <w:rsid w:val="52F836E3"/>
    <w:rsid w:val="532F7394"/>
    <w:rsid w:val="53385FAE"/>
    <w:rsid w:val="534E489F"/>
    <w:rsid w:val="535904C5"/>
    <w:rsid w:val="536E730E"/>
    <w:rsid w:val="537C2BD7"/>
    <w:rsid w:val="538F760C"/>
    <w:rsid w:val="53971E29"/>
    <w:rsid w:val="539D713D"/>
    <w:rsid w:val="53A35F99"/>
    <w:rsid w:val="53C42274"/>
    <w:rsid w:val="53E6334F"/>
    <w:rsid w:val="53FB17FA"/>
    <w:rsid w:val="541862F0"/>
    <w:rsid w:val="546A6559"/>
    <w:rsid w:val="546F0B91"/>
    <w:rsid w:val="54B70A61"/>
    <w:rsid w:val="54B779B5"/>
    <w:rsid w:val="54CE4962"/>
    <w:rsid w:val="54D25371"/>
    <w:rsid w:val="54EA3421"/>
    <w:rsid w:val="54EC1FC6"/>
    <w:rsid w:val="54EC416F"/>
    <w:rsid w:val="550939D7"/>
    <w:rsid w:val="552C68B9"/>
    <w:rsid w:val="55335647"/>
    <w:rsid w:val="5538682D"/>
    <w:rsid w:val="55476094"/>
    <w:rsid w:val="554A06ED"/>
    <w:rsid w:val="5552550A"/>
    <w:rsid w:val="5552614F"/>
    <w:rsid w:val="55530973"/>
    <w:rsid w:val="55560E04"/>
    <w:rsid w:val="55666B45"/>
    <w:rsid w:val="55722092"/>
    <w:rsid w:val="5583167D"/>
    <w:rsid w:val="55856347"/>
    <w:rsid w:val="55995FB7"/>
    <w:rsid w:val="55A156DD"/>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6B08CE"/>
    <w:rsid w:val="56737273"/>
    <w:rsid w:val="56773C48"/>
    <w:rsid w:val="56BB5794"/>
    <w:rsid w:val="56C16A07"/>
    <w:rsid w:val="56C5480C"/>
    <w:rsid w:val="56C56026"/>
    <w:rsid w:val="56C721C1"/>
    <w:rsid w:val="56C75E65"/>
    <w:rsid w:val="56C93F15"/>
    <w:rsid w:val="56ED49AC"/>
    <w:rsid w:val="56F85BA6"/>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E82929"/>
    <w:rsid w:val="57F3287F"/>
    <w:rsid w:val="57F45188"/>
    <w:rsid w:val="57F81A83"/>
    <w:rsid w:val="57FA61B1"/>
    <w:rsid w:val="58032997"/>
    <w:rsid w:val="581D6018"/>
    <w:rsid w:val="583F1055"/>
    <w:rsid w:val="58441188"/>
    <w:rsid w:val="58477459"/>
    <w:rsid w:val="58494A10"/>
    <w:rsid w:val="584B2FF5"/>
    <w:rsid w:val="5852710F"/>
    <w:rsid w:val="585A018E"/>
    <w:rsid w:val="585B0937"/>
    <w:rsid w:val="585E0241"/>
    <w:rsid w:val="58744829"/>
    <w:rsid w:val="587673AC"/>
    <w:rsid w:val="588562E3"/>
    <w:rsid w:val="588A4D2D"/>
    <w:rsid w:val="588C6C7B"/>
    <w:rsid w:val="5898522B"/>
    <w:rsid w:val="58A045EF"/>
    <w:rsid w:val="58AE0C9D"/>
    <w:rsid w:val="58BD3A38"/>
    <w:rsid w:val="58DC744B"/>
    <w:rsid w:val="58E00FC5"/>
    <w:rsid w:val="58F609E4"/>
    <w:rsid w:val="58FB67BC"/>
    <w:rsid w:val="592D65D1"/>
    <w:rsid w:val="5930657D"/>
    <w:rsid w:val="59327DEB"/>
    <w:rsid w:val="59392E42"/>
    <w:rsid w:val="593B5B55"/>
    <w:rsid w:val="593D19BE"/>
    <w:rsid w:val="59776D39"/>
    <w:rsid w:val="597D137C"/>
    <w:rsid w:val="599D01FE"/>
    <w:rsid w:val="59AF4353"/>
    <w:rsid w:val="59CB134C"/>
    <w:rsid w:val="59D13042"/>
    <w:rsid w:val="59D4614B"/>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D4307"/>
    <w:rsid w:val="5B3348D7"/>
    <w:rsid w:val="5B5041D6"/>
    <w:rsid w:val="5B554FD4"/>
    <w:rsid w:val="5B6B25D0"/>
    <w:rsid w:val="5B6B4549"/>
    <w:rsid w:val="5BAD031C"/>
    <w:rsid w:val="5BB36D0A"/>
    <w:rsid w:val="5BD03C5A"/>
    <w:rsid w:val="5BD33975"/>
    <w:rsid w:val="5BDA775F"/>
    <w:rsid w:val="5BEA7806"/>
    <w:rsid w:val="5BED1355"/>
    <w:rsid w:val="5C035D5C"/>
    <w:rsid w:val="5C054372"/>
    <w:rsid w:val="5C0B1081"/>
    <w:rsid w:val="5C0B33BE"/>
    <w:rsid w:val="5C2E76F3"/>
    <w:rsid w:val="5C531DAC"/>
    <w:rsid w:val="5C5F19A2"/>
    <w:rsid w:val="5C6742FC"/>
    <w:rsid w:val="5C7870C9"/>
    <w:rsid w:val="5C793AF2"/>
    <w:rsid w:val="5C885120"/>
    <w:rsid w:val="5C8D094F"/>
    <w:rsid w:val="5CAA3CDC"/>
    <w:rsid w:val="5CC14996"/>
    <w:rsid w:val="5CDB13F1"/>
    <w:rsid w:val="5CE42BFC"/>
    <w:rsid w:val="5D08718A"/>
    <w:rsid w:val="5D33075C"/>
    <w:rsid w:val="5D38401E"/>
    <w:rsid w:val="5D42131E"/>
    <w:rsid w:val="5D4B0C7E"/>
    <w:rsid w:val="5D65772A"/>
    <w:rsid w:val="5D787E7B"/>
    <w:rsid w:val="5DA30012"/>
    <w:rsid w:val="5DB7758C"/>
    <w:rsid w:val="5DC93120"/>
    <w:rsid w:val="5DDA6F3B"/>
    <w:rsid w:val="5DDB5F91"/>
    <w:rsid w:val="5E282729"/>
    <w:rsid w:val="5E2C3252"/>
    <w:rsid w:val="5E39000D"/>
    <w:rsid w:val="5E5007AD"/>
    <w:rsid w:val="5E5126D4"/>
    <w:rsid w:val="5E575A00"/>
    <w:rsid w:val="5E5B33A6"/>
    <w:rsid w:val="5EEC29C3"/>
    <w:rsid w:val="5EF527AD"/>
    <w:rsid w:val="5EF546E4"/>
    <w:rsid w:val="5F0241A8"/>
    <w:rsid w:val="5F031737"/>
    <w:rsid w:val="5F197EA5"/>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6270EF"/>
    <w:rsid w:val="61706EDF"/>
    <w:rsid w:val="61770AB3"/>
    <w:rsid w:val="619B1498"/>
    <w:rsid w:val="619B3BCB"/>
    <w:rsid w:val="61C5760F"/>
    <w:rsid w:val="61CB09F2"/>
    <w:rsid w:val="61F34165"/>
    <w:rsid w:val="62053AEE"/>
    <w:rsid w:val="622814B3"/>
    <w:rsid w:val="622F00B1"/>
    <w:rsid w:val="62426D4A"/>
    <w:rsid w:val="62635111"/>
    <w:rsid w:val="62842199"/>
    <w:rsid w:val="62904A5E"/>
    <w:rsid w:val="62B6346C"/>
    <w:rsid w:val="62C4291E"/>
    <w:rsid w:val="62C65CEC"/>
    <w:rsid w:val="62F27D6D"/>
    <w:rsid w:val="631814C9"/>
    <w:rsid w:val="632F7DE7"/>
    <w:rsid w:val="6340666D"/>
    <w:rsid w:val="6347606A"/>
    <w:rsid w:val="635B012E"/>
    <w:rsid w:val="635E620F"/>
    <w:rsid w:val="6368049F"/>
    <w:rsid w:val="63694881"/>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4DA01CC"/>
    <w:rsid w:val="650F5FAC"/>
    <w:rsid w:val="65185303"/>
    <w:rsid w:val="652D2807"/>
    <w:rsid w:val="6534392E"/>
    <w:rsid w:val="654F6FF9"/>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06A38"/>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956D3"/>
    <w:rsid w:val="699B3DF9"/>
    <w:rsid w:val="69E1523E"/>
    <w:rsid w:val="69E33191"/>
    <w:rsid w:val="6A377133"/>
    <w:rsid w:val="6A3802AF"/>
    <w:rsid w:val="6A382142"/>
    <w:rsid w:val="6A3D7EF0"/>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712DB"/>
    <w:rsid w:val="6B6F75D9"/>
    <w:rsid w:val="6B7753BB"/>
    <w:rsid w:val="6B7A6C48"/>
    <w:rsid w:val="6B8223B8"/>
    <w:rsid w:val="6BA303EE"/>
    <w:rsid w:val="6BCA3451"/>
    <w:rsid w:val="6BD57A1A"/>
    <w:rsid w:val="6BE52340"/>
    <w:rsid w:val="6BEA317F"/>
    <w:rsid w:val="6BF84434"/>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6E43B8"/>
    <w:rsid w:val="6E793023"/>
    <w:rsid w:val="6E7F7AFB"/>
    <w:rsid w:val="6EB770BA"/>
    <w:rsid w:val="6EB96505"/>
    <w:rsid w:val="6ED43ACF"/>
    <w:rsid w:val="6EDF1CCE"/>
    <w:rsid w:val="6EEA71F0"/>
    <w:rsid w:val="6F2B434D"/>
    <w:rsid w:val="6F2C5B46"/>
    <w:rsid w:val="6F2D78EE"/>
    <w:rsid w:val="6F4947DA"/>
    <w:rsid w:val="6F4E71A8"/>
    <w:rsid w:val="6F70301C"/>
    <w:rsid w:val="6F781F55"/>
    <w:rsid w:val="6F7C562E"/>
    <w:rsid w:val="6FB35A49"/>
    <w:rsid w:val="6FB93CAC"/>
    <w:rsid w:val="6FB95193"/>
    <w:rsid w:val="6FC17894"/>
    <w:rsid w:val="6FE60D34"/>
    <w:rsid w:val="6FEE7F40"/>
    <w:rsid w:val="70015EAC"/>
    <w:rsid w:val="70093C44"/>
    <w:rsid w:val="7013025E"/>
    <w:rsid w:val="70150176"/>
    <w:rsid w:val="701806D9"/>
    <w:rsid w:val="706A4129"/>
    <w:rsid w:val="70747A02"/>
    <w:rsid w:val="7076111A"/>
    <w:rsid w:val="70B73E00"/>
    <w:rsid w:val="70B774D1"/>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6E4C9E"/>
    <w:rsid w:val="7289516B"/>
    <w:rsid w:val="729037B3"/>
    <w:rsid w:val="729310B6"/>
    <w:rsid w:val="72A90793"/>
    <w:rsid w:val="72C80096"/>
    <w:rsid w:val="72CD0489"/>
    <w:rsid w:val="72DB349B"/>
    <w:rsid w:val="72E10CF1"/>
    <w:rsid w:val="72E16E78"/>
    <w:rsid w:val="72EA15F7"/>
    <w:rsid w:val="73062CBE"/>
    <w:rsid w:val="73297EB2"/>
    <w:rsid w:val="732B2071"/>
    <w:rsid w:val="73497FD2"/>
    <w:rsid w:val="735765E8"/>
    <w:rsid w:val="73611BAF"/>
    <w:rsid w:val="7368643D"/>
    <w:rsid w:val="73794A20"/>
    <w:rsid w:val="738A6877"/>
    <w:rsid w:val="739C4779"/>
    <w:rsid w:val="73A2442B"/>
    <w:rsid w:val="73AA6208"/>
    <w:rsid w:val="73BD6FB4"/>
    <w:rsid w:val="73C832AF"/>
    <w:rsid w:val="73E52982"/>
    <w:rsid w:val="73FA0625"/>
    <w:rsid w:val="74024A09"/>
    <w:rsid w:val="740263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DB48BD"/>
    <w:rsid w:val="75F258D7"/>
    <w:rsid w:val="75F83FB4"/>
    <w:rsid w:val="75F9318E"/>
    <w:rsid w:val="75FC2E47"/>
    <w:rsid w:val="760A76F9"/>
    <w:rsid w:val="760E47B2"/>
    <w:rsid w:val="76631090"/>
    <w:rsid w:val="76703988"/>
    <w:rsid w:val="7672217C"/>
    <w:rsid w:val="76A12DC3"/>
    <w:rsid w:val="76D15B17"/>
    <w:rsid w:val="77186B1E"/>
    <w:rsid w:val="77645C7D"/>
    <w:rsid w:val="777439C1"/>
    <w:rsid w:val="7788350A"/>
    <w:rsid w:val="778B1158"/>
    <w:rsid w:val="77961505"/>
    <w:rsid w:val="77AD5E5C"/>
    <w:rsid w:val="77B15DF4"/>
    <w:rsid w:val="77B856B5"/>
    <w:rsid w:val="78076895"/>
    <w:rsid w:val="78091695"/>
    <w:rsid w:val="78151AE7"/>
    <w:rsid w:val="781D0ABF"/>
    <w:rsid w:val="782B5948"/>
    <w:rsid w:val="78602ABF"/>
    <w:rsid w:val="78665FE4"/>
    <w:rsid w:val="786E0FFE"/>
    <w:rsid w:val="78A93133"/>
    <w:rsid w:val="78C237BC"/>
    <w:rsid w:val="78D02FB6"/>
    <w:rsid w:val="78E43768"/>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4E4B"/>
    <w:rsid w:val="79E554A8"/>
    <w:rsid w:val="79FD492D"/>
    <w:rsid w:val="7A087CF7"/>
    <w:rsid w:val="7A13564A"/>
    <w:rsid w:val="7A303322"/>
    <w:rsid w:val="7A7F6A39"/>
    <w:rsid w:val="7A9A2995"/>
    <w:rsid w:val="7A9E37B9"/>
    <w:rsid w:val="7AA85A57"/>
    <w:rsid w:val="7AA97571"/>
    <w:rsid w:val="7AC33D8D"/>
    <w:rsid w:val="7AD1328F"/>
    <w:rsid w:val="7AF26D81"/>
    <w:rsid w:val="7AF464E6"/>
    <w:rsid w:val="7AF6549D"/>
    <w:rsid w:val="7B014170"/>
    <w:rsid w:val="7B187563"/>
    <w:rsid w:val="7B1A61F8"/>
    <w:rsid w:val="7B5C346C"/>
    <w:rsid w:val="7B5E5C27"/>
    <w:rsid w:val="7B652196"/>
    <w:rsid w:val="7B703941"/>
    <w:rsid w:val="7B762D9E"/>
    <w:rsid w:val="7B784952"/>
    <w:rsid w:val="7B7C479D"/>
    <w:rsid w:val="7B7E15E7"/>
    <w:rsid w:val="7B860E16"/>
    <w:rsid w:val="7B920A5D"/>
    <w:rsid w:val="7BA1455F"/>
    <w:rsid w:val="7BCC7A90"/>
    <w:rsid w:val="7BDC1294"/>
    <w:rsid w:val="7BE975D0"/>
    <w:rsid w:val="7BF2190A"/>
    <w:rsid w:val="7C010589"/>
    <w:rsid w:val="7C160D02"/>
    <w:rsid w:val="7C1637C1"/>
    <w:rsid w:val="7C1E537F"/>
    <w:rsid w:val="7C215777"/>
    <w:rsid w:val="7C4706AF"/>
    <w:rsid w:val="7C526D30"/>
    <w:rsid w:val="7C574088"/>
    <w:rsid w:val="7C5D6386"/>
    <w:rsid w:val="7C921F5C"/>
    <w:rsid w:val="7C9D2374"/>
    <w:rsid w:val="7CAC42FA"/>
    <w:rsid w:val="7CD97C96"/>
    <w:rsid w:val="7CEA2FFC"/>
    <w:rsid w:val="7CF36D0A"/>
    <w:rsid w:val="7CFD68A1"/>
    <w:rsid w:val="7D004B90"/>
    <w:rsid w:val="7D087430"/>
    <w:rsid w:val="7D09176A"/>
    <w:rsid w:val="7D15262A"/>
    <w:rsid w:val="7D21528B"/>
    <w:rsid w:val="7D295788"/>
    <w:rsid w:val="7D2D6988"/>
    <w:rsid w:val="7D431D8D"/>
    <w:rsid w:val="7D7D4F75"/>
    <w:rsid w:val="7D937F07"/>
    <w:rsid w:val="7DA008E1"/>
    <w:rsid w:val="7DAA286B"/>
    <w:rsid w:val="7DAF2927"/>
    <w:rsid w:val="7DB954F6"/>
    <w:rsid w:val="7DBB06AE"/>
    <w:rsid w:val="7DC07247"/>
    <w:rsid w:val="7DC62F24"/>
    <w:rsid w:val="7DCA4DE2"/>
    <w:rsid w:val="7DDE5DE0"/>
    <w:rsid w:val="7DE93C91"/>
    <w:rsid w:val="7DFC10B6"/>
    <w:rsid w:val="7E010465"/>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42E85"/>
  <w15:docId w15:val="{4E2257F8-7538-46DE-BB41-20A89392A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ascii="Times New Roman" w:eastAsia="宋体" w:hAnsi="Times New Roman"/>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Hyperlink"/>
    <w:basedOn w:val="a0"/>
    <w:uiPriority w:val="99"/>
    <w:qFormat/>
    <w:rPr>
      <w:color w:val="0000FF"/>
      <w:u w:val="single"/>
    </w:rPr>
  </w:style>
  <w:style w:type="character" w:styleId="af7">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8">
    <w:name w:val="List Paragraph"/>
    <w:basedOn w:val="a"/>
    <w:link w:val="af9"/>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9">
    <w:name w:val="列表段落 字符"/>
    <w:link w:val="af8"/>
    <w:uiPriority w:val="34"/>
    <w:qFormat/>
    <w:rPr>
      <w:rFonts w:ascii="Times New Roman" w:eastAsia="Times New Roman" w:hAnsi="Times New Roman" w:cs="Times New Roman"/>
      <w:kern w:val="2"/>
      <w:sz w:val="24"/>
      <w:szCs w:val="24"/>
    </w:rPr>
  </w:style>
  <w:style w:type="character" w:styleId="afa">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B09C23-0E66-4D06-A8EC-D70B9BE9F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12</Pages>
  <Words>4270</Words>
  <Characters>24344</Characters>
  <Application>Microsoft Office Word</Application>
  <DocSecurity>0</DocSecurity>
  <Lines>202</Lines>
  <Paragraphs>57</Paragraphs>
  <ScaleCrop>false</ScaleCrop>
  <Company/>
  <LinksUpToDate>false</LinksUpToDate>
  <CharactersWithSpaces>28557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ZTE,Sanechips</cp:lastModifiedBy>
  <cp:revision>72</cp:revision>
  <dcterms:created xsi:type="dcterms:W3CDTF">2022-09-29T12:33:00Z</dcterms:created>
  <dcterms:modified xsi:type="dcterms:W3CDTF">2024-05-10T10:28:00Z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414E8E75C30F416186F0127950028C0B</vt:lpwstr>
  </property>
</Properties>
</file>