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680"/>
          <w:tab w:val="right" w:pos="9360"/>
        </w:tabs>
        <w:rPr>
          <w:rFonts w:hint="default" w:ascii="Arial" w:hAnsi="Arial" w:eastAsia="宋体" w:cs="Arial"/>
          <w:b/>
          <w:bCs/>
          <w:color w:val="auto"/>
          <w:lang w:val="en-US" w:eastAsia="zh-CN"/>
        </w:rPr>
      </w:pPr>
      <w:r>
        <w:rPr>
          <w:rFonts w:ascii="Arial" w:hAnsi="Arial" w:eastAsia="Arial" w:cs="Arial"/>
          <w:b/>
          <w:bCs/>
          <w:lang w:val="en-US"/>
        </w:rPr>
        <w:t xml:space="preserve">3GPP TSG RAN WG1 </w:t>
      </w:r>
      <w:r>
        <w:rPr>
          <w:rFonts w:hint="eastAsia" w:ascii="Arial" w:hAnsi="Arial" w:eastAsia="Arial" w:cs="Arial"/>
          <w:b/>
          <w:bCs/>
          <w:lang w:val="en-US"/>
        </w:rPr>
        <w:t>Meeting</w:t>
      </w:r>
      <w:r>
        <w:rPr>
          <w:rFonts w:ascii="Arial" w:hAnsi="Arial" w:eastAsia="Arial" w:cs="Arial"/>
          <w:b/>
          <w:bCs/>
          <w:lang w:val="en-US"/>
        </w:rPr>
        <w:t>#</w:t>
      </w:r>
      <w:r>
        <w:rPr>
          <w:rFonts w:hint="eastAsia" w:ascii="Arial" w:hAnsi="Arial" w:eastAsia="宋体" w:cs="Arial"/>
          <w:b/>
          <w:bCs/>
          <w:lang w:val="en-US" w:eastAsia="zh-CN"/>
        </w:rPr>
        <w:t>114</w:t>
      </w:r>
      <w:r>
        <w:rPr>
          <w:rFonts w:hint="eastAsia" w:ascii="Arial" w:hAnsi="Arial" w:eastAsia="Arial" w:cs="Arial"/>
          <w:b/>
          <w:bCs/>
          <w:lang w:val="en-US"/>
        </w:rPr>
        <w:t>bis</w:t>
      </w:r>
      <w:r>
        <w:rPr>
          <w:rFonts w:ascii="Arial" w:hAnsi="Arial" w:eastAsia="Arial" w:cs="Arial"/>
          <w:b/>
          <w:bCs/>
          <w:lang w:val="en-US"/>
        </w:rPr>
        <w:t>-e</w:t>
      </w:r>
      <w:r>
        <w:rPr>
          <w:rFonts w:eastAsia="等线"/>
        </w:rPr>
        <w:tab/>
      </w:r>
      <w:r>
        <w:rPr>
          <w:rFonts w:eastAsia="等线"/>
        </w:rPr>
        <w:tab/>
      </w:r>
      <w:r>
        <w:rPr>
          <w:rFonts w:ascii="Arial" w:hAnsi="Arial" w:eastAsia="Arial" w:cs="Arial"/>
          <w:b/>
          <w:bCs/>
          <w:color w:val="auto"/>
          <w:lang w:val="en-US"/>
        </w:rPr>
        <w:t>R1-</w:t>
      </w:r>
      <w:r>
        <w:rPr>
          <w:rFonts w:hint="eastAsia" w:ascii="Arial" w:hAnsi="Arial" w:eastAsia="宋体" w:cs="Arial"/>
          <w:b/>
          <w:bCs/>
          <w:color w:val="auto"/>
          <w:lang w:val="en-US" w:eastAsia="zh-CN"/>
        </w:rPr>
        <w:t>2308954</w:t>
      </w:r>
    </w:p>
    <w:p>
      <w:pPr>
        <w:widowControl w:val="0"/>
        <w:spacing w:after="160" w:line="256" w:lineRule="auto"/>
        <w:rPr>
          <w:rFonts w:hint="eastAsia" w:ascii="Arial" w:hAnsi="Arial" w:eastAsia="宋体" w:cs="Arial"/>
          <w:b/>
          <w:bCs/>
          <w:color w:val="auto"/>
          <w:sz w:val="22"/>
          <w:szCs w:val="22"/>
          <w:lang w:val="en-US" w:eastAsia="zh-CN"/>
        </w:rPr>
      </w:pPr>
      <w:r>
        <w:rPr>
          <w:rFonts w:hint="eastAsia" w:ascii="Arial" w:hAnsi="Arial" w:eastAsia="宋体" w:cs="Arial"/>
          <w:b/>
          <w:bCs/>
          <w:color w:val="auto"/>
          <w:sz w:val="22"/>
          <w:szCs w:val="22"/>
          <w:lang w:val="en-US" w:eastAsia="zh-CN"/>
        </w:rPr>
        <w:t>Xiamen, China, October 9</w:t>
      </w:r>
      <w:r>
        <w:rPr>
          <w:rFonts w:hint="eastAsia" w:ascii="Arial" w:hAnsi="Arial" w:eastAsia="宋体" w:cs="Arial"/>
          <w:b/>
          <w:bCs/>
          <w:color w:val="auto"/>
          <w:sz w:val="22"/>
          <w:szCs w:val="22"/>
          <w:vertAlign w:val="superscript"/>
          <w:lang w:val="en-US" w:eastAsia="zh-CN"/>
        </w:rPr>
        <w:t>th</w:t>
      </w:r>
      <w:r>
        <w:rPr>
          <w:rFonts w:hint="eastAsia" w:ascii="Arial" w:hAnsi="Arial" w:eastAsia="宋体" w:cs="Arial"/>
          <w:b/>
          <w:bCs/>
          <w:color w:val="auto"/>
          <w:sz w:val="22"/>
          <w:szCs w:val="22"/>
          <w:lang w:val="en-US" w:eastAsia="zh-CN"/>
        </w:rPr>
        <w:t>-October 13</w:t>
      </w:r>
      <w:r>
        <w:rPr>
          <w:rFonts w:hint="eastAsia" w:ascii="Arial" w:hAnsi="Arial" w:eastAsia="宋体" w:cs="Arial"/>
          <w:b/>
          <w:bCs/>
          <w:color w:val="auto"/>
          <w:sz w:val="22"/>
          <w:szCs w:val="22"/>
          <w:vertAlign w:val="superscript"/>
          <w:lang w:val="en-US" w:eastAsia="zh-CN"/>
        </w:rPr>
        <w:t>th</w:t>
      </w:r>
      <w:r>
        <w:rPr>
          <w:rFonts w:hint="eastAsia" w:ascii="Arial" w:hAnsi="Arial" w:eastAsia="宋体" w:cs="Arial"/>
          <w:b/>
          <w:bCs/>
          <w:color w:val="auto"/>
          <w:sz w:val="22"/>
          <w:szCs w:val="22"/>
          <w:lang w:val="en-US" w:eastAsia="zh-CN"/>
        </w:rPr>
        <w:t xml:space="preserve"> , 2023</w:t>
      </w:r>
    </w:p>
    <w:p>
      <w:pPr>
        <w:widowControl w:val="0"/>
        <w:spacing w:after="160" w:line="256" w:lineRule="auto"/>
        <w:rPr>
          <w:rFonts w:hint="eastAsia" w:ascii="Arial" w:hAnsi="Arial" w:eastAsia="宋体" w:cs="Arial"/>
          <w:b/>
          <w:bCs/>
          <w:color w:val="FF0000"/>
          <w:sz w:val="22"/>
          <w:szCs w:val="22"/>
          <w:lang w:val="en-US" w:eastAsia="zh-CN"/>
        </w:rPr>
      </w:pPr>
      <w:bookmarkStart w:id="7" w:name="_GoBack"/>
      <w:bookmarkEnd w:id="7"/>
    </w:p>
    <w:p>
      <w:pPr>
        <w:pStyle w:val="6"/>
        <w:jc w:val="both"/>
        <w:rPr>
          <w:rFonts w:hint="default" w:ascii="Arial" w:hAnsi="Arial" w:eastAsia="Arial"/>
          <w:b/>
          <w:bCs/>
          <w:sz w:val="24"/>
          <w:szCs w:val="24"/>
          <w:lang w:val="en-US" w:eastAsia="zh-CN" w:bidi="hi-IN"/>
        </w:rPr>
      </w:pPr>
      <w:r>
        <w:rPr>
          <w:rFonts w:ascii="Arial" w:hAnsi="Arial" w:eastAsia="Arial"/>
          <w:b/>
          <w:bCs/>
          <w:sz w:val="24"/>
          <w:szCs w:val="24"/>
          <w:lang w:val="en-US" w:eastAsia="zh-CN" w:bidi="hi-IN"/>
        </w:rPr>
        <w:t>Agenda Item:</w:t>
      </w:r>
      <w:r>
        <w:rPr>
          <w:rFonts w:ascii="Arial" w:hAnsi="Arial" w:eastAsia="Arial"/>
          <w:b/>
          <w:bCs/>
          <w:sz w:val="24"/>
          <w:szCs w:val="24"/>
          <w:lang w:val="en-US" w:eastAsia="zh-CN" w:bidi="hi-IN"/>
        </w:rPr>
        <w:tab/>
      </w:r>
      <w:r>
        <w:rPr>
          <w:rFonts w:hint="eastAsia" w:ascii="Arial" w:hAnsi="Arial" w:eastAsia="Arial"/>
          <w:b/>
          <w:bCs/>
          <w:sz w:val="24"/>
          <w:szCs w:val="24"/>
          <w:lang w:val="en-US" w:eastAsia="zh-CN" w:bidi="hi-IN"/>
        </w:rPr>
        <w:t>8.14.1</w:t>
      </w:r>
    </w:p>
    <w:p>
      <w:pPr>
        <w:pStyle w:val="6"/>
        <w:jc w:val="both"/>
        <w:rPr>
          <w:rFonts w:ascii="Arial" w:hAnsi="Arial" w:eastAsia="Arial"/>
          <w:b/>
          <w:bCs/>
          <w:sz w:val="24"/>
          <w:szCs w:val="24"/>
          <w:lang w:val="en-US" w:eastAsia="zh-CN" w:bidi="hi-IN"/>
        </w:rPr>
      </w:pPr>
      <w:r>
        <w:rPr>
          <w:rFonts w:ascii="Arial" w:hAnsi="Arial" w:eastAsia="Arial"/>
          <w:b/>
          <w:bCs/>
          <w:sz w:val="24"/>
          <w:szCs w:val="24"/>
          <w:lang w:val="en-US" w:eastAsia="zh-CN" w:bidi="hi-IN"/>
        </w:rPr>
        <w:t>Source:</w:t>
      </w:r>
      <w:r>
        <w:rPr>
          <w:rFonts w:ascii="Arial" w:hAnsi="Arial" w:eastAsia="Arial"/>
          <w:b/>
          <w:bCs/>
          <w:sz w:val="24"/>
          <w:szCs w:val="24"/>
          <w:lang w:val="en-US" w:eastAsia="zh-CN" w:bidi="hi-IN"/>
        </w:rPr>
        <w:tab/>
      </w:r>
      <w:r>
        <w:rPr>
          <w:rFonts w:ascii="Arial" w:hAnsi="Arial" w:eastAsia="Arial"/>
          <w:b/>
          <w:bCs/>
          <w:sz w:val="24"/>
          <w:szCs w:val="24"/>
          <w:lang w:val="en-US" w:eastAsia="zh-CN" w:bidi="hi-IN"/>
        </w:rPr>
        <w:tab/>
      </w:r>
      <w:r>
        <w:rPr>
          <w:rFonts w:ascii="Arial" w:hAnsi="Arial" w:eastAsia="Arial"/>
          <w:b/>
          <w:bCs/>
          <w:sz w:val="24"/>
          <w:szCs w:val="24"/>
          <w:lang w:val="en-US" w:eastAsia="zh-CN" w:bidi="hi-IN"/>
        </w:rPr>
        <w:t>Comba</w:t>
      </w:r>
    </w:p>
    <w:p>
      <w:pPr>
        <w:pStyle w:val="6"/>
        <w:jc w:val="both"/>
        <w:rPr>
          <w:rFonts w:ascii="Arial" w:hAnsi="Arial" w:eastAsia="Arial"/>
          <w:b/>
          <w:bCs/>
          <w:sz w:val="24"/>
          <w:szCs w:val="24"/>
          <w:lang w:val="en-US" w:eastAsia="zh-CN" w:bidi="hi-IN"/>
        </w:rPr>
      </w:pPr>
      <w:r>
        <w:rPr>
          <w:rFonts w:ascii="Arial" w:hAnsi="Arial" w:eastAsia="Arial"/>
          <w:b/>
          <w:bCs/>
          <w:sz w:val="24"/>
          <w:szCs w:val="24"/>
          <w:lang w:val="en-US" w:eastAsia="zh-CN" w:bidi="hi-IN"/>
        </w:rPr>
        <w:t>Title:</w:t>
      </w:r>
      <w:r>
        <w:rPr>
          <w:rFonts w:ascii="Arial" w:hAnsi="Arial" w:eastAsia="Arial"/>
          <w:b/>
          <w:bCs/>
          <w:sz w:val="24"/>
          <w:szCs w:val="24"/>
          <w:lang w:val="en-US" w:eastAsia="zh-CN" w:bidi="hi-IN"/>
        </w:rPr>
        <w:tab/>
      </w:r>
      <w:r>
        <w:rPr>
          <w:rFonts w:ascii="Arial" w:hAnsi="Arial" w:eastAsia="Arial"/>
          <w:b/>
          <w:bCs/>
          <w:sz w:val="24"/>
          <w:szCs w:val="24"/>
          <w:lang w:val="en-US" w:eastAsia="zh-CN" w:bidi="hi-IN"/>
        </w:rPr>
        <w:tab/>
      </w:r>
      <w:r>
        <w:rPr>
          <w:rFonts w:ascii="Arial" w:hAnsi="Arial" w:eastAsia="Arial"/>
          <w:b/>
          <w:bCs/>
          <w:sz w:val="24"/>
          <w:szCs w:val="24"/>
          <w:lang w:val="en-US" w:eastAsia="zh-CN" w:bidi="hi-IN"/>
        </w:rPr>
        <w:tab/>
      </w:r>
      <w:bookmarkStart w:id="0" w:name="OLE_LINK5"/>
      <w:r>
        <w:rPr>
          <w:rFonts w:ascii="Arial" w:hAnsi="Arial" w:eastAsia="Arial"/>
          <w:b/>
          <w:bCs/>
          <w:sz w:val="24"/>
          <w:szCs w:val="24"/>
          <w:lang w:val="en-US" w:eastAsia="zh-CN" w:bidi="hi-IN"/>
        </w:rPr>
        <w:t>Evaluation on AI/ML for CSI feedback enhancement</w:t>
      </w:r>
      <w:bookmarkEnd w:id="0"/>
      <w:r>
        <w:rPr>
          <w:rFonts w:ascii="Arial" w:hAnsi="Arial" w:eastAsia="Arial"/>
          <w:b/>
          <w:bCs/>
          <w:sz w:val="24"/>
          <w:szCs w:val="24"/>
          <w:lang w:val="en-US" w:eastAsia="zh-CN" w:bidi="hi-IN"/>
        </w:rPr>
        <w:t xml:space="preserve"> </w:t>
      </w:r>
    </w:p>
    <w:p>
      <w:pPr>
        <w:pStyle w:val="6"/>
        <w:jc w:val="both"/>
        <w:rPr>
          <w:rFonts w:ascii="Arial" w:hAnsi="Arial" w:eastAsia="Arial"/>
          <w:b/>
          <w:bCs/>
          <w:sz w:val="24"/>
          <w:szCs w:val="24"/>
          <w:lang w:val="en-US" w:eastAsia="zh-CN" w:bidi="hi-IN"/>
        </w:rPr>
      </w:pPr>
      <w:r>
        <w:rPr>
          <w:rFonts w:ascii="Arial" w:hAnsi="Arial" w:eastAsia="Arial"/>
          <w:b/>
          <w:bCs/>
          <w:sz w:val="24"/>
          <w:szCs w:val="24"/>
          <w:lang w:val="en-US" w:eastAsia="zh-CN" w:bidi="hi-IN"/>
        </w:rPr>
        <w:t>Document for:</w:t>
      </w:r>
      <w:r>
        <w:rPr>
          <w:rFonts w:ascii="Arial" w:hAnsi="Arial" w:eastAsia="Arial"/>
          <w:b/>
          <w:bCs/>
          <w:sz w:val="24"/>
          <w:szCs w:val="24"/>
          <w:lang w:val="en-US" w:eastAsia="zh-CN" w:bidi="hi-IN"/>
        </w:rPr>
        <w:tab/>
      </w:r>
      <w:r>
        <w:rPr>
          <w:rFonts w:ascii="Arial" w:hAnsi="Arial" w:eastAsia="Arial"/>
          <w:b/>
          <w:bCs/>
          <w:sz w:val="24"/>
          <w:szCs w:val="24"/>
          <w:lang w:val="en-US" w:eastAsia="zh-CN" w:bidi="hi-IN"/>
        </w:rPr>
        <w:t>Discussion</w:t>
      </w:r>
    </w:p>
    <w:p>
      <w:pPr>
        <w:pStyle w:val="7"/>
        <w:keepNext/>
        <w:keepLines/>
        <w:numPr>
          <w:ilvl w:val="0"/>
          <w:numId w:val="1"/>
        </w:numPr>
        <w:pBdr>
          <w:top w:val="single" w:color="000000" w:sz="12" w:space="3"/>
        </w:pBdr>
        <w:overflowPunct w:val="0"/>
        <w:spacing w:before="240" w:after="180"/>
        <w:textAlignment w:val="baseline"/>
        <w:outlineLvl w:val="0"/>
        <w:rPr>
          <w:rFonts w:ascii="Arial" w:hAnsi="Arial" w:eastAsia="Times New Roman" w:cs="Times New Roman"/>
          <w:b/>
          <w:bCs/>
          <w:kern w:val="0"/>
          <w:sz w:val="36"/>
          <w:szCs w:val="20"/>
          <w:lang w:eastAsia="ja-JP" w:bidi="ar-SA"/>
        </w:rPr>
      </w:pPr>
      <w:r>
        <w:rPr>
          <w:rFonts w:ascii="Arial" w:hAnsi="Arial" w:eastAsia="Times New Roman" w:cs="Times New Roman"/>
          <w:b/>
          <w:bCs/>
          <w:kern w:val="0"/>
          <w:sz w:val="36"/>
          <w:szCs w:val="20"/>
          <w:lang w:eastAsia="ja-JP" w:bidi="ar-SA"/>
        </w:rPr>
        <w:t>Introduction</w:t>
      </w:r>
    </w:p>
    <w:p>
      <w:pPr>
        <w:rPr>
          <w:rFonts w:ascii="Times New Roman" w:hAnsi="Times New Roman"/>
          <w:lang w:val="en-US"/>
        </w:rPr>
      </w:pPr>
      <w:bookmarkStart w:id="1" w:name="_Hlk111120272"/>
      <w:r>
        <w:rPr>
          <w:rFonts w:hint="eastAsia" w:ascii="Times New Roman" w:hAnsi="Times New Roman" w:eastAsia="Times New Roman"/>
          <w:lang w:val="en-US"/>
        </w:rPr>
        <w:t>In previous RAN</w:t>
      </w:r>
      <w:r>
        <w:rPr>
          <w:rFonts w:hint="eastAsia" w:ascii="Times New Roman" w:hAnsi="Times New Roman" w:eastAsia="宋体"/>
          <w:lang w:val="en-US" w:eastAsia="zh-CN"/>
        </w:rPr>
        <w:t>1</w:t>
      </w:r>
      <w:r>
        <w:rPr>
          <w:rFonts w:hint="eastAsia" w:ascii="Times New Roman" w:hAnsi="Times New Roman" w:eastAsia="Times New Roman"/>
          <w:lang w:val="en-US"/>
        </w:rPr>
        <w:t xml:space="preserve"> meetings, evaluation methodology of AI/ML for Channel State Information (CSI) feedback enhancement has been discussed and several agreements of the evaluation methodology have been achieved. In this contribution, we will provide further discussions on the evaluations on AI/ML for CSI feedback enhancement, including evaluation methodology and simulation results. </w:t>
      </w:r>
    </w:p>
    <w:bookmarkEnd w:id="1"/>
    <w:p>
      <w:pPr>
        <w:pStyle w:val="7"/>
        <w:keepNext/>
        <w:keepLines/>
        <w:numPr>
          <w:ilvl w:val="0"/>
          <w:numId w:val="1"/>
        </w:numPr>
        <w:pBdr>
          <w:top w:val="single" w:color="000000" w:sz="12" w:space="3"/>
        </w:pBdr>
        <w:overflowPunct w:val="0"/>
        <w:spacing w:before="240" w:after="180"/>
        <w:textAlignment w:val="baseline"/>
        <w:outlineLvl w:val="0"/>
        <w:rPr>
          <w:rFonts w:ascii="Arial" w:hAnsi="Arial" w:eastAsia="Times New Roman" w:cs="Times New Roman"/>
          <w:kern w:val="0"/>
          <w:sz w:val="36"/>
          <w:szCs w:val="20"/>
          <w:lang w:val="en-GB" w:eastAsia="ja-JP" w:bidi="ar-SA"/>
        </w:rPr>
      </w:pPr>
      <w:r>
        <w:rPr>
          <w:rFonts w:ascii="Arial" w:hAnsi="Arial" w:eastAsia="Batang" w:cs="Arial"/>
          <w:b/>
          <w:bCs/>
          <w:kern w:val="0"/>
          <w:sz w:val="36"/>
          <w:szCs w:val="36"/>
          <w:lang w:eastAsia="ko-KR" w:bidi="ar-SA"/>
        </w:rPr>
        <w:t>CSI Compression</w:t>
      </w:r>
    </w:p>
    <w:p>
      <w:pPr>
        <w:rPr>
          <w:rFonts w:ascii="Times New Roman" w:hAnsi="Times New Roman" w:eastAsia="等线"/>
          <w:lang w:val="en-US"/>
        </w:rPr>
      </w:pPr>
      <w:r>
        <w:rPr>
          <w:rFonts w:ascii="Times New Roman" w:hAnsi="Times New Roman" w:eastAsia="等线"/>
          <w:lang w:val="en-US"/>
        </w:rPr>
        <w:t>Channel State Information (CSI) is a mechanism that a UE measure various radio channel quality and report to the base station. CSI feedback is an effective method for Base Station to utilize CSI. Due to the large number of channels, CSI feecback will aggravate the burden on the UE side. Therefore, relevant details of CSI feedback need to be determined.</w:t>
      </w:r>
    </w:p>
    <w:p>
      <w:pPr>
        <w:rPr>
          <w:rFonts w:ascii="Times New Roman" w:hAnsi="Times New Roman" w:eastAsia="等线"/>
          <w:lang w:val="en-US"/>
        </w:rPr>
      </w:pPr>
    </w:p>
    <w:p>
      <w:pPr>
        <w:rPr>
          <w:rFonts w:ascii="Times New Roman" w:hAnsi="Times New Roman" w:eastAsia="等线"/>
          <w:lang w:val="en-US"/>
        </w:rPr>
      </w:pPr>
      <w:r>
        <w:rPr>
          <w:rFonts w:ascii="Times New Roman" w:hAnsi="Times New Roman" w:eastAsia="等线"/>
          <w:lang w:val="en-US"/>
        </w:rPr>
        <w:t xml:space="preserve">In this section, we discuss the evaluation methodology for AI based CSI compression , including AI model and </w:t>
      </w:r>
      <w:r>
        <w:rPr>
          <w:rFonts w:hint="eastAsia" w:ascii="Times New Roman" w:hAnsi="Times New Roman" w:eastAsia="等线"/>
          <w:lang w:val="en-US" w:eastAsia="zh-CN"/>
        </w:rPr>
        <w:t>joint training evaluation</w:t>
      </w:r>
      <w:r>
        <w:rPr>
          <w:rFonts w:ascii="Times New Roman" w:hAnsi="Times New Roman" w:eastAsia="等线"/>
          <w:lang w:val="en-US"/>
        </w:rPr>
        <w:t>.</w:t>
      </w:r>
    </w:p>
    <w:p>
      <w:pPr>
        <w:rPr>
          <w:rFonts w:ascii="Times New Roman" w:hAnsi="Times New Roman" w:eastAsia="等线"/>
          <w:lang w:val="en-US"/>
        </w:rPr>
      </w:pPr>
    </w:p>
    <w:p>
      <w:pPr>
        <w:pStyle w:val="7"/>
        <w:numPr>
          <w:ilvl w:val="0"/>
          <w:numId w:val="2"/>
        </w:numPr>
        <w:outlineLvl w:val="0"/>
        <w:rPr>
          <w:rFonts w:ascii="Arial" w:hAnsi="Arial" w:eastAsia="等线"/>
          <w:b/>
          <w:bCs/>
          <w:sz w:val="32"/>
          <w:szCs w:val="32"/>
          <w:lang w:val="en-US"/>
        </w:rPr>
      </w:pPr>
      <w:r>
        <w:rPr>
          <w:rFonts w:ascii="Arial" w:hAnsi="Arial" w:eastAsia="等线"/>
          <w:b/>
          <w:bCs/>
          <w:sz w:val="32"/>
          <w:szCs w:val="32"/>
        </w:rPr>
        <w:t>Evaluation Methodology</w:t>
      </w:r>
    </w:p>
    <w:p>
      <w:pPr>
        <w:pStyle w:val="7"/>
        <w:numPr>
          <w:ilvl w:val="0"/>
          <w:numId w:val="2"/>
        </w:numPr>
        <w:outlineLvl w:val="0"/>
        <w:rPr>
          <w:rFonts w:ascii="Arial" w:hAnsi="Arial" w:eastAsia="等线"/>
          <w:b/>
          <w:bCs/>
          <w:sz w:val="32"/>
          <w:szCs w:val="32"/>
        </w:rPr>
      </w:pPr>
      <w:r>
        <w:rPr>
          <w:rFonts w:ascii="Arial" w:hAnsi="Arial" w:eastAsia="等线"/>
          <w:b/>
          <w:bCs/>
          <w:sz w:val="32"/>
          <w:szCs w:val="32"/>
        </w:rPr>
        <w:t xml:space="preserve">Evaluation for CSI compress </w:t>
      </w:r>
    </w:p>
    <w:p>
      <w:pPr>
        <w:keepNext/>
        <w:spacing w:before="120" w:after="120"/>
        <w:rPr>
          <w:rFonts w:ascii="Times New Roman" w:hAnsi="Times New Roman" w:eastAsia="等线"/>
          <w:lang w:val="en-US"/>
        </w:rPr>
      </w:pPr>
      <w:r>
        <w:rPr>
          <w:rFonts w:hint="eastAsia" w:ascii="Times New Roman" w:hAnsi="Times New Roman" w:eastAsia="等线"/>
          <w:lang w:val="en-US"/>
        </w:rPr>
        <w:t>In this section, evaluations for spatial domain CSI compression will be discussed, including AI/ML model description, evaluation methodology for different training types and evaluation results</w:t>
      </w:r>
    </w:p>
    <w:p>
      <w:pPr>
        <w:pStyle w:val="7"/>
        <w:numPr>
          <w:ilvl w:val="0"/>
          <w:numId w:val="3"/>
        </w:numPr>
        <w:outlineLvl w:val="0"/>
        <w:rPr>
          <w:rFonts w:ascii="Arial" w:hAnsi="Arial" w:eastAsia="等线"/>
          <w:b/>
          <w:bCs/>
          <w:sz w:val="28"/>
          <w:szCs w:val="28"/>
        </w:rPr>
      </w:pPr>
      <w:r>
        <w:rPr>
          <w:rFonts w:hint="eastAsia" w:ascii="Arial" w:hAnsi="Arial" w:eastAsia="等线"/>
          <w:b/>
          <w:bCs/>
          <w:sz w:val="28"/>
          <w:szCs w:val="28"/>
        </w:rPr>
        <w:t>AI/ML model description</w:t>
      </w:r>
    </w:p>
    <w:p>
      <w:pPr>
        <w:rPr>
          <w:rFonts w:hint="default" w:ascii="Times New Roman" w:hAnsi="Times New Roman" w:eastAsia="等线"/>
          <w:lang w:val="en-US"/>
        </w:rPr>
      </w:pPr>
      <w:r>
        <w:rPr>
          <w:rFonts w:hint="eastAsia" w:ascii="Times New Roman" w:hAnsi="Times New Roman" w:eastAsia="等线"/>
          <w:lang w:val="en-US"/>
        </w:rPr>
        <w:t xml:space="preserve">The CSI generation part including an encoder and a quantizer are deployed at the UE side for CSI compression, while the CSI reconstruction part including a decoder and a de-quantizer are deployed at the Network side for CSI recovery. The quantizer is used to quantize the output of the encoder which is a floating-point vector to fit the bit width for CSI feedback, while the de-quantizer is used to recover the floating-point vector as the input to the decoder. The AI/ML-based CSI feedback is depicted in Figure </w:t>
      </w:r>
      <w:r>
        <w:rPr>
          <w:rFonts w:ascii="Times New Roman" w:hAnsi="Times New Roman" w:eastAsia="等线"/>
          <w:lang w:val="en-US"/>
        </w:rPr>
        <w:t>1</w:t>
      </w:r>
      <w:r>
        <w:rPr>
          <w:rFonts w:hint="eastAsia" w:ascii="Times New Roman" w:hAnsi="Times New Roman" w:eastAsia="等线"/>
          <w:lang w:val="en-US"/>
        </w:rPr>
        <w:t>.</w:t>
      </w:r>
      <w:r>
        <w:rPr>
          <w:rFonts w:hint="eastAsia" w:ascii="Times New Roman" w:hAnsi="Times New Roman" w:eastAsia="等线"/>
          <w:lang w:val="en-US" w:eastAsia="zh-CN"/>
        </w:rPr>
        <w:t>In Figure 1(b), the decoder on the right is baseline and The decoder on the left is treated as an additional non-designed decoder for the dedicated encoder.</w:t>
      </w:r>
    </w:p>
    <w:p>
      <w:pPr>
        <w:jc w:val="center"/>
        <w:rPr>
          <w:rFonts w:hint="eastAsia" w:eastAsiaTheme="minorEastAsia"/>
          <w:b/>
          <w:lang w:eastAsia="zh-CN"/>
        </w:rPr>
      </w:pPr>
      <w:r>
        <w:rPr>
          <w:rFonts w:hint="eastAsia" w:eastAsiaTheme="minorEastAsia"/>
          <w:b/>
          <w:lang w:eastAsia="zh-CN"/>
        </w:rPr>
        <w:drawing>
          <wp:inline distT="0" distB="0" distL="114300" distR="114300">
            <wp:extent cx="1459230" cy="1807210"/>
            <wp:effectExtent l="0" t="0" r="3810" b="6350"/>
            <wp:docPr id="4" name="图片 4" descr="CSIPorposal2_enco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SIPorposal2_encoder"/>
                    <pic:cNvPicPr>
                      <a:picLocks noChangeAspect="1"/>
                    </pic:cNvPicPr>
                  </pic:nvPicPr>
                  <pic:blipFill>
                    <a:blip r:embed="rId4"/>
                    <a:stretch>
                      <a:fillRect/>
                    </a:stretch>
                  </pic:blipFill>
                  <pic:spPr>
                    <a:xfrm>
                      <a:off x="0" y="0"/>
                      <a:ext cx="1459230" cy="1807210"/>
                    </a:xfrm>
                    <a:prstGeom prst="rect">
                      <a:avLst/>
                    </a:prstGeom>
                  </pic:spPr>
                </pic:pic>
              </a:graphicData>
            </a:graphic>
          </wp:inline>
        </w:drawing>
      </w:r>
    </w:p>
    <w:p>
      <w:pPr>
        <w:jc w:val="center"/>
        <w:rPr>
          <w:rFonts w:hint="default" w:eastAsiaTheme="minorEastAsia"/>
          <w:b/>
          <w:lang w:val="en-US" w:eastAsia="zh-CN"/>
        </w:rPr>
      </w:pPr>
      <w:r>
        <w:rPr>
          <w:rFonts w:hint="eastAsia"/>
          <w:b/>
          <w:lang w:val="en-US" w:eastAsia="zh-CN"/>
        </w:rPr>
        <w:t>(a)</w:t>
      </w:r>
    </w:p>
    <w:p>
      <w:pPr>
        <w:jc w:val="center"/>
        <w:rPr>
          <w:rFonts w:hint="eastAsia" w:eastAsiaTheme="minorEastAsia"/>
          <w:b/>
          <w:lang w:eastAsia="zh-CN"/>
        </w:rPr>
      </w:pPr>
      <w:r>
        <w:rPr>
          <w:rFonts w:hint="eastAsia" w:eastAsiaTheme="minorEastAsia"/>
          <w:b/>
          <w:lang w:eastAsia="zh-CN"/>
        </w:rPr>
        <w:drawing>
          <wp:inline distT="0" distB="0" distL="114300" distR="114300">
            <wp:extent cx="2341880" cy="1325245"/>
            <wp:effectExtent l="0" t="0" r="5080" b="635"/>
            <wp:docPr id="5" name="图片 5" descr="CSIPorposal2_decod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SIPorposal2_decoder2"/>
                    <pic:cNvPicPr>
                      <a:picLocks noChangeAspect="1"/>
                    </pic:cNvPicPr>
                  </pic:nvPicPr>
                  <pic:blipFill>
                    <a:blip r:embed="rId5"/>
                    <a:stretch>
                      <a:fillRect/>
                    </a:stretch>
                  </pic:blipFill>
                  <pic:spPr>
                    <a:xfrm>
                      <a:off x="0" y="0"/>
                      <a:ext cx="2341880" cy="1325245"/>
                    </a:xfrm>
                    <a:prstGeom prst="rect">
                      <a:avLst/>
                    </a:prstGeom>
                  </pic:spPr>
                </pic:pic>
              </a:graphicData>
            </a:graphic>
          </wp:inline>
        </w:drawing>
      </w:r>
      <w:r>
        <w:rPr>
          <w:rFonts w:hint="eastAsia" w:eastAsiaTheme="minorEastAsia"/>
          <w:b/>
          <w:lang w:eastAsia="zh-CN"/>
        </w:rPr>
        <w:drawing>
          <wp:inline distT="0" distB="0" distL="114300" distR="114300">
            <wp:extent cx="2298700" cy="1301115"/>
            <wp:effectExtent l="0" t="0" r="2540" b="9525"/>
            <wp:docPr id="6" name="图片 6" descr="CSIPorposal2_decod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SIPorposal2_decoder1"/>
                    <pic:cNvPicPr>
                      <a:picLocks noChangeAspect="1"/>
                    </pic:cNvPicPr>
                  </pic:nvPicPr>
                  <pic:blipFill>
                    <a:blip r:embed="rId6"/>
                    <a:stretch>
                      <a:fillRect/>
                    </a:stretch>
                  </pic:blipFill>
                  <pic:spPr>
                    <a:xfrm>
                      <a:off x="0" y="0"/>
                      <a:ext cx="2298700" cy="1301115"/>
                    </a:xfrm>
                    <a:prstGeom prst="rect">
                      <a:avLst/>
                    </a:prstGeom>
                  </pic:spPr>
                </pic:pic>
              </a:graphicData>
            </a:graphic>
          </wp:inline>
        </w:drawing>
      </w:r>
    </w:p>
    <w:p>
      <w:pPr>
        <w:jc w:val="center"/>
        <w:rPr>
          <w:rFonts w:hint="eastAsia"/>
          <w:b/>
          <w:lang w:val="en-US" w:eastAsia="zh-CN"/>
        </w:rPr>
      </w:pPr>
      <w:r>
        <w:rPr>
          <w:rFonts w:hint="eastAsia"/>
          <w:b/>
          <w:lang w:val="en-US" w:eastAsia="zh-CN"/>
        </w:rPr>
        <w:t>(b)</w:t>
      </w:r>
    </w:p>
    <w:p>
      <w:pPr>
        <w:jc w:val="center"/>
        <w:rPr>
          <w:rFonts w:hint="default" w:ascii="Times New Roman" w:hAnsi="Times New Roman" w:eastAsia="宋体" w:cs="Times New Roman"/>
          <w:b/>
          <w:kern w:val="0"/>
          <w:sz w:val="20"/>
          <w:szCs w:val="20"/>
          <w:lang w:val="en-US" w:eastAsia="zh-CN" w:bidi="ar-SA"/>
        </w:rPr>
      </w:pPr>
      <w:r>
        <w:rPr>
          <w:rFonts w:hint="eastAsia" w:ascii="Times New Roman" w:hAnsi="Times New Roman" w:eastAsia="宋体" w:cs="Times New Roman"/>
          <w:b/>
          <w:kern w:val="0"/>
          <w:sz w:val="20"/>
          <w:szCs w:val="20"/>
          <w:lang w:val="en-US" w:eastAsia="zh-CN" w:bidi="ar-SA"/>
        </w:rPr>
        <w:t>Figure. 1 (a)Encoder (b)2 Decoders</w:t>
      </w:r>
    </w:p>
    <w:p>
      <w:pPr>
        <w:jc w:val="center"/>
        <w:rPr>
          <w:rFonts w:ascii="Times New Roman" w:hAnsi="Times New Roman" w:eastAsia="等线"/>
          <w:b/>
          <w:lang w:val="en-US"/>
        </w:rPr>
      </w:pPr>
    </w:p>
    <w:p>
      <w:pPr>
        <w:pStyle w:val="7"/>
        <w:numPr>
          <w:ilvl w:val="0"/>
          <w:numId w:val="3"/>
        </w:numPr>
        <w:outlineLvl w:val="0"/>
        <w:rPr>
          <w:rFonts w:ascii="Arial" w:hAnsi="Arial" w:eastAsia="等线"/>
          <w:b/>
          <w:bCs/>
          <w:sz w:val="28"/>
          <w:szCs w:val="28"/>
        </w:rPr>
      </w:pPr>
      <w:r>
        <w:rPr>
          <w:rFonts w:hint="eastAsia" w:ascii="Arial" w:hAnsi="Arial" w:eastAsia="等线"/>
          <w:b/>
          <w:bCs/>
          <w:sz w:val="28"/>
          <w:szCs w:val="28"/>
        </w:rPr>
        <w:t>Evaluation results for</w:t>
      </w:r>
      <w:r>
        <w:rPr>
          <w:rFonts w:hint="eastAsia" w:ascii="Arial" w:hAnsi="Arial" w:eastAsia="等线"/>
          <w:b/>
          <w:bCs/>
          <w:sz w:val="28"/>
          <w:szCs w:val="28"/>
          <w:lang w:val="en-US" w:eastAsia="zh-CN"/>
        </w:rPr>
        <w:t xml:space="preserve"> joint training</w:t>
      </w:r>
    </w:p>
    <w:p>
      <w:pPr>
        <w:pStyle w:val="7"/>
        <w:numPr>
          <w:ilvl w:val="0"/>
          <w:numId w:val="0"/>
        </w:numPr>
        <w:ind w:leftChars="0"/>
        <w:outlineLvl w:val="0"/>
        <w:rPr>
          <w:rFonts w:hint="eastAsia" w:ascii="Times New Roman" w:hAnsi="Times New Roman" w:eastAsia="等线" w:cs="Lohit Devanagari"/>
          <w:kern w:val="2"/>
          <w:sz w:val="24"/>
          <w:szCs w:val="24"/>
          <w:lang w:val="en-US" w:eastAsia="zh-CN" w:bidi="hi-IN"/>
        </w:rPr>
      </w:pPr>
      <w:r>
        <w:rPr>
          <w:rFonts w:hint="eastAsia" w:ascii="Times New Roman" w:hAnsi="Times New Roman" w:eastAsia="等线" w:cs="Lohit Devanagari"/>
          <w:kern w:val="2"/>
          <w:sz w:val="24"/>
          <w:szCs w:val="24"/>
          <w:lang w:val="en-US" w:eastAsia="zh-CN" w:bidi="hi-IN"/>
        </w:rPr>
        <w:t>In this section, we revisit several scenarios in 1-on-1 joint training, focusing on the Type 3 sequential training scenario.The following agreements on separate training are provided for reference:</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keepNext/>
              <w:overflowPunct/>
              <w:autoSpaceDE/>
              <w:autoSpaceDN/>
              <w:adjustRightInd/>
              <w:spacing w:after="0"/>
              <w:jc w:val="both"/>
              <w:textAlignment w:val="auto"/>
              <w:rPr>
                <w:rFonts w:eastAsia="Times New Roman"/>
                <w:sz w:val="24"/>
                <w:szCs w:val="24"/>
                <w:lang w:val="en-US"/>
              </w:rPr>
            </w:pPr>
            <w:r>
              <w:rPr>
                <w:rFonts w:ascii="Times" w:hAnsi="Times" w:eastAsia="Batang"/>
                <w:b/>
                <w:color w:val="001135"/>
                <w:kern w:val="24"/>
                <w:highlight w:val="green"/>
                <w:lang w:val="en-US"/>
              </w:rPr>
              <w:t>Agreement</w:t>
            </w:r>
          </w:p>
          <w:p>
            <w:pPr>
              <w:overflowPunct/>
              <w:autoSpaceDE/>
              <w:autoSpaceDN/>
              <w:adjustRightInd/>
              <w:spacing w:after="0"/>
              <w:jc w:val="both"/>
              <w:rPr>
                <w:rFonts w:eastAsia="Times New Roman"/>
                <w:sz w:val="21"/>
                <w:szCs w:val="21"/>
                <w:lang w:val="en-US"/>
              </w:rPr>
            </w:pPr>
            <w:r>
              <w:rPr>
                <w:rFonts w:hint="eastAsia" w:ascii="Times New Roman" w:hAnsi="Times New Roman" w:eastAsia="等线" w:cs="Lohit Devanagari"/>
                <w:kern w:val="2"/>
                <w:sz w:val="21"/>
                <w:szCs w:val="21"/>
                <w:lang w:val="en-US" w:eastAsia="zh-CN" w:bidi="hi-IN"/>
              </w:rPr>
              <w:t xml:space="preserve">For </w:t>
            </w:r>
            <w:r>
              <w:rPr>
                <w:rFonts w:ascii="Times" w:hAnsi="Times" w:eastAsia="Batang"/>
                <w:color w:val="001135"/>
                <w:kern w:val="24"/>
                <w:sz w:val="21"/>
                <w:szCs w:val="21"/>
                <w:lang w:val="en-US"/>
              </w:rPr>
              <w:t>the evaluation of an example of Type 3 (Separate training at NW side and UE side), the following evaluation cases for sequential training are considered for multi-vendors</w:t>
            </w:r>
          </w:p>
          <w:p>
            <w:pPr>
              <w:numPr>
                <w:ilvl w:val="0"/>
                <w:numId w:val="4"/>
              </w:numPr>
              <w:overflowPunct/>
              <w:autoSpaceDE/>
              <w:autoSpaceDN/>
              <w:adjustRightInd/>
              <w:spacing w:after="0"/>
              <w:ind w:left="792"/>
              <w:contextualSpacing/>
              <w:jc w:val="both"/>
              <w:rPr>
                <w:rFonts w:eastAsia="Times New Roman"/>
                <w:sz w:val="18"/>
                <w:szCs w:val="24"/>
                <w:lang w:val="en-US"/>
              </w:rPr>
            </w:pPr>
            <w:r>
              <w:rPr>
                <w:rFonts w:ascii="Times" w:hAnsi="Times" w:eastAsia="Batang"/>
                <w:color w:val="001135"/>
                <w:kern w:val="24"/>
                <w:sz w:val="18"/>
                <w:szCs w:val="18"/>
                <w:lang w:val="en-US"/>
              </w:rPr>
              <w:t>Case 1 (baseline): Type 3 training between one NW part model and one UE part model</w:t>
            </w:r>
          </w:p>
          <w:p>
            <w:pPr>
              <w:numPr>
                <w:ilvl w:val="1"/>
                <w:numId w:val="4"/>
              </w:numPr>
              <w:overflowPunct/>
              <w:autoSpaceDE/>
              <w:autoSpaceDN/>
              <w:adjustRightInd/>
              <w:spacing w:after="0" w:line="257" w:lineRule="auto"/>
              <w:ind w:left="1224"/>
              <w:contextualSpacing/>
              <w:jc w:val="both"/>
              <w:rPr>
                <w:rFonts w:eastAsia="Times New Roman"/>
                <w:sz w:val="18"/>
                <w:szCs w:val="24"/>
                <w:lang w:val="en-US"/>
              </w:rPr>
            </w:pPr>
            <w:r>
              <w:rPr>
                <w:rFonts w:ascii="Times" w:hAnsi="Times" w:eastAsia="Batang"/>
                <w:color w:val="001135"/>
                <w:kern w:val="24"/>
                <w:sz w:val="18"/>
                <w:szCs w:val="18"/>
                <w:lang w:val="en-US"/>
              </w:rPr>
              <w:t>Note 1: Case 1 can be naturally applied to the NW-first training case where 1 NW part model to M&gt;1 separate UE part models</w:t>
            </w:r>
          </w:p>
          <w:p>
            <w:pPr>
              <w:numPr>
                <w:ilvl w:val="2"/>
                <w:numId w:val="4"/>
              </w:numPr>
              <w:overflowPunct/>
              <w:autoSpaceDE/>
              <w:autoSpaceDN/>
              <w:adjustRightInd/>
              <w:spacing w:after="0" w:line="257" w:lineRule="auto"/>
              <w:ind w:left="1656"/>
              <w:contextualSpacing/>
              <w:jc w:val="both"/>
              <w:rPr>
                <w:rFonts w:eastAsia="Times New Roman"/>
                <w:sz w:val="18"/>
                <w:szCs w:val="24"/>
                <w:lang w:val="en-US"/>
              </w:rPr>
            </w:pPr>
            <w:r>
              <w:rPr>
                <w:rFonts w:ascii="Times" w:hAnsi="Times" w:eastAsia="Batang"/>
                <w:color w:val="001135"/>
                <w:kern w:val="24"/>
                <w:sz w:val="18"/>
                <w:szCs w:val="18"/>
                <w:lang w:val="en-US"/>
              </w:rPr>
              <w:t>Companies to report the dataset used between the NW part model and the UE part model, e.g., whether dataset for training UE part model is the same or a subset of the dataset for training NW part model</w:t>
            </w:r>
          </w:p>
          <w:p>
            <w:pPr>
              <w:numPr>
                <w:ilvl w:val="1"/>
                <w:numId w:val="4"/>
              </w:numPr>
              <w:overflowPunct/>
              <w:autoSpaceDE/>
              <w:autoSpaceDN/>
              <w:adjustRightInd/>
              <w:spacing w:after="0" w:line="257" w:lineRule="auto"/>
              <w:ind w:left="1224"/>
              <w:contextualSpacing/>
              <w:jc w:val="both"/>
              <w:rPr>
                <w:rFonts w:eastAsia="Times New Roman"/>
                <w:sz w:val="18"/>
                <w:szCs w:val="24"/>
                <w:lang w:val="en-US"/>
              </w:rPr>
            </w:pPr>
            <w:r>
              <w:rPr>
                <w:rFonts w:ascii="Times" w:hAnsi="Times" w:eastAsia="Batang"/>
                <w:color w:val="001135"/>
                <w:kern w:val="24"/>
                <w:sz w:val="18"/>
                <w:szCs w:val="18"/>
                <w:lang w:val="en-US"/>
              </w:rPr>
              <w:t>Note 2: Case 1 can be naturally applied to the UE-first training case where 1 UE part model to N&gt;1 separate NW part models</w:t>
            </w:r>
          </w:p>
          <w:p>
            <w:pPr>
              <w:numPr>
                <w:ilvl w:val="2"/>
                <w:numId w:val="4"/>
              </w:numPr>
              <w:overflowPunct/>
              <w:autoSpaceDE/>
              <w:autoSpaceDN/>
              <w:adjustRightInd/>
              <w:spacing w:after="0" w:line="257" w:lineRule="auto"/>
              <w:ind w:left="1656"/>
              <w:contextualSpacing/>
              <w:jc w:val="both"/>
              <w:rPr>
                <w:rFonts w:eastAsia="Times New Roman"/>
                <w:sz w:val="18"/>
                <w:szCs w:val="24"/>
                <w:lang w:val="en-US"/>
              </w:rPr>
            </w:pPr>
            <w:r>
              <w:rPr>
                <w:rFonts w:ascii="Times" w:hAnsi="Times" w:eastAsia="Batang"/>
                <w:color w:val="001135"/>
                <w:kern w:val="24"/>
                <w:sz w:val="18"/>
                <w:szCs w:val="18"/>
                <w:lang w:val="en-US"/>
              </w:rPr>
              <w:t>Companies to report the dataset used between the NW part model and the UE part model, e.g., whether dataset for training NW part model is the same or a subset of the dataset for training UE part model</w:t>
            </w:r>
          </w:p>
          <w:p>
            <w:pPr>
              <w:numPr>
                <w:ilvl w:val="1"/>
                <w:numId w:val="4"/>
              </w:numPr>
              <w:overflowPunct/>
              <w:autoSpaceDE/>
              <w:autoSpaceDN/>
              <w:adjustRightInd/>
              <w:spacing w:after="0" w:line="257" w:lineRule="auto"/>
              <w:ind w:left="1224"/>
              <w:contextualSpacing/>
              <w:jc w:val="both"/>
              <w:rPr>
                <w:rFonts w:eastAsia="Times New Roman"/>
                <w:sz w:val="18"/>
                <w:szCs w:val="24"/>
                <w:lang w:val="en-US"/>
              </w:rPr>
            </w:pPr>
            <w:r>
              <w:rPr>
                <w:rFonts w:ascii="Times" w:hAnsi="Times" w:eastAsia="Batang"/>
                <w:color w:val="001135"/>
                <w:kern w:val="24"/>
                <w:sz w:val="18"/>
                <w:szCs w:val="18"/>
                <w:lang w:val="en-US"/>
              </w:rPr>
              <w:t>Companies to report the AI/ML structures for the combination(s) of UE part model and NW part model, which can be the same or different</w:t>
            </w:r>
          </w:p>
          <w:p>
            <w:pPr>
              <w:numPr>
                <w:ilvl w:val="1"/>
                <w:numId w:val="4"/>
              </w:numPr>
              <w:overflowPunct/>
              <w:autoSpaceDE/>
              <w:autoSpaceDN/>
              <w:adjustRightInd/>
              <w:spacing w:after="0" w:line="257" w:lineRule="auto"/>
              <w:ind w:left="1224"/>
              <w:contextualSpacing/>
              <w:jc w:val="both"/>
              <w:rPr>
                <w:rFonts w:eastAsia="Times New Roman"/>
                <w:sz w:val="18"/>
                <w:szCs w:val="24"/>
                <w:lang w:val="en-US"/>
              </w:rPr>
            </w:pPr>
            <w:r>
              <w:rPr>
                <w:rFonts w:ascii="Times" w:hAnsi="Times" w:eastAsia="Batang"/>
                <w:color w:val="001135"/>
                <w:kern w:val="24"/>
                <w:sz w:val="18"/>
                <w:szCs w:val="18"/>
                <w:lang w:val="en-US"/>
              </w:rPr>
              <w:t>FFS: different quantization methods between NW side and UE side</w:t>
            </w:r>
          </w:p>
          <w:p>
            <w:pPr>
              <w:numPr>
                <w:ilvl w:val="0"/>
                <w:numId w:val="4"/>
              </w:numPr>
              <w:overflowPunct/>
              <w:autoSpaceDE/>
              <w:autoSpaceDN/>
              <w:adjustRightInd/>
              <w:spacing w:after="0"/>
              <w:ind w:left="792"/>
              <w:contextualSpacing/>
              <w:jc w:val="both"/>
              <w:rPr>
                <w:rFonts w:eastAsia="Times New Roman"/>
                <w:sz w:val="18"/>
                <w:szCs w:val="24"/>
                <w:lang w:val="en-US"/>
              </w:rPr>
            </w:pPr>
            <w:r>
              <w:rPr>
                <w:rFonts w:ascii="Times" w:hAnsi="Times" w:eastAsia="Batang"/>
                <w:color w:val="001135"/>
                <w:kern w:val="24"/>
                <w:sz w:val="18"/>
                <w:szCs w:val="18"/>
                <w:lang w:val="en-US"/>
              </w:rPr>
              <w:t>Case 2: For UE-first training, Type 3 training between one NW part model and M&gt;1 separate UE part models</w:t>
            </w:r>
          </w:p>
          <w:p>
            <w:pPr>
              <w:numPr>
                <w:ilvl w:val="1"/>
                <w:numId w:val="4"/>
              </w:numPr>
              <w:overflowPunct/>
              <w:autoSpaceDE/>
              <w:autoSpaceDN/>
              <w:adjustRightInd/>
              <w:spacing w:after="0" w:line="257" w:lineRule="auto"/>
              <w:ind w:left="1224"/>
              <w:contextualSpacing/>
              <w:jc w:val="both"/>
              <w:rPr>
                <w:rFonts w:eastAsia="Times New Roman"/>
                <w:sz w:val="18"/>
                <w:szCs w:val="24"/>
                <w:lang w:val="en-US"/>
              </w:rPr>
            </w:pPr>
            <w:r>
              <w:rPr>
                <w:rFonts w:ascii="Times" w:hAnsi="Times" w:eastAsia="Batang"/>
                <w:color w:val="001135"/>
                <w:kern w:val="24"/>
                <w:sz w:val="18"/>
                <w:szCs w:val="18"/>
                <w:lang w:val="en-US"/>
              </w:rPr>
              <w:t>Note: Case 2 can be also applied to the M&gt;1 UE part models to N&gt;1 NW part models</w:t>
            </w:r>
          </w:p>
          <w:p>
            <w:pPr>
              <w:numPr>
                <w:ilvl w:val="1"/>
                <w:numId w:val="4"/>
              </w:numPr>
              <w:overflowPunct/>
              <w:autoSpaceDE/>
              <w:autoSpaceDN/>
              <w:adjustRightInd/>
              <w:spacing w:after="0" w:line="257" w:lineRule="auto"/>
              <w:ind w:left="1224"/>
              <w:contextualSpacing/>
              <w:jc w:val="both"/>
              <w:rPr>
                <w:rFonts w:eastAsia="Times New Roman"/>
                <w:sz w:val="18"/>
                <w:szCs w:val="24"/>
                <w:lang w:val="en-US"/>
              </w:rPr>
            </w:pPr>
            <w:r>
              <w:rPr>
                <w:rFonts w:ascii="Times" w:hAnsi="Times" w:eastAsia="Batang"/>
                <w:color w:val="001135"/>
                <w:kern w:val="24"/>
                <w:sz w:val="18"/>
                <w:szCs w:val="18"/>
                <w:lang w:val="en-US"/>
              </w:rPr>
              <w:t>Companies to report the AI/ML structures for the M&gt;1 UE part models and the NW part model</w:t>
            </w:r>
          </w:p>
          <w:p>
            <w:pPr>
              <w:numPr>
                <w:ilvl w:val="1"/>
                <w:numId w:val="4"/>
              </w:numPr>
              <w:overflowPunct/>
              <w:autoSpaceDE/>
              <w:autoSpaceDN/>
              <w:adjustRightInd/>
              <w:spacing w:after="0" w:line="257" w:lineRule="auto"/>
              <w:ind w:left="1224"/>
              <w:contextualSpacing/>
              <w:jc w:val="both"/>
              <w:rPr>
                <w:rFonts w:eastAsia="Times New Roman"/>
                <w:sz w:val="18"/>
                <w:szCs w:val="24"/>
                <w:lang w:val="en-US"/>
              </w:rPr>
            </w:pPr>
            <w:r>
              <w:rPr>
                <w:rFonts w:ascii="Times" w:hAnsi="Times" w:eastAsia="Batang"/>
                <w:color w:val="001135"/>
                <w:kern w:val="24"/>
                <w:sz w:val="18"/>
                <w:szCs w:val="18"/>
                <w:lang w:val="en-US"/>
              </w:rPr>
              <w:t>Companies to report the dataset used at UE part models, e.g., same or different dataset(s) among M UE part models</w:t>
            </w:r>
          </w:p>
          <w:p>
            <w:pPr>
              <w:numPr>
                <w:ilvl w:val="0"/>
                <w:numId w:val="4"/>
              </w:numPr>
              <w:overflowPunct/>
              <w:autoSpaceDE/>
              <w:autoSpaceDN/>
              <w:adjustRightInd/>
              <w:spacing w:after="0"/>
              <w:ind w:left="792"/>
              <w:contextualSpacing/>
              <w:jc w:val="both"/>
              <w:rPr>
                <w:rFonts w:eastAsia="Times New Roman"/>
                <w:sz w:val="18"/>
                <w:szCs w:val="24"/>
                <w:lang w:val="en-US"/>
              </w:rPr>
            </w:pPr>
            <w:r>
              <w:rPr>
                <w:rFonts w:ascii="Times" w:hAnsi="Times" w:eastAsia="Batang"/>
                <w:color w:val="001135"/>
                <w:kern w:val="24"/>
                <w:sz w:val="18"/>
                <w:szCs w:val="18"/>
                <w:lang w:val="en-US"/>
              </w:rPr>
              <w:t>Case 3: For NW-first training, Type 3 training between one UE part model and N&gt;1 separate NW part models</w:t>
            </w:r>
          </w:p>
          <w:p>
            <w:pPr>
              <w:numPr>
                <w:ilvl w:val="1"/>
                <w:numId w:val="4"/>
              </w:numPr>
              <w:overflowPunct/>
              <w:autoSpaceDE/>
              <w:autoSpaceDN/>
              <w:adjustRightInd/>
              <w:spacing w:after="0" w:line="257" w:lineRule="auto"/>
              <w:ind w:left="1224"/>
              <w:contextualSpacing/>
              <w:jc w:val="both"/>
              <w:rPr>
                <w:rFonts w:eastAsia="Times New Roman"/>
                <w:sz w:val="18"/>
                <w:szCs w:val="24"/>
                <w:lang w:val="en-US"/>
              </w:rPr>
            </w:pPr>
            <w:r>
              <w:rPr>
                <w:rFonts w:ascii="Times" w:hAnsi="Times" w:eastAsia="Batang"/>
                <w:color w:val="001135"/>
                <w:kern w:val="24"/>
                <w:sz w:val="18"/>
                <w:szCs w:val="18"/>
                <w:lang w:val="en-US"/>
              </w:rPr>
              <w:t>Note: Case 3 can be also applied to the N&gt;1 NW part models to M&gt;1 UE part models</w:t>
            </w:r>
          </w:p>
          <w:p>
            <w:pPr>
              <w:numPr>
                <w:ilvl w:val="1"/>
                <w:numId w:val="4"/>
              </w:numPr>
              <w:overflowPunct/>
              <w:autoSpaceDE/>
              <w:autoSpaceDN/>
              <w:adjustRightInd/>
              <w:spacing w:after="0" w:line="257" w:lineRule="auto"/>
              <w:ind w:left="1224"/>
              <w:contextualSpacing/>
              <w:jc w:val="both"/>
              <w:rPr>
                <w:rFonts w:eastAsia="Times New Roman"/>
                <w:sz w:val="18"/>
                <w:szCs w:val="24"/>
                <w:lang w:val="en-US"/>
              </w:rPr>
            </w:pPr>
            <w:r>
              <w:rPr>
                <w:rFonts w:ascii="Times" w:hAnsi="Times" w:eastAsia="Batang"/>
                <w:color w:val="001135"/>
                <w:kern w:val="24"/>
                <w:sz w:val="18"/>
                <w:szCs w:val="18"/>
                <w:lang w:val="en-US"/>
              </w:rPr>
              <w:t>Companies to report the AI/ML structures for the UE part model and the N&gt;1 NW part models</w:t>
            </w:r>
          </w:p>
          <w:p>
            <w:pPr>
              <w:numPr>
                <w:ilvl w:val="1"/>
                <w:numId w:val="4"/>
              </w:numPr>
              <w:overflowPunct/>
              <w:autoSpaceDE/>
              <w:autoSpaceDN/>
              <w:adjustRightInd/>
              <w:spacing w:after="0" w:line="257" w:lineRule="auto"/>
              <w:ind w:left="1224"/>
              <w:contextualSpacing/>
              <w:jc w:val="both"/>
              <w:rPr>
                <w:rFonts w:eastAsia="Times New Roman"/>
                <w:sz w:val="18"/>
                <w:szCs w:val="24"/>
                <w:lang w:val="en-US"/>
              </w:rPr>
            </w:pPr>
            <w:r>
              <w:rPr>
                <w:rFonts w:ascii="Times" w:hAnsi="Times" w:eastAsia="Batang"/>
                <w:color w:val="001135"/>
                <w:kern w:val="24"/>
                <w:sz w:val="18"/>
                <w:szCs w:val="18"/>
                <w:lang w:val="en-US"/>
              </w:rPr>
              <w:t>Companies to report the dataset used at NW part models, e.g., same or different dataset(s) among N NW part models</w:t>
            </w:r>
          </w:p>
          <w:p>
            <w:pPr>
              <w:pStyle w:val="7"/>
              <w:numPr>
                <w:ilvl w:val="0"/>
                <w:numId w:val="0"/>
              </w:numPr>
              <w:outlineLvl w:val="0"/>
              <w:rPr>
                <w:rFonts w:hint="eastAsia" w:ascii="Times New Roman" w:hAnsi="Times New Roman" w:eastAsia="等线" w:cs="Lohit Devanagari"/>
                <w:kern w:val="2"/>
                <w:sz w:val="24"/>
                <w:szCs w:val="24"/>
                <w:vertAlign w:val="baseline"/>
                <w:lang w:val="en-US" w:eastAsia="zh-CN" w:bidi="hi-IN"/>
              </w:rPr>
            </w:pPr>
            <w:r>
              <w:rPr>
                <w:rFonts w:ascii="Times" w:hAnsi="Times" w:eastAsia="Batang"/>
                <w:color w:val="001135"/>
                <w:kern w:val="24"/>
                <w:sz w:val="18"/>
                <w:szCs w:val="18"/>
                <w:lang w:val="en-US"/>
              </w:rPr>
              <w:t>FFS: whether/how to report overhead of dataset</w:t>
            </w:r>
          </w:p>
        </w:tc>
      </w:tr>
    </w:tbl>
    <w:p>
      <w:pPr>
        <w:pStyle w:val="7"/>
        <w:numPr>
          <w:ilvl w:val="0"/>
          <w:numId w:val="0"/>
        </w:numPr>
        <w:ind w:leftChars="0"/>
        <w:outlineLvl w:val="0"/>
        <w:rPr>
          <w:rFonts w:hint="eastAsia" w:ascii="Times New Roman" w:hAnsi="Times New Roman" w:eastAsia="等线" w:cs="Lohit Devanagari"/>
          <w:kern w:val="2"/>
          <w:sz w:val="24"/>
          <w:szCs w:val="24"/>
          <w:lang w:val="en-US" w:eastAsia="zh-CN" w:bidi="hi-IN"/>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keepNext/>
              <w:overflowPunct/>
              <w:autoSpaceDE/>
              <w:autoSpaceDN/>
              <w:adjustRightInd/>
              <w:spacing w:after="0"/>
              <w:jc w:val="both"/>
              <w:textAlignment w:val="auto"/>
              <w:rPr>
                <w:rFonts w:eastAsia="Times New Roman"/>
                <w:sz w:val="24"/>
                <w:szCs w:val="24"/>
                <w:lang w:val="en-US"/>
              </w:rPr>
            </w:pPr>
            <w:r>
              <w:rPr>
                <w:rFonts w:ascii="Times" w:hAnsi="Times" w:eastAsia="Batang"/>
                <w:b/>
                <w:color w:val="001135"/>
                <w:kern w:val="24"/>
                <w:highlight w:val="green"/>
                <w:lang w:val="en-US"/>
              </w:rPr>
              <w:t>Agreement</w:t>
            </w:r>
          </w:p>
          <w:p>
            <w:pPr>
              <w:overflowPunct/>
              <w:autoSpaceDE/>
              <w:autoSpaceDN/>
              <w:adjustRightInd/>
              <w:spacing w:after="0"/>
              <w:jc w:val="both"/>
              <w:rPr>
                <w:rFonts w:eastAsia="Times New Roman"/>
                <w:sz w:val="21"/>
                <w:szCs w:val="21"/>
                <w:lang w:val="en-US"/>
              </w:rPr>
            </w:pPr>
            <w:r>
              <w:rPr>
                <w:rFonts w:ascii="Times" w:hAnsi="Times" w:eastAsia="Batang"/>
                <w:color w:val="001135"/>
                <w:kern w:val="24"/>
                <w:sz w:val="21"/>
                <w:szCs w:val="21"/>
                <w:lang w:val="en-US"/>
              </w:rPr>
              <w:t>For the evaluation of an example of Type 3 (Separate training at NW side and UE side) with sequential training, companies to report the set of information (e.g., dataset) shared in Step 2</w:t>
            </w:r>
          </w:p>
          <w:p>
            <w:pPr>
              <w:numPr>
                <w:ilvl w:val="0"/>
                <w:numId w:val="5"/>
              </w:numPr>
              <w:overflowPunct/>
              <w:autoSpaceDE/>
              <w:autoSpaceDN/>
              <w:adjustRightInd/>
              <w:spacing w:after="0"/>
              <w:ind w:left="792"/>
              <w:contextualSpacing/>
              <w:jc w:val="both"/>
              <w:rPr>
                <w:rFonts w:eastAsia="Times New Roman"/>
                <w:sz w:val="18"/>
                <w:szCs w:val="18"/>
                <w:lang w:val="en-US"/>
              </w:rPr>
            </w:pPr>
            <w:r>
              <w:rPr>
                <w:rFonts w:ascii="Times" w:hAnsi="Times" w:eastAsia="Batang"/>
                <w:color w:val="001135"/>
                <w:kern w:val="24"/>
                <w:sz w:val="18"/>
                <w:szCs w:val="18"/>
                <w:lang w:val="en-US"/>
              </w:rPr>
              <w:t>For NW-first training</w:t>
            </w:r>
          </w:p>
          <w:p>
            <w:pPr>
              <w:numPr>
                <w:ilvl w:val="1"/>
                <w:numId w:val="5"/>
              </w:numPr>
              <w:overflowPunct/>
              <w:autoSpaceDE/>
              <w:autoSpaceDN/>
              <w:adjustRightInd/>
              <w:spacing w:after="0" w:line="257" w:lineRule="auto"/>
              <w:ind w:left="1224"/>
              <w:contextualSpacing/>
              <w:jc w:val="both"/>
              <w:rPr>
                <w:rFonts w:eastAsia="Times New Roman"/>
                <w:sz w:val="18"/>
                <w:szCs w:val="18"/>
                <w:lang w:val="en-US"/>
              </w:rPr>
            </w:pPr>
            <w:r>
              <w:rPr>
                <w:rFonts w:ascii="Times" w:hAnsi="Times" w:eastAsia="Batang"/>
                <w:color w:val="001135"/>
                <w:kern w:val="24"/>
                <w:sz w:val="18"/>
                <w:szCs w:val="18"/>
                <w:lang w:val="en-US"/>
              </w:rPr>
              <w:t>Dataset construction, e.g., the set of information includes the input and output of the Network side CSI generation part, or includes the output of the Network side CSI generation part only, or other information if applicable.</w:t>
            </w:r>
          </w:p>
          <w:p>
            <w:pPr>
              <w:numPr>
                <w:ilvl w:val="1"/>
                <w:numId w:val="5"/>
              </w:numPr>
              <w:overflowPunct/>
              <w:autoSpaceDE/>
              <w:autoSpaceDN/>
              <w:adjustRightInd/>
              <w:spacing w:after="0" w:line="257" w:lineRule="auto"/>
              <w:ind w:left="1224"/>
              <w:contextualSpacing/>
              <w:jc w:val="both"/>
              <w:rPr>
                <w:rFonts w:eastAsia="Times New Roman"/>
                <w:sz w:val="18"/>
                <w:szCs w:val="18"/>
                <w:lang w:val="en-US"/>
              </w:rPr>
            </w:pPr>
            <w:r>
              <w:rPr>
                <w:rFonts w:ascii="Times" w:hAnsi="Times" w:eastAsia="Batang"/>
                <w:color w:val="001135"/>
                <w:kern w:val="24"/>
                <w:sz w:val="18"/>
                <w:szCs w:val="18"/>
                <w:lang w:val="en-US"/>
              </w:rPr>
              <w:t>Quantization behavior, e.g., whether the shared output of the Network side CSI generation part is before or after quantization.</w:t>
            </w:r>
          </w:p>
          <w:p>
            <w:pPr>
              <w:numPr>
                <w:ilvl w:val="0"/>
                <w:numId w:val="5"/>
              </w:numPr>
              <w:overflowPunct/>
              <w:autoSpaceDE/>
              <w:autoSpaceDN/>
              <w:adjustRightInd/>
              <w:spacing w:after="0"/>
              <w:ind w:left="792"/>
              <w:contextualSpacing/>
              <w:jc w:val="both"/>
              <w:rPr>
                <w:rFonts w:eastAsia="Times New Roman"/>
                <w:sz w:val="18"/>
                <w:szCs w:val="18"/>
                <w:lang w:val="en-US"/>
              </w:rPr>
            </w:pPr>
            <w:r>
              <w:rPr>
                <w:rFonts w:ascii="Times" w:hAnsi="Times" w:eastAsia="Batang"/>
                <w:color w:val="001135"/>
                <w:kern w:val="24"/>
                <w:sz w:val="18"/>
                <w:szCs w:val="18"/>
                <w:lang w:val="en-US"/>
              </w:rPr>
              <w:t>For UE-first training</w:t>
            </w:r>
          </w:p>
          <w:p>
            <w:pPr>
              <w:numPr>
                <w:ilvl w:val="1"/>
                <w:numId w:val="5"/>
              </w:numPr>
              <w:overflowPunct/>
              <w:autoSpaceDE/>
              <w:autoSpaceDN/>
              <w:adjustRightInd/>
              <w:spacing w:after="0" w:line="257" w:lineRule="auto"/>
              <w:ind w:left="1224"/>
              <w:contextualSpacing/>
              <w:jc w:val="both"/>
              <w:rPr>
                <w:rFonts w:eastAsia="Times New Roman"/>
                <w:sz w:val="18"/>
                <w:szCs w:val="18"/>
                <w:lang w:val="en-US"/>
              </w:rPr>
            </w:pPr>
            <w:r>
              <w:rPr>
                <w:rFonts w:ascii="Times" w:hAnsi="Times" w:eastAsia="Batang"/>
                <w:color w:val="001135"/>
                <w:kern w:val="24"/>
                <w:sz w:val="18"/>
                <w:szCs w:val="18"/>
                <w:lang w:val="en-US"/>
              </w:rPr>
              <w:t>Dataset construction, e.g., the set of information includes the input and label of the UE side CSI reconstruction part, or includes the input of the UE side CSI reconstruction part only, or other information if applicable.</w:t>
            </w:r>
          </w:p>
          <w:p>
            <w:pPr>
              <w:numPr>
                <w:ilvl w:val="1"/>
                <w:numId w:val="5"/>
              </w:numPr>
              <w:overflowPunct/>
              <w:autoSpaceDE/>
              <w:autoSpaceDN/>
              <w:adjustRightInd/>
              <w:spacing w:after="0" w:line="257" w:lineRule="auto"/>
              <w:ind w:left="1224"/>
              <w:contextualSpacing/>
              <w:jc w:val="both"/>
              <w:rPr>
                <w:rFonts w:eastAsia="Times New Roman"/>
                <w:sz w:val="18"/>
                <w:szCs w:val="18"/>
                <w:lang w:val="en-US"/>
              </w:rPr>
            </w:pPr>
            <w:r>
              <w:rPr>
                <w:rFonts w:ascii="Times" w:hAnsi="Times" w:eastAsia="Batang"/>
                <w:color w:val="001135"/>
                <w:kern w:val="24"/>
                <w:sz w:val="18"/>
                <w:szCs w:val="18"/>
                <w:lang w:val="en-US"/>
              </w:rPr>
              <w:t>Quantization behavior, e.g., whether the shared input of the UE side CSI reconstruction part is before or after quantization.</w:t>
            </w:r>
          </w:p>
          <w:p>
            <w:pPr>
              <w:numPr>
                <w:ilvl w:val="0"/>
                <w:numId w:val="0"/>
              </w:numPr>
              <w:overflowPunct/>
              <w:autoSpaceDE/>
              <w:autoSpaceDN/>
              <w:adjustRightInd/>
              <w:spacing w:after="0"/>
              <w:ind w:left="372" w:leftChars="0"/>
              <w:contextualSpacing/>
              <w:jc w:val="both"/>
              <w:rPr>
                <w:rFonts w:ascii="Times" w:hAnsi="Times" w:eastAsia="Batang"/>
                <w:color w:val="001135"/>
                <w:kern w:val="24"/>
                <w:sz w:val="18"/>
                <w:szCs w:val="18"/>
                <w:lang w:val="en-US"/>
              </w:rPr>
            </w:pPr>
          </w:p>
        </w:tc>
      </w:tr>
    </w:tbl>
    <w:p>
      <w:pPr>
        <w:rPr>
          <w:rFonts w:hint="default"/>
          <w:lang w:val="en-US" w:eastAsia="zh-CN"/>
        </w:rPr>
      </w:pPr>
      <w:r>
        <w:rPr>
          <w:rFonts w:hint="eastAsia"/>
          <w:lang w:val="en-US" w:eastAsia="zh-CN"/>
        </w:rPr>
        <w:t xml:space="preserve">We evaluate the performance of baseline AI model and UE first training. We train a baseline model first with end to end training and </w:t>
      </w:r>
      <w:r>
        <w:rPr>
          <w:rFonts w:hint="eastAsia"/>
          <w:vertAlign w:val="baseline"/>
          <w:lang w:val="en-US" w:eastAsia="zh-CN"/>
        </w:rPr>
        <w:t>joint training</w:t>
      </w:r>
      <w:r>
        <w:rPr>
          <w:rFonts w:hint="eastAsia"/>
          <w:lang w:val="en-US" w:eastAsia="zh-CN"/>
        </w:rPr>
        <w:t xml:space="preserve">. Assume we have a dataset H. In our UE first training experiment, we train a baseline model first and the encoder will be the UE side encoder. Then we provide the NW side some information, which includes the dataset H, the structure of encoder, the parameters of encoder. At the NW-side model training phase, we construc the whole feedback structure and freeze the encoder. Compared with baseline , the performance improves in UE first training.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jc w:val="center"/>
              <w:rPr>
                <w:rFonts w:hint="default"/>
                <w:vertAlign w:val="baseline"/>
                <w:lang w:val="en-US" w:eastAsia="zh-CN"/>
              </w:rPr>
            </w:pPr>
            <w:r>
              <w:rPr>
                <w:rFonts w:hint="eastAsia"/>
                <w:vertAlign w:val="baseline"/>
                <w:lang w:val="en-US" w:eastAsia="zh-CN"/>
              </w:rPr>
              <w:t>Model</w:t>
            </w:r>
          </w:p>
        </w:tc>
        <w:tc>
          <w:tcPr>
            <w:tcW w:w="4927" w:type="dxa"/>
          </w:tcPr>
          <w:p>
            <w:pPr>
              <w:jc w:val="center"/>
              <w:rPr>
                <w:rFonts w:hint="default"/>
                <w:vertAlign w:val="baseline"/>
                <w:lang w:val="en-US" w:eastAsia="zh-CN"/>
              </w:rPr>
            </w:pPr>
            <w:r>
              <w:rPr>
                <w:rFonts w:hint="eastAsia"/>
                <w:vertAlign w:val="baseline"/>
                <w:lang w:val="en-US" w:eastAsia="zh-CN"/>
              </w:rPr>
              <w:t>SGCS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jc w:val="center"/>
              <w:rPr>
                <w:rFonts w:hint="default"/>
                <w:vertAlign w:val="baseline"/>
                <w:lang w:val="en-US" w:eastAsia="zh-CN"/>
              </w:rPr>
            </w:pPr>
            <w:r>
              <w:rPr>
                <w:rFonts w:hint="eastAsia"/>
                <w:vertAlign w:val="baseline"/>
                <w:lang w:val="en-US" w:eastAsia="zh-CN"/>
              </w:rPr>
              <w:t xml:space="preserve">Baseline </w:t>
            </w:r>
            <w:bookmarkStart w:id="2" w:name="OLE_LINK1"/>
            <w:r>
              <w:rPr>
                <w:rFonts w:hint="eastAsia"/>
                <w:vertAlign w:val="baseline"/>
                <w:lang w:val="en-US" w:eastAsia="zh-CN"/>
              </w:rPr>
              <w:t>Model</w:t>
            </w:r>
            <w:bookmarkEnd w:id="2"/>
            <w:r>
              <w:rPr>
                <w:rFonts w:hint="eastAsia"/>
                <w:vertAlign w:val="baseline"/>
                <w:lang w:val="en-US" w:eastAsia="zh-CN"/>
              </w:rPr>
              <w:t>(end to end)</w:t>
            </w:r>
          </w:p>
        </w:tc>
        <w:tc>
          <w:tcPr>
            <w:tcW w:w="4927" w:type="dxa"/>
          </w:tcPr>
          <w:p>
            <w:pPr>
              <w:jc w:val="center"/>
              <w:rPr>
                <w:rFonts w:hint="default"/>
                <w:vertAlign w:val="baseline"/>
                <w:lang w:val="en-US" w:eastAsia="zh-CN"/>
              </w:rPr>
            </w:pPr>
            <w:r>
              <w:rPr>
                <w:rFonts w:hint="eastAsia"/>
                <w:vertAlign w:val="baseline"/>
                <w:lang w:val="en-US" w:eastAsia="zh-CN"/>
              </w:rPr>
              <w:t>0.8617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jc w:val="center"/>
              <w:rPr>
                <w:rFonts w:hint="default"/>
                <w:vertAlign w:val="baseline"/>
                <w:lang w:val="en-US" w:eastAsia="zh-CN"/>
              </w:rPr>
            </w:pPr>
            <w:r>
              <w:rPr>
                <w:rFonts w:hint="eastAsia"/>
                <w:vertAlign w:val="baseline"/>
                <w:lang w:val="en-US" w:eastAsia="zh-CN"/>
              </w:rPr>
              <w:t>Baseline Model(joint training)</w:t>
            </w:r>
          </w:p>
        </w:tc>
        <w:tc>
          <w:tcPr>
            <w:tcW w:w="4927" w:type="dxa"/>
          </w:tcPr>
          <w:p>
            <w:pPr>
              <w:jc w:val="center"/>
              <w:rPr>
                <w:rFonts w:hint="default"/>
                <w:vertAlign w:val="baseline"/>
                <w:lang w:val="en-US" w:eastAsia="zh-CN"/>
              </w:rPr>
            </w:pPr>
            <w:r>
              <w:rPr>
                <w:rFonts w:hint="eastAsia"/>
                <w:vertAlign w:val="baseline"/>
                <w:lang w:val="en-US" w:eastAsia="zh-CN"/>
              </w:rPr>
              <w:t>0.8564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jc w:val="center"/>
              <w:rPr>
                <w:rFonts w:hint="default"/>
                <w:vertAlign w:val="baseline"/>
                <w:lang w:val="en-US" w:eastAsia="zh-CN"/>
              </w:rPr>
            </w:pPr>
            <w:r>
              <w:rPr>
                <w:rFonts w:hint="eastAsia"/>
                <w:vertAlign w:val="baseline"/>
                <w:lang w:val="en-US" w:eastAsia="zh-CN"/>
              </w:rPr>
              <w:t>Transformer based decoder Model(end to end)</w:t>
            </w:r>
          </w:p>
        </w:tc>
        <w:tc>
          <w:tcPr>
            <w:tcW w:w="4927" w:type="dxa"/>
          </w:tcPr>
          <w:p>
            <w:pPr>
              <w:jc w:val="center"/>
              <w:rPr>
                <w:rFonts w:hint="default"/>
                <w:vertAlign w:val="baseline"/>
                <w:lang w:val="en-US" w:eastAsia="zh-CN"/>
              </w:rPr>
            </w:pPr>
            <w:r>
              <w:rPr>
                <w:rFonts w:hint="eastAsia"/>
                <w:vertAlign w:val="baseline"/>
                <w:lang w:val="en-US" w:eastAsia="zh-CN"/>
              </w:rPr>
              <w:t>0.8841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jc w:val="center"/>
              <w:rPr>
                <w:rFonts w:hint="default"/>
                <w:vertAlign w:val="baseline"/>
                <w:lang w:val="en-US" w:eastAsia="zh-CN"/>
              </w:rPr>
            </w:pPr>
            <w:r>
              <w:rPr>
                <w:rFonts w:hint="eastAsia"/>
                <w:vertAlign w:val="baseline"/>
                <w:lang w:val="en-US" w:eastAsia="zh-CN"/>
              </w:rPr>
              <w:t>Transformer based decoder Model(joint training)</w:t>
            </w:r>
          </w:p>
        </w:tc>
        <w:tc>
          <w:tcPr>
            <w:tcW w:w="4927" w:type="dxa"/>
          </w:tcPr>
          <w:p>
            <w:pPr>
              <w:jc w:val="center"/>
              <w:rPr>
                <w:rFonts w:hint="eastAsia"/>
                <w:vertAlign w:val="baseline"/>
                <w:lang w:val="en-US" w:eastAsia="zh-CN"/>
              </w:rPr>
            </w:pPr>
            <w:r>
              <w:rPr>
                <w:rFonts w:hint="eastAsia"/>
                <w:vertAlign w:val="baseline"/>
                <w:lang w:val="en-US" w:eastAsia="zh-CN"/>
              </w:rPr>
              <w:t>0.8988</w:t>
            </w:r>
          </w:p>
        </w:tc>
      </w:tr>
    </w:tbl>
    <w:p>
      <w:pPr>
        <w:widowControl w:val="0"/>
        <w:snapToGrid w:val="0"/>
        <w:spacing w:before="120" w:line="288" w:lineRule="auto"/>
        <w:jc w:val="both"/>
        <w:rPr>
          <w:rFonts w:hint="eastAsia" w:ascii="Times New Roman" w:hAnsi="Times New Roman" w:eastAsia="等线"/>
          <w:b/>
          <w:bCs/>
          <w:i/>
          <w:lang w:val="en-US" w:eastAsia="zh-CN"/>
        </w:rPr>
      </w:pPr>
      <w:r>
        <w:rPr>
          <w:rFonts w:hint="eastAsia" w:ascii="Times New Roman" w:hAnsi="Times New Roman" w:eastAsia="等线"/>
          <w:b/>
          <w:bCs/>
          <w:i/>
          <w:lang w:val="en-US" w:eastAsia="zh-CN"/>
        </w:rPr>
        <w:t>Observation 1: The performance of joint training does not differ significantly from end-to-end training, but the performance variation differs among different models.</w:t>
      </w:r>
    </w:p>
    <w:p>
      <w:pPr>
        <w:widowControl w:val="0"/>
        <w:snapToGrid w:val="0"/>
        <w:spacing w:before="120" w:line="288" w:lineRule="auto"/>
        <w:jc w:val="both"/>
        <w:rPr>
          <w:rFonts w:hint="eastAsia" w:ascii="Times New Roman" w:hAnsi="Times New Roman" w:eastAsia="等线"/>
          <w:b/>
          <w:bCs/>
          <w:i/>
          <w:lang w:val="en-US" w:eastAsia="zh-CN"/>
        </w:rPr>
      </w:pPr>
    </w:p>
    <w:p>
      <w:pPr>
        <w:widowControl w:val="0"/>
        <w:snapToGrid w:val="0"/>
        <w:spacing w:before="120" w:line="288" w:lineRule="auto"/>
        <w:jc w:val="both"/>
        <w:rPr>
          <w:rFonts w:hint="default" w:ascii="Times New Roman" w:hAnsi="Times New Roman" w:eastAsia="等线" w:cs="Lohit Devanagari"/>
          <w:kern w:val="2"/>
          <w:sz w:val="24"/>
          <w:szCs w:val="24"/>
          <w:lang w:val="en-US" w:eastAsia="zh-CN" w:bidi="hi-IN"/>
        </w:rPr>
      </w:pPr>
      <w:r>
        <w:rPr>
          <w:rFonts w:hint="eastAsia" w:ascii="Times New Roman" w:hAnsi="Times New Roman" w:eastAsia="等线"/>
          <w:b/>
          <w:bCs/>
          <w:i/>
          <w:lang w:val="en-US" w:eastAsia="zh-CN"/>
        </w:rPr>
        <w:t>Proposal 1: Investigate the performance differences of Feedback enhancement under different encoders and decoders.</w:t>
      </w:r>
    </w:p>
    <w:p>
      <w:pPr>
        <w:pStyle w:val="7"/>
        <w:numPr>
          <w:ilvl w:val="0"/>
          <w:numId w:val="3"/>
        </w:numPr>
        <w:outlineLvl w:val="0"/>
        <w:rPr>
          <w:rFonts w:ascii="Arial" w:hAnsi="Arial" w:eastAsia="等线"/>
          <w:b/>
          <w:bCs/>
          <w:sz w:val="28"/>
          <w:szCs w:val="28"/>
        </w:rPr>
      </w:pPr>
      <w:r>
        <w:rPr>
          <w:rFonts w:hint="eastAsia" w:ascii="Arial" w:hAnsi="Arial" w:eastAsia="等线"/>
          <w:b/>
          <w:bCs/>
          <w:sz w:val="28"/>
          <w:szCs w:val="28"/>
        </w:rPr>
        <w:t>Evaluation results for quantization aware/non-aware training</w:t>
      </w:r>
    </w:p>
    <w:p>
      <w:pPr>
        <w:rPr>
          <w:rFonts w:hint="eastAsia"/>
        </w:rPr>
      </w:pPr>
      <w:r>
        <w:rPr>
          <w:rFonts w:hint="eastAsia"/>
        </w:rPr>
        <w:t xml:space="preserve">This section provides the evaluation results for different quantization methods of CSI feedback, including quantization aware training and quantization </w:t>
      </w:r>
      <w:bookmarkStart w:id="3" w:name="OLE_LINK2"/>
      <w:r>
        <w:rPr>
          <w:rFonts w:hint="eastAsia"/>
        </w:rPr>
        <w:t>non-aware</w:t>
      </w:r>
      <w:bookmarkEnd w:id="3"/>
      <w:r>
        <w:rPr>
          <w:rFonts w:hint="eastAsia"/>
        </w:rPr>
        <w:t xml:space="preserve"> training. For quantization non-aware training, </w:t>
      </w:r>
      <w:r>
        <w:rPr>
          <w:rFonts w:hint="eastAsia"/>
          <w:lang w:val="en-US" w:eastAsia="zh-CN"/>
        </w:rPr>
        <w:t>we pass the codeword directly to the decoder</w:t>
      </w:r>
      <w:r>
        <w:rPr>
          <w:rFonts w:hint="eastAsia"/>
        </w:rPr>
        <w:t xml:space="preserve">. </w:t>
      </w:r>
      <w:r>
        <w:rPr>
          <w:rFonts w:hint="eastAsia"/>
          <w:lang w:val="en-US" w:eastAsia="zh-CN"/>
        </w:rPr>
        <w:t>And for the quantization aware training, we compare the uniform quantization and n</w:t>
      </w:r>
      <w:r>
        <w:rPr>
          <w:rFonts w:hint="eastAsia"/>
          <w:iCs/>
          <w:lang w:val="en-US" w:eastAsia="zh-CN"/>
        </w:rPr>
        <w:t xml:space="preserve">on uniform quantization. </w:t>
      </w:r>
      <w:r>
        <w:rPr>
          <w:rFonts w:hint="eastAsia"/>
        </w:rPr>
        <w:t xml:space="preserve">The parameters of </w:t>
      </w:r>
      <w:r>
        <w:rPr>
          <w:rFonts w:hint="eastAsia"/>
          <w:lang w:val="en-US" w:eastAsia="zh-CN"/>
        </w:rPr>
        <w:t>n</w:t>
      </w:r>
      <w:r>
        <w:rPr>
          <w:rFonts w:hint="eastAsia"/>
          <w:iCs/>
          <w:lang w:val="en-US" w:eastAsia="zh-CN"/>
        </w:rPr>
        <w:t>on uniform quantization</w:t>
      </w:r>
      <w:r>
        <w:rPr>
          <w:rFonts w:hint="eastAsia"/>
        </w:rPr>
        <w:t xml:space="preserve"> is updated in each training epoch. </w:t>
      </w:r>
    </w:p>
    <w:p>
      <w:pPr>
        <w:rPr>
          <w:rFonts w:hint="eastAsia"/>
        </w:rPr>
      </w:pPr>
    </w:p>
    <w:p>
      <w:pPr>
        <w:rPr>
          <w:rFonts w:hint="default"/>
          <w:iCs/>
          <w:lang w:val="en-US"/>
        </w:rPr>
      </w:pPr>
      <w:r>
        <w:t xml:space="preserve">Table </w:t>
      </w:r>
      <w:r>
        <w:rPr>
          <w:rFonts w:hint="eastAsia"/>
        </w:rPr>
        <w:t>2</w:t>
      </w:r>
      <w:r>
        <w:t xml:space="preserve"> shows the simulation results of </w:t>
      </w:r>
      <w:r>
        <w:rPr>
          <w:iCs/>
        </w:rPr>
        <w:t>quantization non-aware training</w:t>
      </w:r>
      <w:r>
        <w:rPr>
          <w:rFonts w:hint="eastAsia"/>
          <w:iCs/>
          <w:lang w:val="en-US" w:eastAsia="zh-CN"/>
        </w:rPr>
        <w:t xml:space="preserve">, </w:t>
      </w:r>
      <w:r>
        <w:rPr>
          <w:rFonts w:hint="eastAsia"/>
        </w:rPr>
        <w:t>uniform quantization</w:t>
      </w:r>
      <w:r>
        <w:t>,</w:t>
      </w:r>
      <w:r>
        <w:rPr>
          <w:rFonts w:hint="eastAsia"/>
          <w:lang w:val="en-US" w:eastAsia="zh-CN"/>
        </w:rPr>
        <w:t xml:space="preserve"> </w:t>
      </w:r>
      <w:r>
        <w:t xml:space="preserve">non </w:t>
      </w:r>
      <w:r>
        <w:rPr>
          <w:rFonts w:hint="eastAsia"/>
        </w:rPr>
        <w:t>uniform quantization</w:t>
      </w:r>
      <w:r>
        <w:rPr>
          <w:iCs/>
        </w:rPr>
        <w:t>. Obviously, q</w:t>
      </w:r>
      <w:r>
        <w:rPr>
          <w:rFonts w:hint="eastAsia"/>
          <w:iCs/>
          <w:lang w:val="en-US" w:eastAsia="zh-CN"/>
        </w:rPr>
        <w:t xml:space="preserve">uantization will change the distribution of dataset and </w:t>
      </w:r>
      <w:r>
        <w:rPr>
          <w:iCs/>
        </w:rPr>
        <w:t xml:space="preserve">introduces a lot of noise compared to </w:t>
      </w:r>
      <w:r>
        <w:rPr>
          <w:rFonts w:hint="eastAsia"/>
          <w:iCs/>
          <w:lang w:val="en-US" w:eastAsia="zh-CN"/>
        </w:rPr>
        <w:t xml:space="preserve">no </w:t>
      </w:r>
      <w:r>
        <w:rPr>
          <w:iCs/>
        </w:rPr>
        <w:t>quantization.</w:t>
      </w:r>
      <w:r>
        <w:rPr>
          <w:rFonts w:hint="eastAsia"/>
          <w:iCs/>
          <w:lang w:val="en-US" w:eastAsia="zh-CN"/>
        </w:rPr>
        <w:t xml:space="preserve"> </w:t>
      </w:r>
      <w:r>
        <w:rPr>
          <w:rFonts w:hint="eastAsia"/>
          <w:iCs/>
        </w:rPr>
        <w:t>A</w:t>
      </w:r>
      <w:r>
        <w:rPr>
          <w:iCs/>
        </w:rPr>
        <w:t xml:space="preserve"> good dequantizer needs to be developed. </w:t>
      </w:r>
      <w:r>
        <w:rPr>
          <w:rFonts w:hint="eastAsia"/>
          <w:iCs/>
          <w:lang w:val="en-US" w:eastAsia="zh-CN"/>
        </w:rPr>
        <w:t>We develop the AI dequantization to solve this problem in non uniform quantization training method.</w:t>
      </w:r>
    </w:p>
    <w:p>
      <w:pPr>
        <w:pStyle w:val="2"/>
        <w:jc w:val="center"/>
        <w:rPr>
          <w:rFonts w:hint="eastAsia"/>
        </w:rPr>
      </w:pPr>
      <w:r>
        <w:t xml:space="preserve">Table 2. Generalization performances on </w:t>
      </w:r>
      <w:r>
        <w:rPr>
          <w:rFonts w:hint="eastAsia"/>
        </w:rPr>
        <w:t>quantization aware/non-aware training</w:t>
      </w:r>
    </w:p>
    <w:tbl>
      <w:tblPr>
        <w:tblStyle w:val="4"/>
        <w:tblW w:w="37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0"/>
        <w:gridCol w:w="2122"/>
        <w:gridCol w:w="1509"/>
        <w:gridCol w:w="1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pct"/>
            <w:vAlign w:val="center"/>
          </w:tcPr>
          <w:p>
            <w:pPr>
              <w:jc w:val="center"/>
              <w:rPr>
                <w:rFonts w:hint="eastAsia"/>
              </w:rPr>
            </w:pPr>
          </w:p>
        </w:tc>
        <w:tc>
          <w:tcPr>
            <w:tcW w:w="3765" w:type="pct"/>
            <w:gridSpan w:val="3"/>
            <w:vAlign w:val="center"/>
          </w:tcPr>
          <w:p>
            <w:pPr>
              <w:tabs>
                <w:tab w:val="left" w:pos="2893"/>
              </w:tabs>
              <w:jc w:val="center"/>
              <w:rPr>
                <w:rFonts w:hint="eastAsia"/>
              </w:rPr>
            </w:pPr>
            <w:r>
              <w:t>Training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pct"/>
            <w:vMerge w:val="restart"/>
            <w:vAlign w:val="center"/>
          </w:tcPr>
          <w:p>
            <w:pPr>
              <w:jc w:val="center"/>
              <w:rPr>
                <w:rFonts w:hint="eastAsia"/>
              </w:rPr>
            </w:pPr>
            <w:r>
              <w:t>Feedback bits</w:t>
            </w:r>
          </w:p>
        </w:tc>
        <w:tc>
          <w:tcPr>
            <w:tcW w:w="1431" w:type="pct"/>
            <w:vMerge w:val="restart"/>
            <w:vAlign w:val="center"/>
          </w:tcPr>
          <w:p>
            <w:pPr>
              <w:jc w:val="center"/>
              <w:rPr>
                <w:rFonts w:hint="eastAsia"/>
              </w:rPr>
            </w:pPr>
            <w:r>
              <w:rPr>
                <w:iCs/>
              </w:rPr>
              <w:t>Quantization non-aware training</w:t>
            </w:r>
          </w:p>
        </w:tc>
        <w:tc>
          <w:tcPr>
            <w:tcW w:w="2334" w:type="pct"/>
            <w:gridSpan w:val="2"/>
          </w:tcPr>
          <w:p>
            <w:pPr>
              <w:jc w:val="center"/>
              <w:rPr>
                <w:rFonts w:hint="eastAsia"/>
              </w:rPr>
            </w:pPr>
            <w:r>
              <w:rPr>
                <w:iCs/>
              </w:rPr>
              <w:t>Quantization aware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pct"/>
            <w:vMerge w:val="continue"/>
          </w:tcPr>
          <w:p>
            <w:pPr>
              <w:jc w:val="center"/>
            </w:pPr>
          </w:p>
        </w:tc>
        <w:tc>
          <w:tcPr>
            <w:tcW w:w="1431" w:type="pct"/>
            <w:vMerge w:val="continue"/>
            <w:vAlign w:val="top"/>
          </w:tcPr>
          <w:p>
            <w:pPr>
              <w:jc w:val="center"/>
              <w:rPr>
                <w:iCs/>
              </w:rPr>
            </w:pPr>
          </w:p>
        </w:tc>
        <w:tc>
          <w:tcPr>
            <w:tcW w:w="1017" w:type="pct"/>
          </w:tcPr>
          <w:p>
            <w:pPr>
              <w:jc w:val="center"/>
              <w:rPr>
                <w:rFonts w:hint="eastAsia"/>
              </w:rPr>
            </w:pPr>
            <w:r>
              <w:rPr>
                <w:rFonts w:hint="eastAsia"/>
              </w:rPr>
              <w:t>Uniform Quantization</w:t>
            </w:r>
          </w:p>
        </w:tc>
        <w:tc>
          <w:tcPr>
            <w:tcW w:w="1316" w:type="pct"/>
          </w:tcPr>
          <w:p>
            <w:pPr>
              <w:jc w:val="center"/>
              <w:rPr>
                <w:rFonts w:hint="default" w:eastAsiaTheme="minorEastAsia"/>
                <w:iCs/>
                <w:lang w:val="en-US" w:eastAsia="zh-CN"/>
              </w:rPr>
            </w:pPr>
            <w:bookmarkStart w:id="4" w:name="OLE_LINK3"/>
            <w:r>
              <w:rPr>
                <w:rFonts w:hint="eastAsia"/>
                <w:iCs/>
                <w:lang w:val="en-US" w:eastAsia="zh-CN"/>
              </w:rPr>
              <w:t>Non uniform quantization</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pct"/>
          </w:tcPr>
          <w:p>
            <w:pPr>
              <w:jc w:val="center"/>
              <w:rPr>
                <w:rFonts w:hint="eastAsia"/>
              </w:rPr>
            </w:pPr>
            <w:r>
              <w:rPr>
                <w:rFonts w:hint="eastAsia"/>
              </w:rPr>
              <w:t>384</w:t>
            </w:r>
          </w:p>
        </w:tc>
        <w:tc>
          <w:tcPr>
            <w:tcW w:w="1431" w:type="pct"/>
            <w:vAlign w:val="top"/>
          </w:tcPr>
          <w:p>
            <w:pPr>
              <w:jc w:val="center"/>
              <w:rPr>
                <w:rFonts w:hint="eastAsia"/>
              </w:rPr>
            </w:pPr>
            <w:r>
              <w:rPr>
                <w:rFonts w:hint="eastAsia"/>
              </w:rPr>
              <w:t>0.9888</w:t>
            </w:r>
          </w:p>
        </w:tc>
        <w:tc>
          <w:tcPr>
            <w:tcW w:w="1017" w:type="pct"/>
          </w:tcPr>
          <w:p>
            <w:pPr>
              <w:jc w:val="center"/>
              <w:rPr>
                <w:rFonts w:hint="default" w:eastAsiaTheme="minorEastAsia"/>
                <w:lang w:val="en-US" w:eastAsia="zh-CN"/>
              </w:rPr>
            </w:pPr>
            <w:r>
              <w:rPr>
                <w:rFonts w:hint="eastAsia"/>
              </w:rPr>
              <w:t>0.9</w:t>
            </w:r>
            <w:r>
              <w:rPr>
                <w:rFonts w:hint="eastAsia"/>
                <w:lang w:val="en-US" w:eastAsia="zh-CN"/>
              </w:rPr>
              <w:t>398</w:t>
            </w:r>
          </w:p>
        </w:tc>
        <w:tc>
          <w:tcPr>
            <w:tcW w:w="1316" w:type="pct"/>
          </w:tcPr>
          <w:p>
            <w:pPr>
              <w:jc w:val="center"/>
              <w:rPr>
                <w:rFonts w:hint="eastAsia" w:eastAsiaTheme="minorEastAsia"/>
                <w:lang w:eastAsia="zh-CN"/>
              </w:rPr>
            </w:pPr>
            <w:r>
              <w:rPr>
                <w:rFonts w:hint="eastAsia"/>
              </w:rPr>
              <w:t>0.9</w:t>
            </w:r>
            <w:r>
              <w:rPr>
                <w:rFonts w:hint="eastAsia"/>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pct"/>
          </w:tcPr>
          <w:p>
            <w:pPr>
              <w:jc w:val="center"/>
              <w:rPr>
                <w:rFonts w:hint="eastAsia"/>
              </w:rPr>
            </w:pPr>
            <w:r>
              <w:rPr>
                <w:rFonts w:hint="eastAsia"/>
              </w:rPr>
              <w:t>192</w:t>
            </w:r>
          </w:p>
        </w:tc>
        <w:tc>
          <w:tcPr>
            <w:tcW w:w="1431" w:type="pct"/>
            <w:vAlign w:val="top"/>
          </w:tcPr>
          <w:p>
            <w:pPr>
              <w:jc w:val="center"/>
              <w:rPr>
                <w:rFonts w:hint="eastAsia"/>
              </w:rPr>
            </w:pPr>
            <w:r>
              <w:rPr>
                <w:rFonts w:hint="eastAsia"/>
              </w:rPr>
              <w:t>0.9860</w:t>
            </w:r>
          </w:p>
        </w:tc>
        <w:tc>
          <w:tcPr>
            <w:tcW w:w="1017" w:type="pct"/>
          </w:tcPr>
          <w:p>
            <w:pPr>
              <w:jc w:val="center"/>
              <w:rPr>
                <w:rFonts w:hint="default" w:eastAsiaTheme="minorEastAsia"/>
                <w:lang w:val="en-US" w:eastAsia="zh-CN"/>
              </w:rPr>
            </w:pPr>
            <w:r>
              <w:rPr>
                <w:rFonts w:hint="eastAsia"/>
              </w:rPr>
              <w:t>0.9</w:t>
            </w:r>
            <w:r>
              <w:rPr>
                <w:rFonts w:hint="eastAsia"/>
                <w:lang w:val="en-US" w:eastAsia="zh-CN"/>
              </w:rPr>
              <w:t>10</w:t>
            </w:r>
          </w:p>
        </w:tc>
        <w:tc>
          <w:tcPr>
            <w:tcW w:w="1316" w:type="pct"/>
          </w:tcPr>
          <w:p>
            <w:pPr>
              <w:jc w:val="center"/>
              <w:rPr>
                <w:rFonts w:hint="default" w:eastAsiaTheme="minorEastAsia"/>
                <w:lang w:val="en-US" w:eastAsia="zh-CN"/>
              </w:rPr>
            </w:pPr>
            <w:r>
              <w:rPr>
                <w:rFonts w:hint="eastAsia"/>
              </w:rPr>
              <w:t>0.9</w:t>
            </w:r>
            <w:r>
              <w:rPr>
                <w:rFonts w:hint="eastAsia"/>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pct"/>
          </w:tcPr>
          <w:p>
            <w:pPr>
              <w:jc w:val="center"/>
              <w:rPr>
                <w:rFonts w:hint="eastAsia"/>
              </w:rPr>
            </w:pPr>
            <w:r>
              <w:rPr>
                <w:rFonts w:hint="eastAsia"/>
              </w:rPr>
              <w:t>96</w:t>
            </w:r>
          </w:p>
        </w:tc>
        <w:tc>
          <w:tcPr>
            <w:tcW w:w="1431" w:type="pct"/>
            <w:vAlign w:val="top"/>
          </w:tcPr>
          <w:p>
            <w:pPr>
              <w:jc w:val="center"/>
              <w:rPr>
                <w:rFonts w:hint="eastAsia"/>
              </w:rPr>
            </w:pPr>
            <w:r>
              <w:rPr>
                <w:rFonts w:hint="eastAsia"/>
              </w:rPr>
              <w:t>0.9844</w:t>
            </w:r>
          </w:p>
        </w:tc>
        <w:tc>
          <w:tcPr>
            <w:tcW w:w="1017" w:type="pct"/>
          </w:tcPr>
          <w:p>
            <w:pPr>
              <w:jc w:val="center"/>
              <w:rPr>
                <w:rFonts w:hint="eastAsia" w:eastAsiaTheme="minorEastAsia"/>
                <w:lang w:eastAsia="zh-CN"/>
              </w:rPr>
            </w:pPr>
            <w:r>
              <w:rPr>
                <w:rFonts w:hint="eastAsia"/>
              </w:rPr>
              <w:t>0.8</w:t>
            </w:r>
            <w:r>
              <w:rPr>
                <w:rFonts w:hint="eastAsia"/>
                <w:lang w:val="en-US" w:eastAsia="zh-CN"/>
              </w:rPr>
              <w:t>7</w:t>
            </w:r>
          </w:p>
        </w:tc>
        <w:tc>
          <w:tcPr>
            <w:tcW w:w="1316" w:type="pct"/>
          </w:tcPr>
          <w:p>
            <w:pPr>
              <w:jc w:val="center"/>
              <w:rPr>
                <w:rFonts w:hint="default" w:eastAsiaTheme="minorEastAsia"/>
                <w:lang w:val="en-US" w:eastAsia="zh-CN"/>
              </w:rPr>
            </w:pPr>
            <w:r>
              <w:rPr>
                <w:rFonts w:hint="eastAsia"/>
              </w:rPr>
              <w:t>0.8</w:t>
            </w:r>
            <w:r>
              <w:rPr>
                <w:rFonts w:hint="eastAsia"/>
                <w:lang w:val="en-US" w:eastAsia="zh-CN"/>
              </w:rPr>
              <w:t>295</w:t>
            </w:r>
          </w:p>
        </w:tc>
      </w:tr>
    </w:tbl>
    <w:p>
      <w:pPr>
        <w:widowControl w:val="0"/>
        <w:snapToGrid w:val="0"/>
        <w:spacing w:before="120" w:line="288" w:lineRule="auto"/>
        <w:jc w:val="both"/>
        <w:rPr>
          <w:rFonts w:hint="default" w:ascii="Times New Roman" w:hAnsi="Times New Roman" w:eastAsia="等线"/>
          <w:b/>
          <w:bCs/>
          <w:i/>
          <w:lang w:val="en-US" w:eastAsia="zh-CN"/>
        </w:rPr>
      </w:pPr>
      <w:r>
        <w:rPr>
          <w:rFonts w:hint="eastAsia" w:ascii="Times New Roman" w:hAnsi="Times New Roman" w:eastAsia="等线"/>
          <w:b/>
          <w:bCs/>
          <w:i/>
          <w:lang w:val="en-US" w:eastAsia="zh-CN"/>
        </w:rPr>
        <w:t xml:space="preserve">Observation 2: </w:t>
      </w:r>
      <w:bookmarkStart w:id="5" w:name="OLE_LINK4"/>
      <w:r>
        <w:rPr>
          <w:rFonts w:hint="eastAsia" w:ascii="Times New Roman" w:hAnsi="Times New Roman" w:eastAsia="等线"/>
          <w:b/>
          <w:bCs/>
          <w:i/>
          <w:lang w:val="en-US" w:eastAsia="zh-CN"/>
        </w:rPr>
        <w:t>AI dequantization</w:t>
      </w:r>
      <w:bookmarkEnd w:id="5"/>
      <w:r>
        <w:rPr>
          <w:rFonts w:hint="eastAsia" w:ascii="Times New Roman" w:hAnsi="Times New Roman" w:eastAsia="等线"/>
          <w:b/>
          <w:bCs/>
          <w:i/>
          <w:lang w:val="en-US" w:eastAsia="zh-CN"/>
        </w:rPr>
        <w:t xml:space="preserve"> can reduce quantization noise effectively.</w:t>
      </w:r>
    </w:p>
    <w:p>
      <w:pPr>
        <w:widowControl w:val="0"/>
        <w:snapToGrid w:val="0"/>
        <w:spacing w:before="120" w:line="288" w:lineRule="auto"/>
        <w:jc w:val="both"/>
        <w:rPr>
          <w:rFonts w:hint="eastAsia" w:ascii="Times New Roman" w:hAnsi="Times New Roman" w:eastAsia="等线"/>
          <w:b/>
          <w:bCs/>
          <w:i/>
          <w:lang w:val="en-US" w:eastAsia="zh-CN"/>
        </w:rPr>
      </w:pPr>
      <w:r>
        <w:rPr>
          <w:rFonts w:hint="eastAsia" w:ascii="Times New Roman" w:hAnsi="Times New Roman" w:eastAsia="等线"/>
          <w:b/>
          <w:bCs/>
          <w:i/>
          <w:lang w:val="en-US" w:eastAsia="zh-CN"/>
        </w:rPr>
        <w:t>Observation 3: Quantization aware training can perform better than Quantization non-aware training.</w:t>
      </w:r>
    </w:p>
    <w:p>
      <w:pPr>
        <w:widowControl w:val="0"/>
        <w:snapToGrid w:val="0"/>
        <w:spacing w:before="120" w:line="288" w:lineRule="auto"/>
        <w:jc w:val="both"/>
        <w:rPr>
          <w:rFonts w:hint="eastAsia" w:ascii="Times New Roman" w:hAnsi="Times New Roman" w:eastAsia="等线"/>
          <w:b/>
          <w:bCs/>
          <w:i/>
          <w:lang w:val="en-US" w:eastAsia="ja-JP"/>
        </w:rPr>
      </w:pPr>
      <w:r>
        <w:rPr>
          <w:rFonts w:hint="eastAsia" w:ascii="Times New Roman" w:hAnsi="Times New Roman" w:eastAsia="等线"/>
          <w:b/>
          <w:bCs/>
          <w:i/>
          <w:lang w:val="en-US" w:eastAsia="zh-CN"/>
        </w:rPr>
        <w:t>Proposal 3: Study the AI dequantization in traditional vector quantization or codebook quantization.</w:t>
      </w:r>
    </w:p>
    <w:p>
      <w:pPr>
        <w:outlineLvl w:val="0"/>
        <w:rPr>
          <w:rFonts w:ascii="Arial" w:hAnsi="Arial" w:eastAsia="等线"/>
          <w:b/>
          <w:bCs/>
          <w:sz w:val="36"/>
          <w:szCs w:val="36"/>
          <w:lang w:val="en-US"/>
        </w:rPr>
      </w:pPr>
      <w:r>
        <w:rPr>
          <w:rFonts w:ascii="Arial" w:hAnsi="Arial" w:eastAsia="等线"/>
          <w:b/>
          <w:bCs/>
          <w:sz w:val="36"/>
          <w:szCs w:val="36"/>
          <w:lang w:val="en-US"/>
        </w:rPr>
        <w:t>3. Conclusion:</w:t>
      </w:r>
    </w:p>
    <w:p>
      <w:pPr>
        <w:widowControl w:val="0"/>
        <w:snapToGrid w:val="0"/>
        <w:spacing w:before="120" w:line="288" w:lineRule="auto"/>
        <w:jc w:val="both"/>
        <w:rPr>
          <w:rFonts w:hint="eastAsia" w:ascii="Times New Roman" w:hAnsi="Times New Roman" w:eastAsia="等线"/>
          <w:b/>
          <w:bCs/>
          <w:i/>
          <w:lang w:val="en-US" w:eastAsia="zh-CN"/>
        </w:rPr>
      </w:pPr>
      <w:r>
        <w:rPr>
          <w:rFonts w:hint="eastAsia" w:ascii="Times New Roman" w:hAnsi="Times New Roman" w:eastAsia="等线"/>
          <w:b/>
          <w:bCs/>
          <w:i/>
          <w:lang w:val="en-US" w:eastAsia="zh-CN"/>
        </w:rPr>
        <w:t>Observation 1: The performance of joint training does not differ significantly from end-to-end training, but the performance variation differs among different models.</w:t>
      </w:r>
    </w:p>
    <w:p>
      <w:pPr>
        <w:widowControl w:val="0"/>
        <w:snapToGrid w:val="0"/>
        <w:spacing w:before="120" w:line="288" w:lineRule="auto"/>
        <w:jc w:val="both"/>
        <w:rPr>
          <w:rFonts w:hint="default" w:ascii="Times New Roman" w:hAnsi="Times New Roman" w:eastAsia="等线"/>
          <w:b/>
          <w:bCs/>
          <w:i/>
          <w:lang w:val="en-US" w:eastAsia="zh-CN"/>
        </w:rPr>
      </w:pPr>
      <w:r>
        <w:rPr>
          <w:rFonts w:hint="eastAsia" w:ascii="Times New Roman" w:hAnsi="Times New Roman" w:eastAsia="等线"/>
          <w:b/>
          <w:bCs/>
          <w:i/>
          <w:lang w:val="en-US" w:eastAsia="zh-CN"/>
        </w:rPr>
        <w:t>Observation 2: AI dequantization can reduce quantization noise effectively.</w:t>
      </w:r>
    </w:p>
    <w:p>
      <w:pPr>
        <w:widowControl w:val="0"/>
        <w:snapToGrid w:val="0"/>
        <w:spacing w:before="120" w:line="288" w:lineRule="auto"/>
        <w:jc w:val="both"/>
        <w:rPr>
          <w:rFonts w:hint="eastAsia" w:ascii="Times New Roman" w:hAnsi="Times New Roman" w:eastAsia="等线"/>
          <w:b/>
          <w:bCs/>
          <w:i/>
          <w:lang w:val="en-US" w:eastAsia="zh-CN"/>
        </w:rPr>
      </w:pPr>
      <w:r>
        <w:rPr>
          <w:rFonts w:hint="eastAsia" w:ascii="Times New Roman" w:hAnsi="Times New Roman" w:eastAsia="等线"/>
          <w:b/>
          <w:bCs/>
          <w:i/>
          <w:lang w:val="en-US" w:eastAsia="zh-CN"/>
        </w:rPr>
        <w:t>Observation 3: Quantization aware training can perform better than Quantization non-aware training.</w:t>
      </w:r>
    </w:p>
    <w:p>
      <w:pPr>
        <w:widowControl w:val="0"/>
        <w:snapToGrid w:val="0"/>
        <w:spacing w:before="120" w:line="288" w:lineRule="auto"/>
        <w:jc w:val="both"/>
        <w:rPr>
          <w:rFonts w:hint="eastAsia" w:ascii="Times New Roman" w:hAnsi="Times New Roman" w:eastAsia="等线"/>
          <w:b/>
          <w:bCs/>
          <w:i/>
          <w:lang w:val="en-US"/>
        </w:rPr>
      </w:pPr>
      <w:r>
        <w:rPr>
          <w:rFonts w:hint="eastAsia" w:ascii="Times New Roman" w:hAnsi="Times New Roman" w:eastAsia="等线"/>
          <w:b/>
          <w:bCs/>
          <w:i/>
          <w:lang w:val="en-US" w:eastAsia="zh-CN"/>
        </w:rPr>
        <w:t>Proposal 1:</w:t>
      </w:r>
      <w:r>
        <w:rPr>
          <w:rFonts w:ascii="Times New Roman" w:hAnsi="Times New Roman" w:eastAsia="等线"/>
          <w:b/>
          <w:bCs/>
          <w:i/>
          <w:lang w:val="en-US"/>
        </w:rPr>
        <w:t xml:space="preserve"> </w:t>
      </w:r>
      <w:r>
        <w:rPr>
          <w:rFonts w:hint="eastAsia" w:ascii="Times New Roman" w:hAnsi="Times New Roman" w:eastAsia="等线"/>
          <w:b/>
          <w:bCs/>
          <w:i/>
          <w:lang w:val="en-US" w:eastAsia="zh-CN"/>
        </w:rPr>
        <w:t>I</w:t>
      </w:r>
      <w:r>
        <w:rPr>
          <w:rFonts w:hint="eastAsia" w:ascii="Times New Roman" w:hAnsi="Times New Roman" w:eastAsia="等线"/>
          <w:b/>
          <w:bCs/>
          <w:i/>
          <w:lang w:val="en-US"/>
        </w:rPr>
        <w:t>nvestigate the performance differences of Feedback enhancement under different encoders and decoders.</w:t>
      </w:r>
    </w:p>
    <w:p>
      <w:pPr>
        <w:widowControl w:val="0"/>
        <w:snapToGrid w:val="0"/>
        <w:spacing w:before="120" w:line="288" w:lineRule="auto"/>
        <w:jc w:val="both"/>
        <w:rPr>
          <w:rFonts w:hint="eastAsia" w:ascii="Times New Roman" w:hAnsi="Times New Roman" w:eastAsia="等线"/>
          <w:b/>
          <w:bCs/>
          <w:i/>
          <w:lang w:val="en-US"/>
        </w:rPr>
      </w:pPr>
      <w:r>
        <w:rPr>
          <w:rFonts w:ascii="Times New Roman" w:hAnsi="Times New Roman" w:eastAsia="等线"/>
          <w:b/>
          <w:bCs/>
          <w:i/>
          <w:lang w:val="en-US"/>
        </w:rPr>
        <w:t>Proposal 2: Disclose the quantization method and the dequantization method details.</w:t>
      </w:r>
    </w:p>
    <w:p>
      <w:pPr>
        <w:widowControl w:val="0"/>
        <w:snapToGrid w:val="0"/>
        <w:spacing w:before="120" w:line="288" w:lineRule="auto"/>
        <w:jc w:val="both"/>
        <w:rPr>
          <w:rFonts w:hint="default" w:ascii="Times New Roman" w:hAnsi="Times New Roman" w:eastAsia="等线"/>
          <w:b/>
          <w:bCs/>
          <w:i/>
          <w:lang w:val="en-US" w:eastAsia="zh-CN"/>
        </w:rPr>
      </w:pPr>
      <w:r>
        <w:rPr>
          <w:rFonts w:ascii="Times New Roman" w:hAnsi="Times New Roman" w:eastAsia="等线"/>
          <w:b/>
          <w:bCs/>
          <w:i/>
          <w:lang w:val="en-US"/>
        </w:rPr>
        <w:t xml:space="preserve">Proposal 3:Study the </w:t>
      </w:r>
      <w:r>
        <w:rPr>
          <w:rFonts w:hint="eastAsia" w:ascii="Times New Roman" w:hAnsi="Times New Roman" w:eastAsia="等线"/>
          <w:b/>
          <w:bCs/>
          <w:i/>
          <w:iCs/>
          <w:lang w:val="en-US" w:eastAsia="zh-CN"/>
        </w:rPr>
        <w:t>AI dequantization</w:t>
      </w:r>
      <w:r>
        <w:rPr>
          <w:rFonts w:ascii="Times New Roman" w:hAnsi="Times New Roman" w:eastAsia="等线"/>
          <w:b/>
          <w:bCs/>
          <w:i/>
          <w:lang w:val="en-US"/>
        </w:rPr>
        <w:t xml:space="preserve"> </w:t>
      </w:r>
      <w:r>
        <w:rPr>
          <w:rFonts w:hint="eastAsia" w:ascii="Times New Roman" w:hAnsi="Times New Roman" w:eastAsia="等线"/>
          <w:b/>
          <w:bCs/>
          <w:i/>
          <w:lang w:val="en-US" w:eastAsia="zh-CN"/>
        </w:rPr>
        <w:t>in traditional vector quantization or codebook quantization.</w:t>
      </w:r>
    </w:p>
    <w:p>
      <w:pPr>
        <w:widowControl w:val="0"/>
        <w:snapToGrid w:val="0"/>
        <w:spacing w:before="120" w:line="288" w:lineRule="auto"/>
        <w:jc w:val="both"/>
        <w:outlineLvl w:val="0"/>
        <w:rPr>
          <w:rFonts w:ascii="Arial" w:hAnsi="Arial" w:eastAsia="等线"/>
          <w:b/>
          <w:bCs/>
          <w:sz w:val="36"/>
          <w:szCs w:val="36"/>
          <w:lang w:val="en-US"/>
        </w:rPr>
      </w:pPr>
      <w:r>
        <w:rPr>
          <w:rFonts w:ascii="Arial" w:hAnsi="Arial" w:eastAsia="等线"/>
          <w:b/>
          <w:bCs/>
          <w:sz w:val="36"/>
          <w:szCs w:val="36"/>
          <w:lang w:val="en-US"/>
        </w:rPr>
        <w:t>4. Reference</w:t>
      </w:r>
    </w:p>
    <w:p>
      <w:pPr>
        <w:widowControl w:val="0"/>
        <w:numPr>
          <w:ilvl w:val="0"/>
          <w:numId w:val="6"/>
        </w:numPr>
        <w:snapToGrid w:val="0"/>
        <w:spacing w:before="120" w:after="120" w:line="300" w:lineRule="auto"/>
        <w:jc w:val="both"/>
        <w:rPr>
          <w:rFonts w:hint="eastAsia" w:eastAsia="宋体"/>
          <w:lang w:val="en-US"/>
        </w:rPr>
      </w:pPr>
      <w:r>
        <w:rPr>
          <w:rFonts w:hint="eastAsia" w:ascii="Times New Roman" w:hAnsi="Times New Roman" w:eastAsia="宋体"/>
          <w:i/>
          <w:lang w:val="en-US"/>
        </w:rPr>
        <w:t>Draft Report of 3GPP TSG RAN WG1 #113 v0.2.0,</w:t>
      </w:r>
      <w:r>
        <w:rPr>
          <w:rFonts w:hint="eastAsia" w:ascii="Times New Roman" w:hAnsi="Times New Roman" w:eastAsia="宋体"/>
          <w:i/>
          <w:lang w:val="en-US" w:eastAsia="zh-CN"/>
        </w:rPr>
        <w:t xml:space="preserve"> </w:t>
      </w:r>
      <w:r>
        <w:rPr>
          <w:rFonts w:hint="eastAsia" w:ascii="Times New Roman" w:hAnsi="Times New Roman" w:eastAsia="宋体"/>
          <w:i/>
          <w:lang w:val="en-US"/>
        </w:rPr>
        <w:t>RAN1#113, Incheon, South Korea, 22-26 May 2023.</w:t>
      </w:r>
    </w:p>
    <w:p>
      <w:pPr>
        <w:widowControl w:val="0"/>
        <w:numPr>
          <w:ilvl w:val="0"/>
          <w:numId w:val="6"/>
        </w:numPr>
        <w:snapToGrid w:val="0"/>
        <w:spacing w:before="120" w:after="120" w:line="300" w:lineRule="auto"/>
        <w:jc w:val="both"/>
        <w:rPr>
          <w:rFonts w:hint="eastAsia" w:eastAsia="宋体"/>
          <w:lang w:val="en-US"/>
        </w:rPr>
      </w:pPr>
      <w:r>
        <w:rPr>
          <w:rFonts w:hint="eastAsia" w:ascii="Times New Roman" w:hAnsi="Times New Roman" w:eastAsia="宋体"/>
          <w:i/>
          <w:lang w:val="en-US"/>
        </w:rPr>
        <w:t>R1-2305329, Other aspects on AI/ML for CSI feedback enhancement, Qualcomm Incorporated, 3GPP TSG RAN WG1 #113, May 2023.</w:t>
      </w:r>
    </w:p>
    <w:p>
      <w:pPr>
        <w:widowControl w:val="0"/>
        <w:numPr>
          <w:ilvl w:val="0"/>
          <w:numId w:val="6"/>
        </w:numPr>
        <w:snapToGrid w:val="0"/>
        <w:spacing w:before="120" w:after="120" w:line="300" w:lineRule="auto"/>
        <w:jc w:val="both"/>
      </w:pPr>
      <w:r>
        <w:rPr>
          <w:rFonts w:hint="eastAsia" w:ascii="Times New Roman" w:hAnsi="Times New Roman"/>
          <w:i/>
        </w:rPr>
        <w:t>Final Report of 3GPP TSG RAN WG1 #111 v1.0.0, RAN1#111, Toulouse, France, 14-18 November 2022.</w:t>
      </w:r>
    </w:p>
    <w:p>
      <w:pPr>
        <w:widowControl w:val="0"/>
        <w:numPr>
          <w:ilvl w:val="0"/>
          <w:numId w:val="0"/>
        </w:numPr>
        <w:snapToGrid w:val="0"/>
        <w:spacing w:before="120" w:after="120" w:line="300" w:lineRule="auto"/>
        <w:jc w:val="both"/>
      </w:pPr>
      <w:r>
        <w:rPr>
          <w:sz w:val="24"/>
        </w:rPr>
        <mc:AlternateContent>
          <mc:Choice Requires="wps">
            <w:drawing>
              <wp:anchor distT="0" distB="0" distL="114300" distR="114300" simplePos="0" relativeHeight="251659264" behindDoc="0" locked="0" layoutInCell="1" allowOverlap="1">
                <wp:simplePos x="0" y="0"/>
                <wp:positionH relativeFrom="column">
                  <wp:posOffset>3175</wp:posOffset>
                </wp:positionH>
                <wp:positionV relativeFrom="paragraph">
                  <wp:posOffset>94615</wp:posOffset>
                </wp:positionV>
                <wp:extent cx="6084570" cy="0"/>
                <wp:effectExtent l="0" t="6350" r="0" b="6350"/>
                <wp:wrapNone/>
                <wp:docPr id="2" name="直接连接符 2"/>
                <wp:cNvGraphicFramePr/>
                <a:graphic xmlns:a="http://schemas.openxmlformats.org/drawingml/2006/main">
                  <a:graphicData uri="http://schemas.microsoft.com/office/word/2010/wordprocessingShape">
                    <wps:wsp>
                      <wps:cNvCnPr/>
                      <wps:spPr>
                        <a:xfrm>
                          <a:off x="723265" y="8571230"/>
                          <a:ext cx="6084570"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0.25pt;margin-top:7.45pt;height:0pt;width:479.1pt;z-index:251659264;mso-width-relative:page;mso-height-relative:page;" filled="f" stroked="t" coordsize="21600,21600" o:gfxdata="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9j3R+NUAAAAGAQAADwAAAAAAAAABACAAAAAiAAAAZHJzL2Rvd25yZXYueG1sUEsBAhQAFAAAAAgA&#10;h07iQCxSp2TvAQAAvQMAAA4AAAAAAAAAAQAgAAAAJAEAAGRycy9lMm9Eb2MueG1sUEsFBgAAAAAG&#10;AAYAWQEAAIUFAAAAAA==&#10;">
                <v:fill on="f" focussize="0,0"/>
                <v:stroke weight="1pt" color="#000000 [3213]" miterlimit="8" joinstyle="miter"/>
                <v:imagedata o:title=""/>
                <o:lock v:ext="edit" aspectratio="f"/>
              </v:line>
            </w:pict>
          </mc:Fallback>
        </mc:AlternateContent>
      </w:r>
    </w:p>
    <w:p>
      <w:pPr>
        <w:pStyle w:val="2"/>
        <w:keepNext/>
        <w:jc w:val="center"/>
        <w:rPr>
          <w:lang w:val="en-US"/>
        </w:rPr>
      </w:pPr>
      <w:bookmarkStart w:id="6" w:name="_Ref131537366"/>
      <w:r>
        <w:rPr>
          <w:lang w:val="en-US"/>
        </w:rPr>
        <w:t xml:space="preserve">Table </w:t>
      </w:r>
      <w:bookmarkEnd w:id="6"/>
      <w:r>
        <w:rPr>
          <w:rFonts w:hint="eastAsia"/>
          <w:lang w:val="en-US" w:eastAsia="zh-CN"/>
        </w:rPr>
        <w:t>1</w:t>
      </w:r>
      <w:r>
        <w:rPr>
          <w:lang w:val="en-US"/>
        </w:rPr>
        <w:t xml:space="preserve">:  </w:t>
      </w:r>
      <w:r>
        <w:rPr>
          <w:rFonts w:hint="eastAsia"/>
          <w:lang w:val="en-US" w:eastAsia="zh-CN"/>
        </w:rPr>
        <w:t>Link</w:t>
      </w:r>
      <w:r>
        <w:rPr>
          <w:lang w:val="en-US"/>
        </w:rPr>
        <w:t xml:space="preserve"> Level Simulation Assumptions for CSI Compression</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05"/>
        <w:gridCol w:w="5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05" w:type="dxa"/>
            <w:shd w:val="clear" w:color="auto" w:fill="E7E6E6" w:themeFill="background2"/>
            <w:vAlign w:val="center"/>
          </w:tcPr>
          <w:p>
            <w:pPr>
              <w:spacing w:after="0"/>
              <w:jc w:val="center"/>
              <w:rPr>
                <w:lang w:val="en-US"/>
              </w:rPr>
            </w:pPr>
            <w:r>
              <w:rPr>
                <w:b/>
                <w:lang w:val="en-US"/>
              </w:rPr>
              <w:t>Parameter</w:t>
            </w:r>
          </w:p>
        </w:tc>
        <w:tc>
          <w:tcPr>
            <w:tcW w:w="5224" w:type="dxa"/>
            <w:shd w:val="clear" w:color="auto" w:fill="E7E6E6" w:themeFill="background2"/>
            <w:vAlign w:val="center"/>
          </w:tcPr>
          <w:p>
            <w:pPr>
              <w:spacing w:after="0"/>
              <w:jc w:val="center"/>
              <w:rPr>
                <w:lang w:val="en-US"/>
              </w:rPr>
            </w:pPr>
            <w:r>
              <w:rPr>
                <w:b/>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5" w:type="dxa"/>
            <w:vAlign w:val="center"/>
          </w:tcPr>
          <w:p>
            <w:pPr>
              <w:spacing w:after="0"/>
              <w:rPr>
                <w:lang w:val="en-US"/>
              </w:rPr>
            </w:pPr>
            <w:r>
              <w:rPr>
                <w:lang w:val="en-US"/>
              </w:rPr>
              <w:t>Duplex, Waveform</w:t>
            </w:r>
          </w:p>
        </w:tc>
        <w:tc>
          <w:tcPr>
            <w:tcW w:w="5224" w:type="dxa"/>
            <w:vAlign w:val="center"/>
          </w:tcPr>
          <w:p>
            <w:pPr>
              <w:spacing w:after="0"/>
              <w:rPr>
                <w:lang w:val="en-US"/>
              </w:rPr>
            </w:pPr>
            <w:r>
              <w:rPr>
                <w:lang w:val="en-US"/>
              </w:rPr>
              <w:t>FDD, 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5" w:type="dxa"/>
            <w:vAlign w:val="center"/>
          </w:tcPr>
          <w:p>
            <w:pPr>
              <w:spacing w:after="0"/>
              <w:rPr>
                <w:lang w:val="en-US"/>
              </w:rPr>
            </w:pPr>
            <w:r>
              <w:rPr>
                <w:lang w:val="en-US"/>
              </w:rPr>
              <w:t>Multiple access</w:t>
            </w:r>
          </w:p>
        </w:tc>
        <w:tc>
          <w:tcPr>
            <w:tcW w:w="5224" w:type="dxa"/>
            <w:vAlign w:val="center"/>
          </w:tcPr>
          <w:p>
            <w:pPr>
              <w:spacing w:after="0"/>
              <w:rPr>
                <w:lang w:val="en-US"/>
              </w:rPr>
            </w:pPr>
            <w:r>
              <w:rPr>
                <w:lang w:val="en-US"/>
              </w:rPr>
              <w:t>OFDMA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5" w:type="dxa"/>
            <w:vAlign w:val="center"/>
          </w:tcPr>
          <w:p>
            <w:pPr>
              <w:spacing w:after="0"/>
              <w:rPr>
                <w:rFonts w:hint="default" w:eastAsiaTheme="minorEastAsia"/>
                <w:lang w:val="en-US" w:eastAsia="zh-CN"/>
              </w:rPr>
            </w:pPr>
            <w:r>
              <w:rPr>
                <w:rFonts w:hint="eastAsia"/>
                <w:lang w:val="en-US" w:eastAsia="zh-CN"/>
              </w:rPr>
              <w:t>Channel model</w:t>
            </w:r>
          </w:p>
        </w:tc>
        <w:tc>
          <w:tcPr>
            <w:tcW w:w="5224" w:type="dxa"/>
            <w:vAlign w:val="center"/>
          </w:tcPr>
          <w:p>
            <w:pPr>
              <w:spacing w:after="0"/>
              <w:rPr>
                <w:rFonts w:hint="default" w:eastAsiaTheme="minorEastAsia"/>
                <w:lang w:val="en-US" w:eastAsia="zh-CN"/>
              </w:rPr>
            </w:pPr>
            <w:r>
              <w:rPr>
                <w:lang w:val="en-US"/>
              </w:rPr>
              <w:t>According to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5" w:type="dxa"/>
            <w:vAlign w:val="center"/>
          </w:tcPr>
          <w:p>
            <w:pPr>
              <w:spacing w:after="0"/>
              <w:rPr>
                <w:lang w:val="en-US"/>
              </w:rPr>
            </w:pPr>
            <w:r>
              <w:rPr>
                <w:lang w:val="en-US"/>
              </w:rPr>
              <w:t>Carrier Frequency</w:t>
            </w:r>
          </w:p>
        </w:tc>
        <w:tc>
          <w:tcPr>
            <w:tcW w:w="5224" w:type="dxa"/>
            <w:vAlign w:val="center"/>
          </w:tcPr>
          <w:p>
            <w:pPr>
              <w:spacing w:after="0"/>
              <w:rPr>
                <w:lang w:val="en-US"/>
              </w:rPr>
            </w:pPr>
            <w:r>
              <w:rPr>
                <w:rFonts w:hint="eastAsia"/>
                <w:lang w:val="en-US" w:eastAsia="zh-CN"/>
              </w:rPr>
              <w:t>3.5</w:t>
            </w:r>
            <w:r>
              <w:rPr>
                <w:lang w:val="en-US"/>
              </w:rPr>
              <w:t xml:space="preserve">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5" w:type="dxa"/>
            <w:vAlign w:val="center"/>
          </w:tcPr>
          <w:p>
            <w:pPr>
              <w:spacing w:after="0"/>
              <w:rPr>
                <w:lang w:val="en-US"/>
              </w:rPr>
            </w:pPr>
            <w:r>
              <w:rPr>
                <w:lang w:val="en-US"/>
              </w:rPr>
              <w:t>Antenna setup and port layouts at gNB</w:t>
            </w:r>
          </w:p>
        </w:tc>
        <w:tc>
          <w:tcPr>
            <w:tcW w:w="5224" w:type="dxa"/>
            <w:vAlign w:val="center"/>
          </w:tcPr>
          <w:p>
            <w:pPr>
              <w:spacing w:after="0"/>
              <w:rPr>
                <w:lang w:val="en-US"/>
              </w:rPr>
            </w:pPr>
            <w:r>
              <w:rPr>
                <w:lang w:val="en-US"/>
              </w:rPr>
              <w:t>32 ports: (</w:t>
            </w:r>
            <w:r>
              <w:rPr>
                <w:rFonts w:hint="eastAsia"/>
                <w:lang w:val="en-US" w:eastAsia="zh-CN"/>
              </w:rPr>
              <w:t>4,4</w:t>
            </w:r>
            <w:r>
              <w:rPr>
                <w:lang w:val="en-US"/>
              </w:rPr>
              <w:t>,2,1,1,</w:t>
            </w:r>
            <w:r>
              <w:rPr>
                <w:rFonts w:hint="eastAsia"/>
                <w:lang w:val="en-US" w:eastAsia="zh-CN"/>
              </w:rPr>
              <w:t>1</w:t>
            </w:r>
            <w:r>
              <w:rPr>
                <w:lang w:val="en-US"/>
              </w:rPr>
              <w:t>,</w:t>
            </w:r>
            <w:r>
              <w:rPr>
                <w:rFonts w:hint="eastAsia"/>
                <w:lang w:val="en-US" w:eastAsia="zh-CN"/>
              </w:rPr>
              <w:t>1</w:t>
            </w:r>
            <w:r>
              <w:rPr>
                <w:lang w:val="en-US"/>
              </w:rPr>
              <w:t>), (dH,dV) = (0.5, 0.8)λ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5" w:type="dxa"/>
            <w:vAlign w:val="center"/>
          </w:tcPr>
          <w:p>
            <w:pPr>
              <w:spacing w:after="0"/>
              <w:rPr>
                <w:lang w:val="en-US"/>
              </w:rPr>
            </w:pPr>
            <w:r>
              <w:rPr>
                <w:lang w:val="en-US"/>
              </w:rPr>
              <w:t>Antenna setup and port layouts at UE</w:t>
            </w:r>
          </w:p>
        </w:tc>
        <w:tc>
          <w:tcPr>
            <w:tcW w:w="5224" w:type="dxa"/>
            <w:vAlign w:val="center"/>
          </w:tcPr>
          <w:p>
            <w:pPr>
              <w:spacing w:after="0"/>
              <w:rPr>
                <w:lang w:val="en-US"/>
              </w:rPr>
            </w:pPr>
            <w:r>
              <w:rPr>
                <w:lang w:val="en-US"/>
              </w:rPr>
              <w:t>4 Rx: (1,2,2,1,1,1,</w:t>
            </w:r>
            <w:r>
              <w:rPr>
                <w:rFonts w:hint="eastAsia"/>
                <w:lang w:val="en-US" w:eastAsia="zh-CN"/>
              </w:rPr>
              <w:t>1</w:t>
            </w:r>
            <w:r>
              <w:rPr>
                <w:lang w:val="en-US"/>
              </w:rPr>
              <w:t>), (dH,dV) = (0.5,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5" w:type="dxa"/>
            <w:vAlign w:val="center"/>
          </w:tcPr>
          <w:p>
            <w:pPr>
              <w:keepNext w:val="0"/>
              <w:keepLines w:val="0"/>
              <w:widowControl/>
              <w:suppressLineNumbers w:val="0"/>
              <w:spacing w:after="0"/>
              <w:jc w:val="left"/>
              <w:rPr>
                <w:lang w:val="en-US"/>
              </w:rPr>
            </w:pPr>
            <w:r>
              <w:rPr>
                <w:rFonts w:hint="default" w:ascii="Times New Roman" w:hAnsi="Times New Roman" w:eastAsia="宋体" w:cs="Times New Roman"/>
                <w:color w:val="000000"/>
                <w:kern w:val="0"/>
                <w:sz w:val="22"/>
                <w:szCs w:val="22"/>
                <w:lang w:val="en-US" w:eastAsia="zh-CN" w:bidi="ar"/>
              </w:rPr>
              <w:t xml:space="preserve">Delay Spread </w:t>
            </w:r>
          </w:p>
        </w:tc>
        <w:tc>
          <w:tcPr>
            <w:tcW w:w="5224" w:type="dxa"/>
            <w:vAlign w:val="center"/>
          </w:tcPr>
          <w:p>
            <w:pPr>
              <w:keepNext w:val="0"/>
              <w:keepLines w:val="0"/>
              <w:widowControl/>
              <w:suppressLineNumbers w:val="0"/>
              <w:spacing w:after="0"/>
              <w:jc w:val="left"/>
              <w:rPr>
                <w:lang w:val="en-US"/>
              </w:rPr>
            </w:pPr>
            <w:r>
              <w:rPr>
                <w:rFonts w:hint="eastAsia" w:ascii="Times New Roman" w:hAnsi="Times New Roman" w:eastAsia="宋体" w:cs="Times New Roman"/>
                <w:color w:val="000000"/>
                <w:kern w:val="0"/>
                <w:sz w:val="22"/>
                <w:szCs w:val="22"/>
                <w:lang w:val="en-US" w:eastAsia="zh-CN" w:bidi="ar"/>
              </w:rPr>
              <w:t>30ns</w:t>
            </w:r>
            <w:r>
              <w:rPr>
                <w:rFonts w:hint="default" w:ascii="Times New Roman" w:hAnsi="Times New Roman" w:eastAsia="宋体" w:cs="Times New Roman"/>
                <w:color w:val="000000"/>
                <w:kern w:val="0"/>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5" w:type="dxa"/>
            <w:vAlign w:val="center"/>
          </w:tcPr>
          <w:p>
            <w:pPr>
              <w:keepNext w:val="0"/>
              <w:keepLines w:val="0"/>
              <w:widowControl/>
              <w:suppressLineNumbers w:val="0"/>
              <w:spacing w:after="0"/>
              <w:jc w:val="left"/>
              <w:rPr>
                <w:lang w:val="en-US"/>
              </w:rPr>
            </w:pPr>
            <w:r>
              <w:rPr>
                <w:rFonts w:hint="default" w:ascii="Times New Roman" w:hAnsi="Times New Roman" w:eastAsia="宋体" w:cs="Times New Roman"/>
                <w:color w:val="000000"/>
                <w:kern w:val="0"/>
                <w:sz w:val="22"/>
                <w:szCs w:val="22"/>
                <w:lang w:val="en-US" w:eastAsia="zh-CN" w:bidi="ar"/>
              </w:rPr>
              <w:t xml:space="preserve">UE Speed </w:t>
            </w:r>
          </w:p>
        </w:tc>
        <w:tc>
          <w:tcPr>
            <w:tcW w:w="5224" w:type="dxa"/>
            <w:vAlign w:val="center"/>
          </w:tcPr>
          <w:p>
            <w:pPr>
              <w:keepNext w:val="0"/>
              <w:keepLines w:val="0"/>
              <w:widowControl/>
              <w:suppressLineNumbers w:val="0"/>
              <w:spacing w:after="0"/>
              <w:jc w:val="left"/>
              <w:rPr>
                <w:lang w:val="en-US"/>
              </w:rPr>
            </w:pPr>
            <w:r>
              <w:rPr>
                <w:rFonts w:hint="default" w:ascii="Times New Roman" w:hAnsi="Times New Roman" w:eastAsia="宋体" w:cs="Times New Roman"/>
                <w:color w:val="000000"/>
                <w:kern w:val="0"/>
                <w:sz w:val="22"/>
                <w:szCs w:val="22"/>
                <w:lang w:val="en-US" w:eastAsia="zh-CN" w:bidi="ar"/>
              </w:rPr>
              <w:t xml:space="preserve">3km/h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5" w:type="dxa"/>
            <w:vAlign w:val="center"/>
          </w:tcPr>
          <w:p>
            <w:pPr>
              <w:keepNext w:val="0"/>
              <w:keepLines w:val="0"/>
              <w:widowControl/>
              <w:suppressLineNumbers w:val="0"/>
              <w:jc w:val="left"/>
              <w:rPr>
                <w:lang w:val="en-US"/>
              </w:rPr>
            </w:pPr>
            <w:r>
              <w:rPr>
                <w:rFonts w:hint="default" w:ascii="Times New Roman" w:hAnsi="Times New Roman" w:eastAsia="宋体" w:cs="Times New Roman"/>
                <w:color w:val="000000"/>
                <w:kern w:val="0"/>
                <w:sz w:val="22"/>
                <w:szCs w:val="22"/>
                <w:lang w:val="en-US" w:eastAsia="zh-CN" w:bidi="ar"/>
              </w:rPr>
              <w:t>Sample Slot Interval</w:t>
            </w:r>
          </w:p>
        </w:tc>
        <w:tc>
          <w:tcPr>
            <w:tcW w:w="5224" w:type="dxa"/>
            <w:vAlign w:val="center"/>
          </w:tcPr>
          <w:p>
            <w:pPr>
              <w:keepNext w:val="0"/>
              <w:keepLines w:val="0"/>
              <w:widowControl/>
              <w:suppressLineNumbers w:val="0"/>
              <w:spacing w:after="0"/>
              <w:jc w:val="left"/>
              <w:rPr>
                <w:rFonts w:hint="default"/>
                <w:lang w:val="en-US"/>
              </w:rPr>
            </w:pPr>
            <w:r>
              <w:rPr>
                <w:rFonts w:hint="eastAsia" w:ascii="Times New Roman" w:hAnsi="Times New Roman" w:eastAsia="宋体" w:cs="Times New Roman"/>
                <w:color w:val="000000"/>
                <w:kern w:val="0"/>
                <w:sz w:val="22"/>
                <w:szCs w:val="22"/>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5" w:type="dxa"/>
            <w:vAlign w:val="center"/>
          </w:tcPr>
          <w:p>
            <w:pPr>
              <w:spacing w:after="0"/>
              <w:rPr>
                <w:lang w:val="en-US"/>
              </w:rPr>
            </w:pPr>
            <w:r>
              <w:rPr>
                <w:lang w:val="en-US"/>
              </w:rPr>
              <w:t>Subcarrier spacing</w:t>
            </w:r>
          </w:p>
        </w:tc>
        <w:tc>
          <w:tcPr>
            <w:tcW w:w="5224" w:type="dxa"/>
            <w:vAlign w:val="center"/>
          </w:tcPr>
          <w:p>
            <w:pPr>
              <w:spacing w:after="0"/>
              <w:rPr>
                <w:lang w:val="en-US"/>
              </w:rPr>
            </w:pPr>
            <w:r>
              <w:rPr>
                <w:rFonts w:hint="eastAsia"/>
                <w:lang w:val="en-US" w:eastAsia="zh-CN"/>
              </w:rPr>
              <w:t>15</w:t>
            </w:r>
            <w:r>
              <w:rPr>
                <w:lang w:val="en-US"/>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5" w:type="dxa"/>
            <w:vAlign w:val="center"/>
          </w:tcPr>
          <w:p>
            <w:pPr>
              <w:spacing w:after="0"/>
              <w:rPr>
                <w:lang w:val="en-US"/>
              </w:rPr>
            </w:pPr>
            <w:r>
              <w:rPr>
                <w:lang w:val="en-US"/>
              </w:rPr>
              <w:t>Simulation bandwidth</w:t>
            </w:r>
          </w:p>
        </w:tc>
        <w:tc>
          <w:tcPr>
            <w:tcW w:w="5224" w:type="dxa"/>
            <w:vAlign w:val="center"/>
          </w:tcPr>
          <w:p>
            <w:pPr>
              <w:spacing w:after="0"/>
              <w:rPr>
                <w:lang w:val="en-US"/>
              </w:rPr>
            </w:pPr>
            <w:r>
              <w:rPr>
                <w:rFonts w:hint="eastAsia"/>
                <w:lang w:val="en-US" w:eastAsia="zh-CN"/>
              </w:rPr>
              <w:t>10</w:t>
            </w:r>
            <w:r>
              <w:rPr>
                <w:lang w:val="en-US"/>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5" w:type="dxa"/>
            <w:vAlign w:val="center"/>
          </w:tcPr>
          <w:p>
            <w:pPr>
              <w:spacing w:after="0"/>
              <w:rPr>
                <w:lang w:val="en-US"/>
              </w:rPr>
            </w:pPr>
            <w:r>
              <w:rPr>
                <w:lang w:val="en-US"/>
              </w:rPr>
              <w:t>Channel estimation</w:t>
            </w:r>
          </w:p>
        </w:tc>
        <w:tc>
          <w:tcPr>
            <w:tcW w:w="5224" w:type="dxa"/>
            <w:vAlign w:val="center"/>
          </w:tcPr>
          <w:p>
            <w:pPr>
              <w:spacing w:after="0"/>
              <w:rPr>
                <w:lang w:val="en-US"/>
              </w:rPr>
            </w:pPr>
            <w:r>
              <w:rPr>
                <w:lang w:val="en-US"/>
              </w:rPr>
              <w:t>Ideal</w:t>
            </w:r>
          </w:p>
        </w:tc>
      </w:tr>
    </w:tbl>
    <w:p>
      <w:pPr>
        <w:widowControl w:val="0"/>
        <w:numPr>
          <w:ilvl w:val="0"/>
          <w:numId w:val="0"/>
        </w:numPr>
        <w:snapToGrid w:val="0"/>
        <w:spacing w:before="120" w:after="120" w:line="300" w:lineRule="auto"/>
        <w:jc w:val="both"/>
      </w:pPr>
    </w:p>
    <w:sectPr>
      <w:pgSz w:w="11906" w:h="16838"/>
      <w:pgMar w:top="1134" w:right="1134" w:bottom="1134" w:left="1134" w:header="0" w:footer="0" w:gutter="0"/>
      <w:cols w:space="720" w:num="1"/>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erif">
    <w:altName w:val="Times New Roman"/>
    <w:panose1 w:val="00000000000000000000"/>
    <w:charset w:val="01"/>
    <w:family w:val="roman"/>
    <w:pitch w:val="default"/>
    <w:sig w:usb0="00000000" w:usb1="00000000" w:usb2="00000000" w:usb3="00000000" w:csb0="00000000" w:csb1="00000000"/>
  </w:font>
  <w:font w:name="Lohit Devanagari">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auto"/>
    <w:pitch w:val="default"/>
    <w:sig w:usb0="00000000" w:usb1="00000000" w:usb2="00000000" w:usb3="00000000" w:csb0="000001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3D54BA"/>
    <w:multiLevelType w:val="multilevel"/>
    <w:tmpl w:val="163D54BA"/>
    <w:lvl w:ilvl="0" w:tentative="0">
      <w:start w:val="1"/>
      <w:numFmt w:val="decimal"/>
      <w:lvlText w:val="%1."/>
      <w:lvlJc w:val="left"/>
      <w:pPr>
        <w:tabs>
          <w:tab w:val="left" w:pos="720"/>
        </w:tabs>
        <w:ind w:left="720" w:hanging="360"/>
      </w:pPr>
      <w:rPr>
        <w:i w:val="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
    <w:nsid w:val="19DB1688"/>
    <w:multiLevelType w:val="multilevel"/>
    <w:tmpl w:val="19DB1688"/>
    <w:lvl w:ilvl="0" w:tentative="0">
      <w:start w:val="1"/>
      <w:numFmt w:val="decimal"/>
      <w:lvlText w:val="%1."/>
      <w:lvlJc w:val="left"/>
      <w:pPr>
        <w:ind w:left="420" w:hanging="420"/>
      </w:pPr>
      <w:rPr>
        <w:b/>
      </w:rPr>
    </w:lvl>
    <w:lvl w:ilvl="1" w:tentative="0">
      <w:start w:val="1"/>
      <w:numFmt w:val="decimal"/>
      <w:lvlText w:val="2.%2"/>
      <w:lvlJc w:val="left"/>
      <w:pPr>
        <w:ind w:left="720" w:hanging="720"/>
      </w:pPr>
      <w:rPr>
        <w:rFonts w:hint="eastAsia"/>
        <w:b/>
      </w:rPr>
    </w:lvl>
    <w:lvl w:ilvl="2" w:tentative="0">
      <w:start w:val="1"/>
      <w:numFmt w:val="decimal"/>
      <w:isLgl/>
      <w:lvlText w:val="%1.%2.%3"/>
      <w:lvlJc w:val="left"/>
      <w:pPr>
        <w:ind w:left="1080" w:hanging="1080"/>
      </w:pPr>
      <w:rPr>
        <w:rFonts w:hint="default"/>
        <w:b/>
      </w:rPr>
    </w:lvl>
    <w:lvl w:ilvl="3" w:tentative="0">
      <w:start w:val="1"/>
      <w:numFmt w:val="decimal"/>
      <w:isLgl/>
      <w:lvlText w:val="%1.%2.%3.%4"/>
      <w:lvlJc w:val="left"/>
      <w:pPr>
        <w:ind w:left="1440" w:hanging="1440"/>
      </w:pPr>
      <w:rPr>
        <w:rFonts w:hint="default"/>
        <w:b/>
      </w:rPr>
    </w:lvl>
    <w:lvl w:ilvl="4" w:tentative="0">
      <w:start w:val="1"/>
      <w:numFmt w:val="decimal"/>
      <w:isLgl/>
      <w:lvlText w:val="%1.%2.%3.%4.%5"/>
      <w:lvlJc w:val="left"/>
      <w:pPr>
        <w:ind w:left="1440" w:hanging="1440"/>
      </w:pPr>
      <w:rPr>
        <w:rFonts w:hint="default"/>
        <w:b/>
      </w:rPr>
    </w:lvl>
    <w:lvl w:ilvl="5" w:tentative="0">
      <w:start w:val="1"/>
      <w:numFmt w:val="decimal"/>
      <w:isLgl/>
      <w:lvlText w:val="%1.%2.%3.%4.%5.%6"/>
      <w:lvlJc w:val="left"/>
      <w:pPr>
        <w:ind w:left="1800" w:hanging="1800"/>
      </w:pPr>
      <w:rPr>
        <w:rFonts w:hint="default"/>
        <w:b/>
      </w:rPr>
    </w:lvl>
    <w:lvl w:ilvl="6" w:tentative="0">
      <w:start w:val="1"/>
      <w:numFmt w:val="decimal"/>
      <w:isLgl/>
      <w:lvlText w:val="%1.%2.%3.%4.%5.%6.%7"/>
      <w:lvlJc w:val="left"/>
      <w:pPr>
        <w:ind w:left="2160" w:hanging="2160"/>
      </w:pPr>
      <w:rPr>
        <w:rFonts w:hint="default"/>
        <w:b/>
      </w:rPr>
    </w:lvl>
    <w:lvl w:ilvl="7" w:tentative="0">
      <w:start w:val="1"/>
      <w:numFmt w:val="decimal"/>
      <w:isLgl/>
      <w:lvlText w:val="%1.%2.%3.%4.%5.%6.%7.%8"/>
      <w:lvlJc w:val="left"/>
      <w:pPr>
        <w:ind w:left="2520" w:hanging="2520"/>
      </w:pPr>
      <w:rPr>
        <w:rFonts w:hint="default"/>
        <w:b/>
      </w:rPr>
    </w:lvl>
    <w:lvl w:ilvl="8" w:tentative="0">
      <w:start w:val="1"/>
      <w:numFmt w:val="decimal"/>
      <w:isLgl/>
      <w:lvlText w:val="%1.%2.%3.%4.%5.%6.%7.%8.%9"/>
      <w:lvlJc w:val="left"/>
      <w:pPr>
        <w:ind w:left="2880" w:hanging="2880"/>
      </w:pPr>
      <w:rPr>
        <w:rFonts w:hint="default"/>
        <w:b/>
      </w:rPr>
    </w:lvl>
  </w:abstractNum>
  <w:abstractNum w:abstractNumId="2">
    <w:nsid w:val="28F75148"/>
    <w:multiLevelType w:val="multilevel"/>
    <w:tmpl w:val="28F75148"/>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ind w:left="90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2CC413F6"/>
    <w:multiLevelType w:val="multilevel"/>
    <w:tmpl w:val="2CC413F6"/>
    <w:lvl w:ilvl="0" w:tentative="0">
      <w:start w:val="1"/>
      <w:numFmt w:val="decimal"/>
      <w:lvlText w:val="2.%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0416974"/>
    <w:multiLevelType w:val="multilevel"/>
    <w:tmpl w:val="30416974"/>
    <w:lvl w:ilvl="0" w:tentative="0">
      <w:start w:val="1"/>
      <w:numFmt w:val="decimal"/>
      <w:lvlText w:val="2.2.%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159344E"/>
    <w:multiLevelType w:val="multilevel"/>
    <w:tmpl w:val="7159344E"/>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jOGMwNjY2NjE5ZDU0MWFjZjNiNDA1NzFhZTA0ZTcifQ=="/>
  </w:docVars>
  <w:rsids>
    <w:rsidRoot w:val="00000000"/>
    <w:rsid w:val="00BB228A"/>
    <w:rsid w:val="02702D13"/>
    <w:rsid w:val="05FA5711"/>
    <w:rsid w:val="07420900"/>
    <w:rsid w:val="08B66FA6"/>
    <w:rsid w:val="08CF2F65"/>
    <w:rsid w:val="092F62F7"/>
    <w:rsid w:val="0A9F64A0"/>
    <w:rsid w:val="0DDC6E3D"/>
    <w:rsid w:val="12C9069A"/>
    <w:rsid w:val="139E0D62"/>
    <w:rsid w:val="140333D9"/>
    <w:rsid w:val="15E44F1C"/>
    <w:rsid w:val="163262E2"/>
    <w:rsid w:val="16F31C9B"/>
    <w:rsid w:val="19342D77"/>
    <w:rsid w:val="1A700CC5"/>
    <w:rsid w:val="1E556CA9"/>
    <w:rsid w:val="1EC878C9"/>
    <w:rsid w:val="20A93B57"/>
    <w:rsid w:val="22F03D50"/>
    <w:rsid w:val="24092C07"/>
    <w:rsid w:val="24960860"/>
    <w:rsid w:val="29510785"/>
    <w:rsid w:val="2EA90867"/>
    <w:rsid w:val="2F6340F7"/>
    <w:rsid w:val="2F7E2061"/>
    <w:rsid w:val="2F8C59F7"/>
    <w:rsid w:val="30BC5A0C"/>
    <w:rsid w:val="32A417CD"/>
    <w:rsid w:val="33D63AF2"/>
    <w:rsid w:val="36BD1FB2"/>
    <w:rsid w:val="384B3620"/>
    <w:rsid w:val="3A6769F0"/>
    <w:rsid w:val="3C8F3998"/>
    <w:rsid w:val="3DA359FB"/>
    <w:rsid w:val="41D028CD"/>
    <w:rsid w:val="453278D1"/>
    <w:rsid w:val="457A6FA5"/>
    <w:rsid w:val="46464C9E"/>
    <w:rsid w:val="466D6EB1"/>
    <w:rsid w:val="47C23E75"/>
    <w:rsid w:val="49DC6F66"/>
    <w:rsid w:val="4A173BE7"/>
    <w:rsid w:val="4A571191"/>
    <w:rsid w:val="4B286348"/>
    <w:rsid w:val="4B451B0B"/>
    <w:rsid w:val="4E786707"/>
    <w:rsid w:val="4F0452FF"/>
    <w:rsid w:val="4F2A6BAC"/>
    <w:rsid w:val="50E42567"/>
    <w:rsid w:val="51906383"/>
    <w:rsid w:val="53230014"/>
    <w:rsid w:val="53BE765E"/>
    <w:rsid w:val="56817F9D"/>
    <w:rsid w:val="56B125BE"/>
    <w:rsid w:val="593F735F"/>
    <w:rsid w:val="5A212F04"/>
    <w:rsid w:val="5D3A2A41"/>
    <w:rsid w:val="5D9C491D"/>
    <w:rsid w:val="5DF92BE3"/>
    <w:rsid w:val="5F205BBE"/>
    <w:rsid w:val="6234039A"/>
    <w:rsid w:val="64784956"/>
    <w:rsid w:val="64AE5BD1"/>
    <w:rsid w:val="65853A2E"/>
    <w:rsid w:val="670D7FC5"/>
    <w:rsid w:val="682A77BE"/>
    <w:rsid w:val="6A527334"/>
    <w:rsid w:val="6C447D36"/>
    <w:rsid w:val="6C5D7894"/>
    <w:rsid w:val="6E14035F"/>
    <w:rsid w:val="6E5747E6"/>
    <w:rsid w:val="6F9270D1"/>
    <w:rsid w:val="700A3B58"/>
    <w:rsid w:val="71757ADF"/>
    <w:rsid w:val="717F7A61"/>
    <w:rsid w:val="73FB7F63"/>
    <w:rsid w:val="780E5B96"/>
    <w:rsid w:val="781648AA"/>
    <w:rsid w:val="7902799B"/>
    <w:rsid w:val="7A763168"/>
    <w:rsid w:val="7A803D27"/>
    <w:rsid w:val="7C2A6CA3"/>
    <w:rsid w:val="7DB70C40"/>
    <w:rsid w:val="7E762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cs="Lohit Devanagari" w:eastAsiaTheme="minorEastAsia"/>
      <w:kern w:val="2"/>
      <w:sz w:val="24"/>
      <w:szCs w:val="24"/>
      <w:lang w:val="en-IN" w:eastAsia="zh-CN" w:bidi="hi-IN"/>
    </w:rPr>
  </w:style>
  <w:style w:type="character" w:default="1" w:styleId="5">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caption"/>
    <w:basedOn w:val="1"/>
    <w:next w:val="1"/>
    <w:qFormat/>
    <w:uiPriority w:val="0"/>
    <w:pPr>
      <w:spacing w:before="120" w:after="120"/>
    </w:pPr>
    <w:rPr>
      <w:b/>
    </w:r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LO-Normal5"/>
    <w:basedOn w:val="1"/>
    <w:qFormat/>
    <w:uiPriority w:val="1"/>
    <w:pPr>
      <w:spacing w:after="160" w:line="256" w:lineRule="auto"/>
    </w:pPr>
    <w:rPr>
      <w:rFonts w:ascii="Calibri" w:hAnsi="Calibri" w:eastAsia="Calibri" w:cs="Arial"/>
      <w:sz w:val="22"/>
      <w:szCs w:val="22"/>
      <w:lang w:eastAsia="en-US" w:bidi="ar-SA"/>
    </w:rPr>
  </w:style>
  <w:style w:type="paragraph" w:styleId="7">
    <w:name w:val="List Paragraph"/>
    <w:basedOn w:val="1"/>
    <w:qFormat/>
    <w:uiPriority w:val="34"/>
    <w:pPr>
      <w:spacing w:after="120"/>
    </w:pPr>
    <w:rPr>
      <w:rFonts w:eastAsia="宋体"/>
      <w:lang w:val="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2023-09-15T01:46:00Z</dcterms:created>
  <dc:creator>46844</dc:creator>
  <cp:lastModifiedBy>分水岭</cp:lastModifiedBy>
  <dcterms:modified xsi:type="dcterms:W3CDTF">2023-09-25T08:50:46Z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B0736A571CDC4E7CB254C95F489FCD0D_12</vt:lpwstr>
  </property>
</Properties>
</file>