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ListParagraph"/>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TableGri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TableGri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TableGri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06465C2D" w14:textId="3C1D55BE" w:rsidR="00E7462C" w:rsidRDefault="00E7462C" w:rsidP="00E7462C">
            <w:pPr>
              <w:spacing w:beforeLines="50" w:before="120"/>
              <w:rPr>
                <w:kern w:val="2"/>
                <w:lang w:eastAsia="zh-CN"/>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TableGri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w:t>
                  </w:r>
                  <w:r w:rsidRPr="00B65ADD">
                    <w:rPr>
                      <w:lang w:eastAsia="zh-CN"/>
                    </w:rPr>
                    <w:lastRenderedPageBreak/>
                    <w:t xml:space="preserve">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0F7E0AE4" w14:textId="7B3B1CF0" w:rsidR="00B65ADD" w:rsidRDefault="00B65ADD" w:rsidP="00B65ADD">
                  <w:pPr>
                    <w:spacing w:beforeLines="50" w:before="120"/>
                    <w:rPr>
                      <w:rFonts w:eastAsiaTheme="minorEastAsia"/>
                      <w:kern w:val="2"/>
                      <w:lang w:eastAsia="zh-CN"/>
                    </w:rPr>
                  </w:pPr>
                  <w:r>
                    <w:t>-</w:t>
                  </w:r>
                  <w:r>
                    <w:tab/>
                    <w:t>0 bit otherwise.</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hint="eastAsia"/>
                <w:kern w:val="2"/>
                <w:lang w:eastAsia="zh-CN"/>
              </w:rPr>
            </w:pPr>
            <w:r>
              <w:rPr>
                <w:rFonts w:eastAsiaTheme="minorEastAsia"/>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2B214E7" w14:textId="58F56A52" w:rsidR="00345983" w:rsidRDefault="00345983" w:rsidP="00E7462C">
            <w:pPr>
              <w:spacing w:beforeLines="50" w:before="120"/>
              <w:rPr>
                <w:rFonts w:eastAsiaTheme="minorEastAsia" w:hint="eastAsia"/>
                <w:kern w:val="2"/>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0477" w14:textId="77777777" w:rsidR="00D64EF4" w:rsidRDefault="00D64EF4">
      <w:r>
        <w:separator/>
      </w:r>
    </w:p>
  </w:endnote>
  <w:endnote w:type="continuationSeparator" w:id="0">
    <w:p w14:paraId="38DEF4BF" w14:textId="77777777" w:rsidR="00D64EF4" w:rsidRDefault="00D6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D448" w14:textId="77777777" w:rsidR="00D64EF4" w:rsidRDefault="00D64EF4">
      <w:r>
        <w:separator/>
      </w:r>
    </w:p>
  </w:footnote>
  <w:footnote w:type="continuationSeparator" w:id="0">
    <w:p w14:paraId="65B2020D" w14:textId="77777777" w:rsidR="00D64EF4" w:rsidRDefault="00D6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2086487685">
    <w:abstractNumId w:val="6"/>
  </w:num>
  <w:num w:numId="2" w16cid:durableId="338430396">
    <w:abstractNumId w:val="4"/>
  </w:num>
  <w:num w:numId="3" w16cid:durableId="1954751392">
    <w:abstractNumId w:val="2"/>
  </w:num>
  <w:num w:numId="4" w16cid:durableId="637536630">
    <w:abstractNumId w:val="9"/>
  </w:num>
  <w:num w:numId="5" w16cid:durableId="1921716722">
    <w:abstractNumId w:val="5"/>
  </w:num>
  <w:num w:numId="6" w16cid:durableId="508713419">
    <w:abstractNumId w:val="3"/>
  </w:num>
  <w:num w:numId="7" w16cid:durableId="1376348013">
    <w:abstractNumId w:val="7"/>
  </w:num>
  <w:num w:numId="8" w16cid:durableId="2065634376">
    <w:abstractNumId w:val="8"/>
  </w:num>
  <w:num w:numId="9" w16cid:durableId="393354052">
    <w:abstractNumId w:val="11"/>
  </w:num>
  <w:num w:numId="10" w16cid:durableId="1546719497">
    <w:abstractNumId w:val="13"/>
  </w:num>
  <w:num w:numId="11" w16cid:durableId="1966155609">
    <w:abstractNumId w:val="1"/>
  </w:num>
  <w:num w:numId="12" w16cid:durableId="496654759">
    <w:abstractNumId w:val="0"/>
  </w:num>
  <w:num w:numId="13" w16cid:durableId="1459226286">
    <w:abstractNumId w:val="10"/>
  </w:num>
  <w:num w:numId="14" w16cid:durableId="3546956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6F9F-21C3-4154-82F3-CD3138B3423D}">
  <ds:schemaRefs>
    <ds:schemaRef ds:uri="http://schemas.openxmlformats.org/officeDocument/2006/bibliography"/>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804</Words>
  <Characters>4085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Nokia/NSB</cp:lastModifiedBy>
  <cp:revision>3</cp:revision>
  <cp:lastPrinted>2007-06-18T22:08:00Z</cp:lastPrinted>
  <dcterms:created xsi:type="dcterms:W3CDTF">2023-09-04T10:15:00Z</dcterms:created>
  <dcterms:modified xsi:type="dcterms:W3CDTF">2023-09-04T10:18:00Z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