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5FF0" w14:textId="77777777" w:rsidR="00510DB7" w:rsidRDefault="0000000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601C4" wp14:editId="623EAAB8">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6FE50BB" w14:textId="77777777" w:rsidR="00510DB7" w:rsidRDefault="00000000">
      <w:pPr>
        <w:jc w:val="left"/>
        <w:rPr>
          <w:b/>
          <w:lang w:eastAsia="zh-CN"/>
        </w:rPr>
      </w:pPr>
      <w:r>
        <w:rPr>
          <w:b/>
          <w:lang w:eastAsia="zh-CN"/>
        </w:rPr>
        <w:t>Toulouse, France, 21-25 August, 2023</w:t>
      </w:r>
    </w:p>
    <w:p w14:paraId="056BE7E9" w14:textId="77777777" w:rsidR="00510DB7" w:rsidRDefault="00510DB7">
      <w:pPr>
        <w:pBdr>
          <w:top w:val="single" w:sz="4" w:space="1" w:color="auto"/>
        </w:pBdr>
        <w:spacing w:after="0"/>
        <w:jc w:val="left"/>
        <w:rPr>
          <w:b/>
          <w:kern w:val="2"/>
          <w:sz w:val="16"/>
          <w:szCs w:val="16"/>
          <w:lang w:eastAsia="zh-CN"/>
        </w:rPr>
      </w:pPr>
    </w:p>
    <w:p w14:paraId="17AC7E2F" w14:textId="77777777" w:rsidR="00510DB7" w:rsidRDefault="00000000">
      <w:pPr>
        <w:spacing w:after="60"/>
        <w:ind w:left="1555" w:hanging="1555"/>
        <w:jc w:val="left"/>
        <w:rPr>
          <w:b/>
          <w:lang w:eastAsia="zh-CN"/>
        </w:rPr>
      </w:pPr>
      <w:r>
        <w:rPr>
          <w:b/>
          <w:lang w:eastAsia="zh-CN"/>
        </w:rPr>
        <w:t>Agenda Item:</w:t>
      </w:r>
      <w:r>
        <w:rPr>
          <w:b/>
          <w:lang w:eastAsia="zh-CN"/>
        </w:rPr>
        <w:tab/>
        <w:t>9.17</w:t>
      </w:r>
    </w:p>
    <w:p w14:paraId="4F718ED1" w14:textId="77777777" w:rsidR="00510DB7" w:rsidRDefault="00000000">
      <w:pPr>
        <w:spacing w:after="60"/>
        <w:ind w:left="1555" w:hanging="1555"/>
        <w:jc w:val="left"/>
        <w:rPr>
          <w:b/>
          <w:kern w:val="2"/>
          <w:lang w:eastAsia="zh-CN"/>
        </w:rPr>
      </w:pPr>
      <w:r>
        <w:rPr>
          <w:b/>
          <w:kern w:val="2"/>
          <w:lang w:eastAsia="zh-CN"/>
        </w:rPr>
        <w:t>Source:</w:t>
      </w:r>
      <w:r>
        <w:rPr>
          <w:b/>
          <w:kern w:val="2"/>
          <w:lang w:eastAsia="zh-CN"/>
        </w:rPr>
        <w:tab/>
        <w:t>Moderator (Huawei)</w:t>
      </w:r>
    </w:p>
    <w:p w14:paraId="5280B52D" w14:textId="77777777" w:rsidR="00510DB7" w:rsidRDefault="00000000">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[Post114-38.212-NR_XR_enh-Core] </w:t>
      </w:r>
    </w:p>
    <w:p w14:paraId="2EB3639A" w14:textId="77777777" w:rsidR="00510DB7" w:rsidRDefault="000000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3300E622" w14:textId="77777777" w:rsidR="00510DB7" w:rsidRDefault="00510DB7">
      <w:pPr>
        <w:pBdr>
          <w:bottom w:val="single" w:sz="4" w:space="1" w:color="auto"/>
        </w:pBdr>
        <w:spacing w:after="0"/>
        <w:jc w:val="left"/>
        <w:rPr>
          <w:b/>
          <w:kern w:val="2"/>
          <w:sz w:val="16"/>
          <w:szCs w:val="16"/>
          <w:lang w:eastAsia="zh-CN"/>
        </w:rPr>
      </w:pPr>
    </w:p>
    <w:p w14:paraId="4489825D" w14:textId="77777777" w:rsidR="00510DB7" w:rsidRDefault="00000000">
      <w:pPr>
        <w:pStyle w:val="Heading1"/>
      </w:pPr>
      <w:bookmarkStart w:id="0" w:name="_Ref129681862"/>
      <w:bookmarkStart w:id="1" w:name="_Ref124589705"/>
      <w:r>
        <w:t>Introduction</w:t>
      </w:r>
      <w:bookmarkEnd w:id="0"/>
      <w:bookmarkEnd w:id="1"/>
    </w:p>
    <w:p w14:paraId="6A5B05B8" w14:textId="77777777" w:rsidR="00510DB7" w:rsidRDefault="00000000">
      <w:pPr>
        <w:rPr>
          <w:lang w:eastAsia="zh-CN"/>
        </w:rPr>
      </w:pPr>
      <w:bookmarkStart w:id="2" w:name="_Ref129681832"/>
      <w:r>
        <w:rPr>
          <w:rFonts w:eastAsiaTheme="minorEastAsia"/>
          <w:lang w:eastAsia="zh-CN"/>
        </w:rPr>
        <w:t>This document summarizes the discussions on the 38.212 draft CR on XR enhancements for NR, and aims to stabilize the 38.212 draft CR</w:t>
      </w:r>
      <w:r>
        <w:rPr>
          <w:lang w:eastAsia="zh-CN"/>
        </w:rPr>
        <w:t xml:space="preserve">. </w:t>
      </w:r>
    </w:p>
    <w:p w14:paraId="40F75F2D" w14:textId="77777777" w:rsidR="00510DB7" w:rsidRDefault="00000000">
      <w:pPr>
        <w:rPr>
          <w:highlight w:val="cyan"/>
          <w:lang w:eastAsia="zh-CN"/>
        </w:rPr>
      </w:pPr>
      <w:r>
        <w:rPr>
          <w:highlight w:val="cyan"/>
          <w:lang w:eastAsia="zh-CN"/>
        </w:rPr>
        <w:t>[Post114-38.212-NR_XR_enh-Core] Email discussion on Rel-18 draft CRs by September 7 – Editors</w:t>
      </w:r>
    </w:p>
    <w:p w14:paraId="6D0B1A6F" w14:textId="77777777" w:rsidR="00510DB7" w:rsidRDefault="00000000">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E021367" w14:textId="77777777" w:rsidR="00510DB7" w:rsidRDefault="00000000">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510DB7" w14:paraId="5A0D67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AF32A8" w14:textId="77777777" w:rsidR="00510DB7" w:rsidRDefault="00000000">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372183" w14:textId="77777777" w:rsidR="00510DB7" w:rsidRDefault="00000000">
            <w:pPr>
              <w:spacing w:beforeLines="50" w:before="120"/>
              <w:rPr>
                <w:i/>
                <w:kern w:val="2"/>
                <w:lang w:eastAsia="zh-CN"/>
              </w:rPr>
            </w:pPr>
            <w:r>
              <w:rPr>
                <w:i/>
                <w:kern w:val="2"/>
                <w:lang w:eastAsia="zh-CN"/>
              </w:rPr>
              <w:t>View</w:t>
            </w:r>
          </w:p>
        </w:tc>
      </w:tr>
      <w:tr w:rsidR="00510DB7" w14:paraId="0D7E8777" w14:textId="77777777">
        <w:tc>
          <w:tcPr>
            <w:tcW w:w="2113" w:type="dxa"/>
            <w:tcBorders>
              <w:top w:val="single" w:sz="4" w:space="0" w:color="auto"/>
              <w:left w:val="single" w:sz="4" w:space="0" w:color="auto"/>
              <w:bottom w:val="single" w:sz="4" w:space="0" w:color="auto"/>
              <w:right w:val="single" w:sz="4" w:space="0" w:color="auto"/>
            </w:tcBorders>
          </w:tcPr>
          <w:p w14:paraId="4F3CC361" w14:textId="77777777" w:rsidR="00510DB7" w:rsidRDefault="00000000">
            <w:pPr>
              <w:spacing w:beforeLines="50" w:before="120"/>
              <w:rPr>
                <w:b/>
                <w:kern w:val="2"/>
                <w:lang w:eastAsia="zh-CN"/>
              </w:rPr>
            </w:pPr>
            <w:r>
              <w:rPr>
                <w:b/>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202E63" w14:textId="77777777" w:rsidR="00510DB7" w:rsidRDefault="00000000">
            <w:pPr>
              <w:spacing w:beforeLines="50" w:before="120"/>
              <w:rPr>
                <w:kern w:val="2"/>
                <w:lang w:eastAsia="zh-CN"/>
              </w:rPr>
            </w:pPr>
            <w:r>
              <w:rPr>
                <w:kern w:val="2"/>
                <w:lang w:eastAsia="zh-CN"/>
              </w:rPr>
              <w:t>Comment 1: In the CR, editor seems using two strategies. In some places, UTO-UCI is indirectly introduced by replacing CG-UCI, e.g., in the following CR text</w:t>
            </w:r>
          </w:p>
          <w:tbl>
            <w:tblPr>
              <w:tblStyle w:val="TableGrid"/>
              <w:tblW w:w="0" w:type="auto"/>
              <w:tblLook w:val="04A0" w:firstRow="1" w:lastRow="0" w:firstColumn="1" w:lastColumn="0" w:noHBand="0" w:noVBand="1"/>
            </w:tblPr>
            <w:tblGrid>
              <w:gridCol w:w="6968"/>
            </w:tblGrid>
            <w:tr w:rsidR="00510DB7" w14:paraId="310663A2" w14:textId="77777777">
              <w:tc>
                <w:tcPr>
                  <w:tcW w:w="6968" w:type="dxa"/>
                </w:tcPr>
                <w:p w14:paraId="12A0771E" w14:textId="77777777" w:rsidR="00510DB7" w:rsidRDefault="00000000">
                  <w:pPr>
                    <w:rPr>
                      <w:kern w:val="2"/>
                      <w:lang w:eastAsia="zh-CN"/>
                    </w:rPr>
                  </w:pPr>
                  <w:r>
                    <w:rPr>
                      <w:lang w:eastAsia="zh-CN"/>
                    </w:rPr>
                    <w:t>I</w:t>
                  </w:r>
                  <w:r>
                    <w:rPr>
                      <w:rFonts w:hint="eastAsia"/>
                      <w:lang w:eastAsia="zh-CN"/>
                    </w:rPr>
                    <w:t xml:space="preserve">f </w:t>
                  </w:r>
                  <w:r>
                    <w:rPr>
                      <w:lang w:eastAsia="zh-CN"/>
                    </w:rPr>
                    <w:t>UTO-UCI</w:t>
                  </w:r>
                  <w:r>
                    <w:rPr>
                      <w:rFonts w:hint="eastAsia"/>
                      <w:lang w:eastAsia="zh-CN"/>
                    </w:rPr>
                    <w:t xml:space="preserve"> is </w:t>
                  </w:r>
                  <w:r>
                    <w:rPr>
                      <w:lang w:eastAsia="zh-CN"/>
                    </w:rPr>
                    <w:t>present</w:t>
                  </w:r>
                  <w:r>
                    <w:rPr>
                      <w:rFonts w:hint="eastAsia"/>
                      <w:lang w:eastAsia="zh-CN"/>
                    </w:rPr>
                    <w:t xml:space="preserve"> for transmission on the PUSCH</w:t>
                  </w:r>
                  <w:r>
                    <w:rPr>
                      <w:lang w:eastAsia="zh-CN"/>
                    </w:rPr>
                    <w:t xml:space="preserve"> without HARQ-ACK, step 2A is applied by replacing CG-UCI with UTO-UCI in all the notations and texts. </w:t>
                  </w:r>
                </w:p>
              </w:tc>
            </w:tr>
          </w:tbl>
          <w:p w14:paraId="5D291E5C" w14:textId="77777777" w:rsidR="00510DB7" w:rsidRDefault="00000000">
            <w:pPr>
              <w:jc w:val="left"/>
              <w:rPr>
                <w:kern w:val="2"/>
                <w:lang w:eastAsia="zh-CN"/>
              </w:rPr>
            </w:pPr>
            <w:r>
              <w:t xml:space="preserve">In other places, UTO-UCI is directly </w:t>
            </w:r>
            <w:r>
              <w:rPr>
                <w:kern w:val="2"/>
                <w:lang w:eastAsia="zh-CN"/>
              </w:rPr>
              <w:t>introduced</w:t>
            </w:r>
            <w:r>
              <w:t>, e.g., in “</w:t>
            </w:r>
            <w:r>
              <w:rPr>
                <w:rFonts w:hint="eastAsia"/>
              </w:rPr>
              <w:t>6.3.2.1.</w:t>
            </w:r>
            <w:r>
              <w:t xml:space="preserve">4A HARQ-ACK and UTO-UCI”. We are fine with both. </w:t>
            </w:r>
          </w:p>
        </w:tc>
      </w:tr>
      <w:tr w:rsidR="00510DB7" w14:paraId="240823DC" w14:textId="77777777">
        <w:tc>
          <w:tcPr>
            <w:tcW w:w="2113" w:type="dxa"/>
            <w:tcBorders>
              <w:top w:val="single" w:sz="4" w:space="0" w:color="auto"/>
              <w:left w:val="single" w:sz="4" w:space="0" w:color="auto"/>
              <w:bottom w:val="single" w:sz="4" w:space="0" w:color="auto"/>
              <w:right w:val="single" w:sz="4" w:space="0" w:color="auto"/>
            </w:tcBorders>
          </w:tcPr>
          <w:p w14:paraId="4A1FA41D" w14:textId="77777777" w:rsidR="00510DB7" w:rsidRDefault="00000000">
            <w:pPr>
              <w:spacing w:beforeLines="50" w:before="120"/>
              <w:rPr>
                <w:kern w:val="2"/>
                <w:lang w:eastAsia="zh-CN"/>
              </w:rPr>
            </w:pPr>
            <w:r>
              <w:rPr>
                <w:rFonts w:hint="eastAsia"/>
                <w:b/>
                <w:bCs/>
                <w:kern w:val="2"/>
                <w:lang w:eastAsia="zh-CN"/>
              </w:rPr>
              <w:t xml:space="preserve">ZTE, </w:t>
            </w:r>
            <w:proofErr w:type="spellStart"/>
            <w:r>
              <w:rPr>
                <w:rFonts w:hint="eastAsia"/>
                <w:b/>
                <w:bCs/>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3AE7DC1B" w14:textId="77777777" w:rsidR="00510DB7" w:rsidRDefault="00000000">
            <w:pPr>
              <w:rPr>
                <w:b/>
                <w:bCs/>
                <w:lang w:eastAsia="zh-CN"/>
              </w:rPr>
            </w:pPr>
            <w:r>
              <w:rPr>
                <w:rFonts w:hint="eastAsia"/>
                <w:b/>
                <w:bCs/>
                <w:lang w:eastAsia="zh-CN"/>
              </w:rPr>
              <w:t>Comment 1:</w:t>
            </w:r>
          </w:p>
          <w:p w14:paraId="6BF3BD0A" w14:textId="77777777" w:rsidR="00510DB7" w:rsidRDefault="00000000">
            <w:pPr>
              <w:rPr>
                <w:lang w:eastAsia="zh-CN"/>
              </w:rPr>
            </w:pPr>
            <w:bookmarkStart w:id="6" w:name="_Toc129874490"/>
            <w:bookmarkStart w:id="7" w:name="_Toc29326575"/>
            <w:bookmarkStart w:id="8" w:name="_Toc19798747"/>
            <w:bookmarkStart w:id="9" w:name="_Toc26467218"/>
            <w:bookmarkStart w:id="10" w:name="_Toc29327725"/>
            <w:bookmarkStart w:id="11" w:name="_Toc36046321"/>
            <w:bookmarkStart w:id="12" w:name="_Toc36046175"/>
            <w:bookmarkStart w:id="13" w:name="_Toc36045915"/>
            <w:bookmarkStart w:id="14" w:name="_Toc45209238"/>
            <w:bookmarkStart w:id="15" w:name="_Toc51852411"/>
            <w:r>
              <w:rPr>
                <w:rFonts w:hint="eastAsia"/>
                <w:lang w:eastAsia="zh-CN"/>
              </w:rPr>
              <w:t xml:space="preserve">The changes to </w:t>
            </w:r>
            <w:r>
              <w:rPr>
                <w:rFonts w:hint="eastAsia"/>
                <w:u w:val="single"/>
                <w:lang w:eastAsia="zh-CN"/>
              </w:rPr>
              <w:t>section 6.3.2.4.1</w:t>
            </w:r>
            <w:r>
              <w:rPr>
                <w:rFonts w:hint="eastAsia"/>
                <w:lang w:eastAsia="zh-CN"/>
              </w:rPr>
              <w:t xml:space="preserve"> </w:t>
            </w:r>
            <w:r>
              <w:rPr>
                <w:lang w:eastAsia="zh-CN"/>
              </w:rPr>
              <w:t>“</w:t>
            </w:r>
            <w:r>
              <w:rPr>
                <w:rFonts w:hint="eastAsia"/>
                <w:lang w:eastAsia="zh-CN"/>
              </w:rPr>
              <w:t>UCI encoded by Polar code</w:t>
            </w:r>
            <w:bookmarkEnd w:id="6"/>
            <w:bookmarkEnd w:id="7"/>
            <w:bookmarkEnd w:id="8"/>
            <w:bookmarkEnd w:id="9"/>
            <w:bookmarkEnd w:id="10"/>
            <w:bookmarkEnd w:id="11"/>
            <w:bookmarkEnd w:id="12"/>
            <w:bookmarkEnd w:id="13"/>
            <w:bookmarkEnd w:id="14"/>
            <w:bookmarkEnd w:id="15"/>
            <w:r>
              <w:rPr>
                <w:lang w:eastAsia="zh-CN"/>
              </w:rPr>
              <w:t>”</w:t>
            </w:r>
            <w:r>
              <w:rPr>
                <w:rFonts w:hint="eastAsia"/>
                <w:lang w:eastAsia="zh-CN"/>
              </w:rPr>
              <w:t xml:space="preserve"> seems not needed, because the maximum size of UTO-UCI is 8 bits based on the agreement. And for Uplink control information on PUSCH, when the payload of one UTO-UCI is less than 12 </w:t>
            </w:r>
            <w:proofErr w:type="gramStart"/>
            <w:r>
              <w:rPr>
                <w:rFonts w:hint="eastAsia"/>
                <w:lang w:eastAsia="zh-CN"/>
              </w:rPr>
              <w:t>bits,  Polar</w:t>
            </w:r>
            <w:proofErr w:type="gramEnd"/>
            <w:r>
              <w:rPr>
                <w:rFonts w:hint="eastAsia"/>
                <w:lang w:eastAsia="zh-CN"/>
              </w:rPr>
              <w:t xml:space="preserve"> coding doesn</w:t>
            </w:r>
            <w:r>
              <w:rPr>
                <w:lang w:eastAsia="zh-CN"/>
              </w:rPr>
              <w:t>’</w:t>
            </w:r>
            <w:r>
              <w:rPr>
                <w:rFonts w:hint="eastAsia"/>
                <w:lang w:eastAsia="zh-CN"/>
              </w:rPr>
              <w:t>t apply.</w:t>
            </w:r>
          </w:p>
          <w:tbl>
            <w:tblPr>
              <w:tblStyle w:val="TableGrid"/>
              <w:tblW w:w="0" w:type="auto"/>
              <w:tblLook w:val="04A0" w:firstRow="1" w:lastRow="0" w:firstColumn="1" w:lastColumn="0" w:noHBand="0" w:noVBand="1"/>
            </w:tblPr>
            <w:tblGrid>
              <w:gridCol w:w="6968"/>
            </w:tblGrid>
            <w:tr w:rsidR="00510DB7" w14:paraId="575ADDE1" w14:textId="77777777">
              <w:tc>
                <w:tcPr>
                  <w:tcW w:w="6978" w:type="dxa"/>
                </w:tcPr>
                <w:p w14:paraId="00A8228C" w14:textId="77777777" w:rsidR="00510DB7" w:rsidRDefault="00000000">
                  <w:pPr>
                    <w:pStyle w:val="Heading4"/>
                    <w:numPr>
                      <w:ilvl w:val="3"/>
                      <w:numId w:val="0"/>
                    </w:numPr>
                    <w:tabs>
                      <w:tab w:val="left" w:pos="432"/>
                      <w:tab w:val="left" w:pos="576"/>
                    </w:tabs>
                    <w:rPr>
                      <w:lang w:eastAsia="zh-CN"/>
                    </w:rPr>
                  </w:pPr>
                  <w:bookmarkStart w:id="16" w:name="_Toc26467211"/>
                  <w:bookmarkStart w:id="17" w:name="_Toc29326568"/>
                  <w:bookmarkStart w:id="18" w:name="_Toc29327718"/>
                  <w:bookmarkStart w:id="19" w:name="_Toc51852404"/>
                  <w:bookmarkStart w:id="20" w:name="_Toc36045908"/>
                  <w:bookmarkStart w:id="21" w:name="_Toc36046168"/>
                  <w:bookmarkStart w:id="22" w:name="_Toc45209231"/>
                  <w:bookmarkStart w:id="23" w:name="_Toc19798740"/>
                  <w:bookmarkStart w:id="24" w:name="_Toc90994087"/>
                  <w:bookmarkStart w:id="25" w:name="_Toc36046314"/>
                  <w:r>
                    <w:rPr>
                      <w:rFonts w:hint="eastAsia"/>
                      <w:lang w:eastAsia="zh-CN"/>
                    </w:rPr>
                    <w:t>6.3.2.2</w:t>
                  </w:r>
                  <w:r>
                    <w:rPr>
                      <w:rFonts w:hint="eastAsia"/>
                      <w:lang w:eastAsia="zh-CN"/>
                    </w:rPr>
                    <w:tab/>
                    <w:t>Code block segmentation and CRC attachment</w:t>
                  </w:r>
                </w:p>
                <w:p w14:paraId="4D41F65A" w14:textId="77777777" w:rsidR="00510DB7" w:rsidRDefault="00000000">
                  <w:pPr>
                    <w:rPr>
                      <w:lang w:eastAsia="zh-CN"/>
                    </w:rPr>
                  </w:pPr>
                  <w:r>
                    <w:rPr>
                      <w:rFonts w:hint="eastAsia"/>
                      <w:lang w:eastAsia="zh-CN"/>
                    </w:rPr>
                    <w:t xml:space="preserve">Denote the bits of the payload by </w:t>
                  </w:r>
                  <w:r>
                    <w:rPr>
                      <w:position w:val="-10"/>
                    </w:rPr>
                    <w:object w:dxaOrig="1760" w:dyaOrig="300" w14:anchorId="19285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15pt" o:ole="">
                        <v:imagedata r:id="rId12" o:title=""/>
                      </v:shape>
                      <o:OLEObject Type="Embed" ProgID="Equation.3" ShapeID="_x0000_i1025" DrawAspect="Content" ObjectID="_1755336286" r:id="rId13"/>
                    </w:object>
                  </w:r>
                  <w:r>
                    <w:rPr>
                      <w:rFonts w:hint="eastAsia"/>
                      <w:lang w:eastAsia="zh-CN"/>
                    </w:rPr>
                    <w:t xml:space="preserve">, where </w:t>
                  </w:r>
                  <w:r>
                    <w:rPr>
                      <w:position w:val="-4"/>
                    </w:rPr>
                    <w:object w:dxaOrig="260" w:dyaOrig="260" w14:anchorId="3ADDA456">
                      <v:shape id="_x0000_i1026" type="#_x0000_t75" style="width:13.15pt;height:13.15pt" o:ole="">
                        <v:imagedata r:id="rId14" o:title=""/>
                      </v:shape>
                      <o:OLEObject Type="Embed" ProgID="Equation.3" ShapeID="_x0000_i1026" DrawAspect="Content" ObjectID="_1755336287" r:id="rId15"/>
                    </w:object>
                  </w:r>
                  <w:r>
                    <w:t xml:space="preserve"> is the payload size</w:t>
                  </w:r>
                  <w:r>
                    <w:rPr>
                      <w:rFonts w:hint="eastAsia"/>
                      <w:lang w:eastAsia="zh-CN"/>
                    </w:rPr>
                    <w:t xml:space="preserve">. The procedure in </w:t>
                  </w:r>
                  <w:r>
                    <w:rPr>
                      <w:rFonts w:hint="eastAsia"/>
                      <w:highlight w:val="yellow"/>
                      <w:lang w:eastAsia="zh-CN"/>
                    </w:rPr>
                    <w:t xml:space="preserve">6.3.2.2.1 applies for </w:t>
                  </w:r>
                  <w:r>
                    <w:rPr>
                      <w:position w:val="-4"/>
                      <w:highlight w:val="yellow"/>
                    </w:rPr>
                    <w:object w:dxaOrig="660" w:dyaOrig="260" w14:anchorId="63F639C7">
                      <v:shape id="_x0000_i1027" type="#_x0000_t75" style="width:33pt;height:13.15pt" o:ole="">
                        <v:imagedata r:id="rId16" o:title=""/>
                      </v:shape>
                      <o:OLEObject Type="Embed" ProgID="Equation.3" ShapeID="_x0000_i1027" DrawAspect="Content" ObjectID="_1755336288" r:id="rId17"/>
                    </w:object>
                  </w:r>
                  <w:r>
                    <w:rPr>
                      <w:rFonts w:hint="eastAsia"/>
                      <w:lang w:eastAsia="zh-CN"/>
                    </w:rPr>
                    <w:t xml:space="preserve"> and the procedure in </w:t>
                  </w:r>
                  <w:r>
                    <w:rPr>
                      <w:rFonts w:hint="eastAsia"/>
                      <w:highlight w:val="yellow"/>
                      <w:lang w:eastAsia="zh-CN"/>
                    </w:rPr>
                    <w:t xml:space="preserve">Clause 6.3.2.2.2 applies for </w:t>
                  </w:r>
                  <w:r>
                    <w:rPr>
                      <w:position w:val="-4"/>
                      <w:highlight w:val="yellow"/>
                    </w:rPr>
                    <w:object w:dxaOrig="630" w:dyaOrig="260" w14:anchorId="78136C85">
                      <v:shape id="_x0000_i1028" type="#_x0000_t75" style="width:31.5pt;height:13.15pt" o:ole="">
                        <v:imagedata r:id="rId18" o:title=""/>
                      </v:shape>
                      <o:OLEObject Type="Embed" ProgID="Equation.3" ShapeID="_x0000_i1028" DrawAspect="Content" ObjectID="_1755336289" r:id="rId19"/>
                    </w:object>
                  </w:r>
                  <w:r>
                    <w:rPr>
                      <w:rFonts w:eastAsia="Times New Roman"/>
                      <w:highlight w:val="yellow"/>
                    </w:rPr>
                    <w:t>.</w:t>
                  </w:r>
                  <w:r>
                    <w:rPr>
                      <w:rFonts w:hint="eastAsia"/>
                      <w:lang w:eastAsia="zh-CN"/>
                    </w:rPr>
                    <w:t xml:space="preserve"> </w:t>
                  </w:r>
                </w:p>
                <w:p w14:paraId="7694BBF3" w14:textId="77777777" w:rsidR="00510DB7" w:rsidRDefault="00000000">
                  <w:pPr>
                    <w:pStyle w:val="Heading5"/>
                    <w:numPr>
                      <w:ilvl w:val="4"/>
                      <w:numId w:val="0"/>
                    </w:numPr>
                    <w:tabs>
                      <w:tab w:val="left" w:pos="432"/>
                      <w:tab w:val="left" w:pos="576"/>
                      <w:tab w:val="left" w:pos="864"/>
                    </w:tabs>
                    <w:rPr>
                      <w:lang w:eastAsia="zh-CN"/>
                    </w:rPr>
                  </w:pPr>
                  <w:bookmarkStart w:id="26" w:name="_Toc26467212"/>
                  <w:bookmarkStart w:id="27" w:name="_Toc51852405"/>
                  <w:bookmarkStart w:id="28" w:name="_Toc19798741"/>
                  <w:bookmarkStart w:id="29" w:name="_Toc36046315"/>
                  <w:bookmarkStart w:id="30" w:name="_Toc36046169"/>
                  <w:bookmarkStart w:id="31" w:name="_Toc29327719"/>
                  <w:bookmarkStart w:id="32" w:name="_Toc45209232"/>
                  <w:bookmarkStart w:id="33" w:name="_Toc90994088"/>
                  <w:bookmarkStart w:id="34" w:name="_Toc36045909"/>
                  <w:bookmarkStart w:id="35" w:name="_Toc29326569"/>
                  <w:r>
                    <w:rPr>
                      <w:rFonts w:hint="eastAsia"/>
                      <w:lang w:eastAsia="zh-CN"/>
                    </w:rPr>
                    <w:t>6.3.2.2.1</w:t>
                  </w:r>
                  <w:r>
                    <w:rPr>
                      <w:rFonts w:hint="eastAsia"/>
                      <w:lang w:eastAsia="zh-CN"/>
                    </w:rPr>
                    <w:tab/>
                    <w:t>UCI encoded by Polar code</w:t>
                  </w:r>
                  <w:bookmarkEnd w:id="26"/>
                  <w:bookmarkEnd w:id="27"/>
                  <w:bookmarkEnd w:id="28"/>
                  <w:bookmarkEnd w:id="29"/>
                  <w:bookmarkEnd w:id="30"/>
                  <w:bookmarkEnd w:id="31"/>
                  <w:bookmarkEnd w:id="32"/>
                  <w:bookmarkEnd w:id="33"/>
                  <w:bookmarkEnd w:id="34"/>
                  <w:bookmarkEnd w:id="35"/>
                </w:p>
                <w:p w14:paraId="42FB5C1A" w14:textId="77777777" w:rsidR="00510DB7" w:rsidRDefault="00000000">
                  <w:pPr>
                    <w:rPr>
                      <w:lang w:eastAsia="zh-CN"/>
                    </w:rPr>
                  </w:pPr>
                  <w:r>
                    <w:rPr>
                      <w:rFonts w:hint="eastAsia"/>
                      <w:lang w:eastAsia="zh-CN"/>
                    </w:rPr>
                    <w:t xml:space="preserve">Code block segmentation and CRC attachment is performed according to </w:t>
                  </w:r>
                  <w:r>
                    <w:rPr>
                      <w:rFonts w:hint="eastAsia"/>
                      <w:highlight w:val="yellow"/>
                      <w:lang w:eastAsia="zh-CN"/>
                    </w:rPr>
                    <w:t xml:space="preserve">Clause 6.3.1.2.1. </w:t>
                  </w:r>
                </w:p>
                <w:p w14:paraId="400930FB" w14:textId="77777777" w:rsidR="00510DB7" w:rsidRDefault="00000000">
                  <w:pPr>
                    <w:pStyle w:val="Heading5"/>
                    <w:numPr>
                      <w:ilvl w:val="4"/>
                      <w:numId w:val="0"/>
                    </w:numPr>
                    <w:tabs>
                      <w:tab w:val="left" w:pos="432"/>
                      <w:tab w:val="left" w:pos="576"/>
                      <w:tab w:val="left" w:pos="864"/>
                    </w:tabs>
                    <w:rPr>
                      <w:lang w:eastAsia="zh-CN"/>
                    </w:rPr>
                  </w:pPr>
                  <w:bookmarkStart w:id="36" w:name="_Toc90994089"/>
                  <w:bookmarkStart w:id="37" w:name="_Toc26467213"/>
                  <w:bookmarkStart w:id="38" w:name="_Toc29326570"/>
                  <w:bookmarkStart w:id="39" w:name="_Toc36046316"/>
                  <w:bookmarkStart w:id="40" w:name="_Toc19798742"/>
                  <w:bookmarkStart w:id="41" w:name="_Toc45209233"/>
                  <w:bookmarkStart w:id="42" w:name="_Toc36045910"/>
                  <w:bookmarkStart w:id="43" w:name="_Toc29327720"/>
                  <w:bookmarkStart w:id="44" w:name="_Toc36046170"/>
                  <w:bookmarkStart w:id="45" w:name="_Toc51852406"/>
                  <w:r>
                    <w:rPr>
                      <w:rFonts w:hint="eastAsia"/>
                      <w:lang w:eastAsia="zh-CN"/>
                    </w:rPr>
                    <w:t>6.3.2.2.2</w:t>
                  </w:r>
                  <w:r>
                    <w:rPr>
                      <w:rFonts w:hint="eastAsia"/>
                      <w:lang w:eastAsia="zh-CN"/>
                    </w:rPr>
                    <w:tab/>
                    <w:t>UCI encoded by channel coding of small block lengths</w:t>
                  </w:r>
                  <w:bookmarkEnd w:id="36"/>
                  <w:bookmarkEnd w:id="37"/>
                  <w:bookmarkEnd w:id="38"/>
                  <w:bookmarkEnd w:id="39"/>
                  <w:bookmarkEnd w:id="40"/>
                  <w:bookmarkEnd w:id="41"/>
                  <w:bookmarkEnd w:id="42"/>
                  <w:bookmarkEnd w:id="43"/>
                  <w:bookmarkEnd w:id="44"/>
                  <w:bookmarkEnd w:id="45"/>
                </w:p>
                <w:p w14:paraId="3BA8D75D" w14:textId="77777777" w:rsidR="00510DB7" w:rsidRDefault="00000000">
                  <w:pPr>
                    <w:rPr>
                      <w:lang w:eastAsia="zh-CN"/>
                    </w:rPr>
                  </w:pPr>
                  <w:r>
                    <w:rPr>
                      <w:rFonts w:hint="eastAsia"/>
                      <w:lang w:eastAsia="zh-CN"/>
                    </w:rPr>
                    <w:t>The procedure in Clause 6.3.1.2.2 applies.</w:t>
                  </w:r>
                </w:p>
              </w:tc>
            </w:tr>
            <w:bookmarkEnd w:id="16"/>
            <w:bookmarkEnd w:id="17"/>
            <w:bookmarkEnd w:id="18"/>
            <w:bookmarkEnd w:id="19"/>
            <w:bookmarkEnd w:id="20"/>
            <w:bookmarkEnd w:id="21"/>
            <w:bookmarkEnd w:id="22"/>
            <w:bookmarkEnd w:id="23"/>
            <w:bookmarkEnd w:id="24"/>
            <w:bookmarkEnd w:id="25"/>
          </w:tbl>
          <w:p w14:paraId="53FEEB6F" w14:textId="77777777" w:rsidR="00510DB7" w:rsidRDefault="00510DB7">
            <w:pPr>
              <w:spacing w:beforeLines="50" w:before="120"/>
              <w:rPr>
                <w:rFonts w:ascii="Arial" w:hAnsi="Arial"/>
                <w:lang w:eastAsia="zh-CN"/>
              </w:rPr>
            </w:pPr>
          </w:p>
          <w:tbl>
            <w:tblPr>
              <w:tblStyle w:val="TableGrid"/>
              <w:tblW w:w="0" w:type="auto"/>
              <w:tblLook w:val="04A0" w:firstRow="1" w:lastRow="0" w:firstColumn="1" w:lastColumn="0" w:noHBand="0" w:noVBand="1"/>
            </w:tblPr>
            <w:tblGrid>
              <w:gridCol w:w="6968"/>
            </w:tblGrid>
            <w:tr w:rsidR="00510DB7" w14:paraId="0D39574B" w14:textId="77777777" w:rsidTr="007F147D">
              <w:tc>
                <w:tcPr>
                  <w:tcW w:w="6968" w:type="dxa"/>
                </w:tcPr>
                <w:p w14:paraId="759AF456" w14:textId="77777777" w:rsidR="00510DB7" w:rsidRDefault="00000000">
                  <w:pPr>
                    <w:rPr>
                      <w:rFonts w:cs="Times"/>
                      <w:b/>
                      <w:bCs/>
                      <w:szCs w:val="20"/>
                      <w:highlight w:val="green"/>
                    </w:rPr>
                  </w:pPr>
                  <w:r>
                    <w:rPr>
                      <w:rFonts w:cs="Times"/>
                      <w:b/>
                      <w:bCs/>
                      <w:szCs w:val="20"/>
                      <w:highlight w:val="green"/>
                    </w:rPr>
                    <w:t>Agreement</w:t>
                  </w:r>
                </w:p>
                <w:p w14:paraId="549C807A" w14:textId="77777777" w:rsidR="00510DB7" w:rsidRDefault="00000000">
                  <w:pPr>
                    <w:rPr>
                      <w:rFonts w:cs="Times"/>
                      <w:szCs w:val="20"/>
                      <w:lang w:eastAsia="ja-JP"/>
                    </w:rPr>
                  </w:pPr>
                  <w:r>
                    <w:rPr>
                      <w:rFonts w:cs="Times"/>
                      <w:szCs w:val="20"/>
                      <w:lang w:eastAsia="ja-JP"/>
                    </w:rPr>
                    <w:lastRenderedPageBreak/>
                    <w:t>For a CG configuration with UTO-UCI indication enabled:</w:t>
                  </w:r>
                </w:p>
                <w:p w14:paraId="0BDE7007" w14:textId="77777777" w:rsidR="00510DB7" w:rsidRPr="005E6DE2" w:rsidRDefault="00000000">
                  <w:pPr>
                    <w:numPr>
                      <w:ilvl w:val="0"/>
                      <w:numId w:val="13"/>
                    </w:numPr>
                    <w:rPr>
                      <w:kern w:val="2"/>
                      <w:lang w:eastAsia="zh-CN"/>
                    </w:rPr>
                  </w:pPr>
                  <w:r>
                    <w:rPr>
                      <w:rFonts w:cs="Times"/>
                      <w:szCs w:val="20"/>
                      <w:lang w:eastAsia="ja-JP"/>
                    </w:rPr>
                    <w:t xml:space="preserve">For the range value for the RRC parameter Nu (Nu is the size of bit-map): (3, …, </w:t>
                  </w:r>
                  <w:r>
                    <w:rPr>
                      <w:rFonts w:cs="Times"/>
                      <w:szCs w:val="20"/>
                      <w:highlight w:val="yellow"/>
                      <w:lang w:eastAsia="ja-JP"/>
                    </w:rPr>
                    <w:t>8</w:t>
                  </w:r>
                  <w:r>
                    <w:rPr>
                      <w:rFonts w:cs="Times"/>
                      <w:szCs w:val="20"/>
                      <w:lang w:eastAsia="ja-JP"/>
                    </w:rPr>
                    <w:t>)</w:t>
                  </w:r>
                </w:p>
                <w:p w14:paraId="12F99E44" w14:textId="77777777" w:rsidR="005E6DE2" w:rsidRDefault="005E6DE2" w:rsidP="005E6DE2">
                  <w:pPr>
                    <w:tabs>
                      <w:tab w:val="left" w:pos="720"/>
                    </w:tabs>
                    <w:rPr>
                      <w:kern w:val="2"/>
                      <w:lang w:eastAsia="zh-CN"/>
                    </w:rPr>
                  </w:pPr>
                </w:p>
              </w:tc>
            </w:tr>
          </w:tbl>
          <w:p w14:paraId="6BD6A1C0" w14:textId="77777777" w:rsidR="00510DB7" w:rsidRDefault="00510DB7">
            <w:pPr>
              <w:spacing w:beforeLines="50" w:before="120"/>
              <w:rPr>
                <w:kern w:val="2"/>
                <w:lang w:eastAsia="zh-CN"/>
              </w:rPr>
            </w:pPr>
          </w:p>
        </w:tc>
      </w:tr>
      <w:tr w:rsidR="007F147D" w14:paraId="75A18E10" w14:textId="77777777">
        <w:tc>
          <w:tcPr>
            <w:tcW w:w="2113" w:type="dxa"/>
            <w:tcBorders>
              <w:top w:val="single" w:sz="4" w:space="0" w:color="auto"/>
              <w:left w:val="single" w:sz="4" w:space="0" w:color="auto"/>
              <w:bottom w:val="single" w:sz="4" w:space="0" w:color="auto"/>
              <w:right w:val="single" w:sz="4" w:space="0" w:color="auto"/>
            </w:tcBorders>
          </w:tcPr>
          <w:p w14:paraId="5ABF5BE7" w14:textId="1D9F8980" w:rsidR="007F147D" w:rsidRDefault="007F147D">
            <w:pPr>
              <w:spacing w:beforeLines="50" w:before="120"/>
              <w:rPr>
                <w:rFonts w:hint="eastAsia"/>
                <w:b/>
                <w:bCs/>
                <w:kern w:val="2"/>
                <w:lang w:eastAsia="zh-CN"/>
              </w:rPr>
            </w:pPr>
            <w:r>
              <w:rPr>
                <w:b/>
                <w:b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2A0B7A4" w14:textId="1A5A8ACA" w:rsidR="005E6DE2" w:rsidRDefault="005E6DE2" w:rsidP="005E6DE2">
            <w:r>
              <w:t xml:space="preserve">Thank you for the draft </w:t>
            </w:r>
            <w:proofErr w:type="gramStart"/>
            <w:r>
              <w:t>CR.</w:t>
            </w:r>
            <w:proofErr w:type="gramEnd"/>
            <w:r>
              <w:t xml:space="preserve"> Comments from Samsung are as follows.</w:t>
            </w:r>
          </w:p>
          <w:p w14:paraId="61A09FDD" w14:textId="2EAE01A2" w:rsidR="005E6DE2" w:rsidRDefault="005E6DE2" w:rsidP="005E6DE2">
            <w:pPr>
              <w:spacing w:beforeLines="50" w:before="120"/>
              <w:rPr>
                <w:lang w:eastAsia="zh-CN"/>
              </w:rPr>
            </w:pPr>
            <w:r>
              <w:rPr>
                <w:lang w:eastAsia="zh-CN"/>
              </w:rPr>
              <w:t xml:space="preserve">We think the approach used in Clause 6.3.2.1.5 </w:t>
            </w:r>
            <w:r>
              <w:rPr>
                <w:kern w:val="2"/>
                <w:lang w:eastAsia="zh-CN"/>
              </w:rPr>
              <w:t xml:space="preserve">(and in other clauses, </w:t>
            </w:r>
            <w:proofErr w:type="gramStart"/>
            <w:r>
              <w:rPr>
                <w:kern w:val="2"/>
                <w:lang w:eastAsia="zh-CN"/>
              </w:rPr>
              <w:t>e.g.</w:t>
            </w:r>
            <w:proofErr w:type="gramEnd"/>
            <w:r>
              <w:rPr>
                <w:kern w:val="2"/>
                <w:lang w:eastAsia="zh-CN"/>
              </w:rPr>
              <w:t xml:space="preserve"> 6.3.2.7) </w:t>
            </w:r>
            <w:r>
              <w:rPr>
                <w:kern w:val="2"/>
                <w:lang w:eastAsia="zh-CN"/>
              </w:rPr>
              <w:t>is cleaner and easier for the reader to follow than the</w:t>
            </w:r>
            <w:r>
              <w:rPr>
                <w:lang w:eastAsia="zh-CN"/>
              </w:rPr>
              <w:t xml:space="preserve"> duplication of a large amount of text in </w:t>
            </w:r>
            <w:r>
              <w:rPr>
                <w:kern w:val="2"/>
                <w:lang w:eastAsia="zh-CN"/>
              </w:rPr>
              <w:t xml:space="preserve">Clauses </w:t>
            </w:r>
            <w:r w:rsidRPr="00966957">
              <w:rPr>
                <w:lang w:eastAsia="zh-CN"/>
              </w:rPr>
              <w:t>6.3.2.4.1.2</w:t>
            </w:r>
            <w:r>
              <w:rPr>
                <w:lang w:eastAsia="zh-CN"/>
              </w:rPr>
              <w:t>,</w:t>
            </w:r>
            <w:r w:rsidRPr="00966957">
              <w:rPr>
                <w:lang w:eastAsia="zh-CN"/>
              </w:rPr>
              <w:t xml:space="preserve"> </w:t>
            </w:r>
            <w:r w:rsidRPr="00F76DDD">
              <w:rPr>
                <w:lang w:eastAsia="zh-CN"/>
              </w:rPr>
              <w:t>6.3.2.4.1.3, and 6.3.2.4.1.5</w:t>
            </w:r>
            <w:r>
              <w:rPr>
                <w:lang w:eastAsia="zh-CN"/>
              </w:rPr>
              <w:t>. It would be nice</w:t>
            </w:r>
            <w:r w:rsidR="00CE05F7">
              <w:rPr>
                <w:lang w:eastAsia="zh-CN"/>
              </w:rPr>
              <w:t>r</w:t>
            </w:r>
            <w:r>
              <w:rPr>
                <w:lang w:eastAsia="zh-CN"/>
              </w:rPr>
              <w:t xml:space="preserve"> </w:t>
            </w:r>
            <w:r w:rsidR="00CE05F7">
              <w:rPr>
                <w:lang w:eastAsia="zh-CN"/>
              </w:rPr>
              <w:t>to have</w:t>
            </w:r>
            <w:r>
              <w:rPr>
                <w:lang w:eastAsia="zh-CN"/>
              </w:rPr>
              <w:t xml:space="preserve"> a unif</w:t>
            </w:r>
            <w:r w:rsidR="00CE05F7">
              <w:rPr>
                <w:lang w:eastAsia="zh-CN"/>
              </w:rPr>
              <w:t>orm</w:t>
            </w:r>
            <w:r>
              <w:rPr>
                <w:lang w:eastAsia="zh-CN"/>
              </w:rPr>
              <w:t xml:space="preserve"> approach</w:t>
            </w:r>
            <w:r w:rsidR="00CE05F7">
              <w:rPr>
                <w:lang w:eastAsia="zh-CN"/>
              </w:rPr>
              <w:t>.</w:t>
            </w:r>
            <w:r>
              <w:rPr>
                <w:lang w:eastAsia="zh-CN"/>
              </w:rPr>
              <w:t xml:space="preserve"> </w:t>
            </w:r>
            <w:r w:rsidR="00CE05F7">
              <w:rPr>
                <w:lang w:eastAsia="zh-CN"/>
              </w:rPr>
              <w:t>I</w:t>
            </w:r>
            <w:r>
              <w:rPr>
                <w:lang w:eastAsia="zh-CN"/>
              </w:rPr>
              <w:t xml:space="preserve">t can just be stated that CG-UCI (and respective notation) can be replaced by UTO-UCI (and respective notation). </w:t>
            </w:r>
          </w:p>
          <w:p w14:paraId="527C6D17" w14:textId="0E6EE2F1" w:rsidR="005E6DE2" w:rsidRDefault="005E6DE2" w:rsidP="005E6DE2">
            <w:pPr>
              <w:spacing w:beforeLines="50" w:before="120"/>
              <w:rPr>
                <w:rFonts w:ascii="Arial" w:hAnsi="Arial"/>
                <w:lang w:eastAsia="zh-CN"/>
              </w:rPr>
            </w:pPr>
            <w:r>
              <w:rPr>
                <w:kern w:val="2"/>
                <w:lang w:eastAsia="zh-CN"/>
              </w:rPr>
              <w:t xml:space="preserve">Similarly, there is </w:t>
            </w:r>
            <w:r w:rsidRPr="00966957">
              <w:rPr>
                <w:kern w:val="2"/>
                <w:lang w:eastAsia="zh-CN"/>
              </w:rPr>
              <w:t xml:space="preserve">no need </w:t>
            </w:r>
            <w:r w:rsidRPr="00F76DDD">
              <w:rPr>
                <w:kern w:val="2"/>
                <w:lang w:eastAsia="zh-CN"/>
              </w:rPr>
              <w:t xml:space="preserve">for new clauses </w:t>
            </w:r>
            <w:r w:rsidRPr="00F76DDD">
              <w:rPr>
                <w:lang w:eastAsia="zh-CN"/>
              </w:rPr>
              <w:t>6.3.2.4.1.4a 6.3.2.4.2.4A</w:t>
            </w:r>
            <w:r>
              <w:rPr>
                <w:lang w:eastAsia="zh-CN"/>
              </w:rPr>
              <w:t xml:space="preserve"> </w:t>
            </w:r>
            <w:r w:rsidRPr="00F76DDD">
              <w:rPr>
                <w:lang w:eastAsia="zh-CN"/>
              </w:rPr>
              <w:t>– clause</w:t>
            </w:r>
            <w:r>
              <w:rPr>
                <w:lang w:eastAsia="zh-CN"/>
              </w:rPr>
              <w:t>s</w:t>
            </w:r>
            <w:r w:rsidRPr="00F76DDD">
              <w:rPr>
                <w:lang w:eastAsia="zh-CN"/>
              </w:rPr>
              <w:t xml:space="preserve"> 6.3.2.4.1.4 and 6.3.2.4.2.4 can be</w:t>
            </w:r>
            <w:r>
              <w:rPr>
                <w:lang w:eastAsia="zh-CN"/>
              </w:rPr>
              <w:t xml:space="preserve"> used based on a statement similar to that in clause 6.3.2.1.5.</w:t>
            </w:r>
            <w:r>
              <w:rPr>
                <w:rFonts w:ascii="Arial" w:hAnsi="Arial"/>
                <w:lang w:eastAsia="zh-CN"/>
              </w:rPr>
              <w:t xml:space="preserve"> </w:t>
            </w:r>
          </w:p>
          <w:p w14:paraId="7A359BA9" w14:textId="0A71F1DC" w:rsidR="007F147D" w:rsidRDefault="005E6DE2" w:rsidP="005E6DE2">
            <w:pPr>
              <w:rPr>
                <w:rFonts w:hint="eastAsia"/>
                <w:b/>
                <w:bCs/>
                <w:lang w:eastAsia="zh-CN"/>
              </w:rPr>
            </w:pPr>
            <w:r w:rsidRPr="00F76DDD">
              <w:rPr>
                <w:kern w:val="2"/>
                <w:lang w:eastAsia="zh-CN"/>
              </w:rPr>
              <w:t xml:space="preserve">For Clause </w:t>
            </w:r>
            <w:r w:rsidRPr="00F76DDD">
              <w:rPr>
                <w:lang w:eastAsia="zh-CN"/>
              </w:rPr>
              <w:t xml:space="preserve">6.3.2.4.2.5, </w:t>
            </w:r>
            <w:r>
              <w:rPr>
                <w:lang w:eastAsia="zh-CN"/>
              </w:rPr>
              <w:t>it would be clearer to say “</w:t>
            </w:r>
            <w:r w:rsidRPr="00A16CEB">
              <w:rPr>
                <w:lang w:eastAsia="zh-CN"/>
              </w:rPr>
              <w:t>F</w:t>
            </w:r>
            <w:r w:rsidRPr="00A16CEB">
              <w:rPr>
                <w:rFonts w:hint="eastAsia"/>
                <w:lang w:eastAsia="zh-CN"/>
              </w:rPr>
              <w:t xml:space="preserve">or HARQ-ACK </w:t>
            </w:r>
            <w:r w:rsidRPr="00A16CEB">
              <w:rPr>
                <w:lang w:eastAsia="zh-CN"/>
              </w:rPr>
              <w:t xml:space="preserve">and CG-UCI </w:t>
            </w:r>
            <w:r w:rsidRPr="00A16CEB">
              <w:rPr>
                <w:rFonts w:hint="eastAsia"/>
                <w:lang w:eastAsia="zh-CN"/>
              </w:rPr>
              <w:t>transmission</w:t>
            </w:r>
            <w:r>
              <w:rPr>
                <w:lang w:eastAsia="zh-CN"/>
              </w:rPr>
              <w:t xml:space="preserve">, or for </w:t>
            </w:r>
            <w:r w:rsidRPr="00A16CEB">
              <w:rPr>
                <w:rFonts w:hint="eastAsia"/>
                <w:lang w:eastAsia="zh-CN"/>
              </w:rPr>
              <w:t xml:space="preserve">HARQ-ACK </w:t>
            </w:r>
            <w:r w:rsidRPr="00A16CEB">
              <w:rPr>
                <w:lang w:eastAsia="zh-CN"/>
              </w:rPr>
              <w:t xml:space="preserve">and </w:t>
            </w:r>
            <w:r>
              <w:rPr>
                <w:lang w:eastAsia="zh-CN"/>
              </w:rPr>
              <w:t>UTO</w:t>
            </w:r>
            <w:r w:rsidRPr="00A16CEB">
              <w:rPr>
                <w:lang w:eastAsia="zh-CN"/>
              </w:rPr>
              <w:t xml:space="preserve">-UCI </w:t>
            </w:r>
            <w:r w:rsidRPr="00A16CEB">
              <w:rPr>
                <w:rFonts w:hint="eastAsia"/>
                <w:lang w:eastAsia="zh-CN"/>
              </w:rPr>
              <w:t>transmission</w:t>
            </w:r>
            <w:r>
              <w:rPr>
                <w:lang w:eastAsia="zh-CN"/>
              </w:rPr>
              <w:t>” instead of “</w:t>
            </w:r>
            <w:r w:rsidRPr="00A16CEB">
              <w:rPr>
                <w:lang w:eastAsia="zh-CN"/>
              </w:rPr>
              <w:t>F</w:t>
            </w:r>
            <w:r w:rsidRPr="00A16CEB">
              <w:rPr>
                <w:rFonts w:hint="eastAsia"/>
                <w:lang w:eastAsia="zh-CN"/>
              </w:rPr>
              <w:t xml:space="preserve">or HARQ-ACK </w:t>
            </w:r>
            <w:r w:rsidRPr="00A16CEB">
              <w:rPr>
                <w:lang w:eastAsia="zh-CN"/>
              </w:rPr>
              <w:t>and CG-UCI</w:t>
            </w:r>
            <w:r>
              <w:rPr>
                <w:lang w:eastAsia="zh-CN"/>
              </w:rPr>
              <w:t>/</w:t>
            </w:r>
            <w:r w:rsidRPr="00A16CEB">
              <w:rPr>
                <w:lang w:eastAsia="zh-CN"/>
              </w:rPr>
              <w:t xml:space="preserve">UTO-UCI </w:t>
            </w:r>
            <w:r w:rsidRPr="00A16CEB">
              <w:rPr>
                <w:rFonts w:hint="eastAsia"/>
                <w:lang w:eastAsia="zh-CN"/>
              </w:rPr>
              <w:t>transmission</w:t>
            </w:r>
            <w:r>
              <w:rPr>
                <w:lang w:eastAsia="zh-CN"/>
              </w:rPr>
              <w:t>” as the meaning of “</w:t>
            </w:r>
            <w:r w:rsidRPr="00A16CEB">
              <w:rPr>
                <w:lang w:eastAsia="zh-CN"/>
              </w:rPr>
              <w:t>CG-UCI</w:t>
            </w:r>
            <w:r>
              <w:rPr>
                <w:lang w:eastAsia="zh-CN"/>
              </w:rPr>
              <w:t>/</w:t>
            </w:r>
            <w:r w:rsidRPr="00A16CEB">
              <w:rPr>
                <w:lang w:eastAsia="zh-CN"/>
              </w:rPr>
              <w:t>UTO-UCI</w:t>
            </w:r>
            <w:r>
              <w:rPr>
                <w:lang w:eastAsia="zh-CN"/>
              </w:rPr>
              <w:t>” is undefined.</w:t>
            </w:r>
          </w:p>
        </w:tc>
      </w:tr>
    </w:tbl>
    <w:bookmarkEnd w:id="2"/>
    <w:bookmarkEnd w:id="3"/>
    <w:bookmarkEnd w:id="4"/>
    <w:bookmarkEnd w:id="5"/>
    <w:p w14:paraId="675471FB" w14:textId="77777777" w:rsidR="00510DB7" w:rsidRDefault="00000000">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2DA599D4" w14:textId="77777777" w:rsidR="00510DB7" w:rsidRDefault="00000000">
      <w:pPr>
        <w:spacing w:beforeLines="50" w:before="120"/>
        <w:rPr>
          <w:color w:val="FF0000"/>
          <w:lang w:eastAsia="zh-CN"/>
        </w:rPr>
      </w:pPr>
      <w:r>
        <w:rPr>
          <w:lang w:eastAsia="zh-CN"/>
        </w:rPr>
        <w:t xml:space="preserve">TBD </w:t>
      </w:r>
    </w:p>
    <w:p w14:paraId="450B2638" w14:textId="77777777" w:rsidR="00510DB7" w:rsidRDefault="00510DB7">
      <w:pPr>
        <w:rPr>
          <w:lang w:eastAsia="zh-CN"/>
        </w:rPr>
      </w:pPr>
    </w:p>
    <w:sectPr w:rsidR="00510DB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EB94" w14:textId="77777777" w:rsidR="0001459F" w:rsidRDefault="0001459F">
      <w:pPr>
        <w:spacing w:after="0"/>
      </w:pPr>
      <w:r>
        <w:separator/>
      </w:r>
    </w:p>
  </w:endnote>
  <w:endnote w:type="continuationSeparator" w:id="0">
    <w:p w14:paraId="19008F1F" w14:textId="77777777" w:rsidR="0001459F" w:rsidRDefault="00014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F491" w14:textId="77777777" w:rsidR="0001459F" w:rsidRDefault="0001459F">
      <w:pPr>
        <w:spacing w:after="0"/>
      </w:pPr>
      <w:r>
        <w:separator/>
      </w:r>
    </w:p>
  </w:footnote>
  <w:footnote w:type="continuationSeparator" w:id="0">
    <w:p w14:paraId="750C36FF" w14:textId="77777777" w:rsidR="0001459F" w:rsidRDefault="00014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335034815">
    <w:abstractNumId w:val="4"/>
  </w:num>
  <w:num w:numId="2" w16cid:durableId="1716125884">
    <w:abstractNumId w:val="11"/>
  </w:num>
  <w:num w:numId="3" w16cid:durableId="107899660">
    <w:abstractNumId w:val="7"/>
  </w:num>
  <w:num w:numId="4" w16cid:durableId="113180716">
    <w:abstractNumId w:val="2"/>
  </w:num>
  <w:num w:numId="5" w16cid:durableId="1474906743">
    <w:abstractNumId w:val="5"/>
  </w:num>
  <w:num w:numId="6" w16cid:durableId="223832350">
    <w:abstractNumId w:val="10"/>
  </w:num>
  <w:num w:numId="7" w16cid:durableId="1034313004">
    <w:abstractNumId w:val="3"/>
  </w:num>
  <w:num w:numId="8" w16cid:durableId="2098747103">
    <w:abstractNumId w:val="8"/>
  </w:num>
  <w:num w:numId="9" w16cid:durableId="1468278068">
    <w:abstractNumId w:val="9"/>
  </w:num>
  <w:num w:numId="10" w16cid:durableId="1595701864">
    <w:abstractNumId w:val="12"/>
  </w:num>
  <w:num w:numId="11" w16cid:durableId="1693218681">
    <w:abstractNumId w:val="1"/>
  </w:num>
  <w:num w:numId="12" w16cid:durableId="7829268">
    <w:abstractNumId w:val="0"/>
  </w:num>
  <w:num w:numId="13" w16cid:durableId="65079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59F"/>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5E60"/>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009"/>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77E2F"/>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6971"/>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0DB7"/>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5F13"/>
    <w:rsid w:val="005E6DE2"/>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C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A37"/>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47D"/>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BC4"/>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4073"/>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48"/>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05F7"/>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37B"/>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6C"/>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909"/>
    <w:rsid w:val="00F15CCE"/>
    <w:rsid w:val="00F16186"/>
    <w:rsid w:val="00F16948"/>
    <w:rsid w:val="00F16BF2"/>
    <w:rsid w:val="00F17697"/>
    <w:rsid w:val="00F17EAE"/>
    <w:rsid w:val="00F20E26"/>
    <w:rsid w:val="00F218D4"/>
    <w:rsid w:val="00F21BE5"/>
    <w:rsid w:val="00F21C08"/>
    <w:rsid w:val="00F2250A"/>
    <w:rsid w:val="00F22949"/>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 w:val="58F1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69E499"/>
  <w15:docId w15:val="{68CD7E59-6E1A-457B-9448-7B959487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qFormat/>
    <w:pPr>
      <w:numPr>
        <w:ilvl w:val="2"/>
      </w:numPr>
      <w:tabs>
        <w:tab w:val="clear" w:pos="576"/>
      </w:tabs>
      <w:outlineLvl w:val="2"/>
    </w:pPr>
  </w:style>
  <w:style w:type="paragraph" w:styleId="Heading4">
    <w:name w:val="heading 4"/>
    <w:basedOn w:val="Heading3"/>
    <w:next w:val="Normal"/>
    <w:link w:val="Heading4Char"/>
    <w:qFormat/>
    <w:pPr>
      <w:numPr>
        <w:ilvl w:val="3"/>
      </w:numPr>
      <w:tabs>
        <w:tab w:val="clear" w:pos="864"/>
      </w:tabs>
      <w:ind w:left="720" w:hanging="720"/>
      <w:outlineLvl w:val="3"/>
    </w:pPr>
  </w:style>
  <w:style w:type="paragraph" w:styleId="Heading5">
    <w:name w:val="heading 5"/>
    <w:basedOn w:val="Heading4"/>
    <w:next w:val="Normal"/>
    <w:qFormat/>
    <w:pPr>
      <w:numPr>
        <w:ilvl w:val="4"/>
      </w:numPr>
      <w:tabs>
        <w:tab w:val="clear" w:pos="1008"/>
      </w:tabs>
      <w:ind w:left="720" w:hanging="720"/>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1DCB3-2E52-4679-B344-6984195E815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2643</Characters>
  <Application>Microsoft Office Word</Application>
  <DocSecurity>0</DocSecurity>
  <Lines>22</Lines>
  <Paragraphs>6</Paragraphs>
  <ScaleCrop>false</ScaleCrop>
  <Company>Huawei Technologies</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Aris Papasakellariou 2</cp:lastModifiedBy>
  <cp:revision>20</cp:revision>
  <cp:lastPrinted>2007-06-18T22:08:00Z</cp:lastPrinted>
  <dcterms:created xsi:type="dcterms:W3CDTF">2023-09-01T05:44:00Z</dcterms:created>
  <dcterms:modified xsi:type="dcterms:W3CDTF">2023-09-04T17:37:00Z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(3)/ap2GUsp3PE2XIRxx9sJnNrGlweQ+lJT55hOGBJQLrX23sr5YwKCymlrM7KgxhA6ma3/C/1m
ANCIgul64LLvlIRXoiGXSb6sK8fGuO1lN92z1iwZuai+3yvHPTo6zHu6iPVGQ57iob8XbfW5
gJhZjjHyI93DxkWfALc8OFZngpxEj7cgo17N1M34bCMdhCuMzJzYW9KU6sRkRWK6Lwzt4GG6
PVWfDqWUKIm+Xj4kfd</vt:lpwstr>
  </property>
  <property fmtid="{D5CDD505-2E9C-101B-9397-08002B2CF9AE}" pid="13" name="_2015_ms_pID_725343_00">
    <vt:lpwstr>_2015_ms_pID_725343</vt:lpwstr>
  </property>
  <property fmtid="{D5CDD505-2E9C-101B-9397-08002B2CF9AE}" pid="14" name="_2015_ms_pID_7253431">
    <vt:lpwstr>OBInTdNJn7QjvUKIkwzfg1gAAiu8Dp3KjfafkU8jEZP6ow1ranqIwV
+dB0/qGCPYDc2vqNgcgEpIoplPvwNbc2rHFUgG/aYY0PTwXq9smk0xCdsqfSLKCqXBtqhNLI
QORmJgjQDsvRGPUMlN6iiy2aywQG/yaCmIEjjUKJdykOh5PoWt6Ucg9edUvGvDqqGrlPaBMl
209m0+qXT3UB36H94mFoq3UIbCU/FyzaZhUf</vt:lpwstr>
  </property>
  <property fmtid="{D5CDD505-2E9C-101B-9397-08002B2CF9AE}" pid="15" name="_2015_ms_pID_7253431_00">
    <vt:lpwstr>_2015_ms_pID_7253431</vt:lpwstr>
  </property>
  <property fmtid="{D5CDD505-2E9C-101B-9397-08002B2CF9AE}" pid="16" name="_2015_ms_pID_7253432">
    <vt:lpwstr>/SjM25oPPoisANNyd501c1o9FPkItq7++gnR
ZOoB5SBasPeOtzGZkWUz3SOsxKcnzg==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y fmtid="{D5CDD505-2E9C-101B-9397-08002B2CF9AE}" pid="29" name="KSOProductBuildVer">
    <vt:lpwstr>2052-11.8.2.12085</vt:lpwstr>
  </property>
  <property fmtid="{D5CDD505-2E9C-101B-9397-08002B2CF9AE}" pid="30" name="ICV">
    <vt:lpwstr>3BAA74A86ED34EABB5676A2C2E2FE644</vt:lpwstr>
  </property>
</Properties>
</file>