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6F04DB85"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4D3476">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0A906C6F" w14:textId="77777777" w:rsidR="004D3476" w:rsidRPr="00BA3DA1" w:rsidRDefault="004D3476" w:rsidP="004D3476">
      <w:pPr>
        <w:pStyle w:val="CRCoverPage"/>
        <w:rPr>
          <w:rFonts w:cs="Arial"/>
          <w:b/>
          <w:bCs/>
          <w:sz w:val="24"/>
        </w:rPr>
      </w:pPr>
      <w:r w:rsidRPr="00BA3DA1">
        <w:rPr>
          <w:rFonts w:cs="Arial"/>
          <w:b/>
          <w:bCs/>
          <w:sz w:val="24"/>
        </w:rPr>
        <w:t>Toulouse</w:t>
      </w:r>
      <w:r w:rsidRPr="00BA3DA1">
        <w:rPr>
          <w:rFonts w:cs="Arial"/>
          <w:b/>
          <w:sz w:val="24"/>
        </w:rPr>
        <w:t>, France</w:t>
      </w:r>
      <w:r w:rsidRPr="00BA3DA1">
        <w:rPr>
          <w:rFonts w:cs="Arial"/>
          <w:b/>
          <w:bCs/>
          <w:sz w:val="24"/>
        </w:rPr>
        <w:t>, August 21 – 25, 2023</w:t>
      </w:r>
    </w:p>
    <w:p w14:paraId="0A7584F0" w14:textId="77777777" w:rsidR="00D872F1" w:rsidRPr="008E1C9C" w:rsidRDefault="00D872F1"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1270B324" w:rsidR="00D872F1" w:rsidRPr="00653970"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r w:rsidR="00BA4A5D" w:rsidRPr="00BA4A5D">
        <w:rPr>
          <w:rFonts w:ascii="Arial" w:hAnsi="Arial" w:cs="Arial"/>
          <w:b/>
          <w:bCs/>
          <w:sz w:val="24"/>
        </w:rPr>
        <w:t>Netw_Energy_NR</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1A80A58E" w:rsidR="00882F92" w:rsidRPr="00BA4A5D" w:rsidRDefault="00882F92" w:rsidP="00882F92">
      <w:pPr>
        <w:rPr>
          <w:rFonts w:eastAsia="MS Mincho"/>
          <w:szCs w:val="24"/>
        </w:rPr>
      </w:pPr>
      <w:r w:rsidRPr="00882F92">
        <w:rPr>
          <w:rFonts w:eastAsia="MS Mincho"/>
          <w:szCs w:val="24"/>
          <w:lang w:val="en-US"/>
        </w:rPr>
        <w:t xml:space="preserve">This thread will discuss the draft CR to 38.214 for the </w:t>
      </w:r>
      <w:r w:rsidR="00BA4A5D" w:rsidRPr="00BA4A5D">
        <w:rPr>
          <w:rFonts w:eastAsia="MS Mincho"/>
          <w:szCs w:val="24"/>
        </w:rPr>
        <w:t>Netw_Energy_NR</w:t>
      </w:r>
      <w:r w:rsidR="00BA4A5D">
        <w:rPr>
          <w:rFonts w:eastAsia="MS Mincho"/>
          <w:szCs w:val="24"/>
        </w:rPr>
        <w:t>.</w:t>
      </w:r>
    </w:p>
    <w:p w14:paraId="7D2EB1FE" w14:textId="600DBE42"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3454A5">
        <w:rPr>
          <w:rFonts w:eastAsia="MS Mincho"/>
          <w:b/>
          <w:bCs/>
          <w:szCs w:val="24"/>
          <w:highlight w:val="yellow"/>
        </w:rPr>
        <w:t>September</w:t>
      </w:r>
      <w:r w:rsidRPr="00D37C08">
        <w:rPr>
          <w:rFonts w:eastAsia="MS Mincho"/>
          <w:b/>
          <w:bCs/>
          <w:szCs w:val="24"/>
          <w:highlight w:val="yellow"/>
          <w:lang w:val="en-US"/>
        </w:rPr>
        <w:t xml:space="preserve"> </w:t>
      </w:r>
      <w:r w:rsidR="003454A5">
        <w:rPr>
          <w:rFonts w:eastAsia="MS Mincho"/>
          <w:b/>
          <w:bCs/>
          <w:szCs w:val="24"/>
          <w:highlight w:val="yellow"/>
        </w:rPr>
        <w:t>5</w:t>
      </w:r>
      <w:r w:rsidRPr="00D37C08">
        <w:rPr>
          <w:rFonts w:eastAsia="MS Mincho"/>
          <w:b/>
          <w:bCs/>
          <w:szCs w:val="24"/>
          <w:highlight w:val="yellow"/>
        </w:rPr>
        <w:t>th</w:t>
      </w:r>
      <w:r w:rsidRPr="00D37C08">
        <w:rPr>
          <w:rFonts w:eastAsia="MS Mincho"/>
          <w:b/>
          <w:bCs/>
          <w:szCs w:val="24"/>
          <w:highlight w:val="yellow"/>
          <w:lang w:val="en-US"/>
        </w:rPr>
        <w:t xml:space="preserve">, </w:t>
      </w:r>
      <w:r w:rsidR="003454A5">
        <w:rPr>
          <w:rFonts w:eastAsia="MS Mincho"/>
          <w:b/>
          <w:bCs/>
          <w:szCs w:val="24"/>
          <w:highlight w:val="yellow"/>
        </w:rPr>
        <w:t xml:space="preserve">6:00 am </w:t>
      </w:r>
      <w:r w:rsidRPr="00D37C08">
        <w:rPr>
          <w:rFonts w:eastAsia="MS Mincho"/>
          <w:b/>
          <w:bCs/>
          <w:szCs w:val="24"/>
          <w:highlight w:val="yellow"/>
          <w:lang w:val="en-US"/>
        </w:rPr>
        <w:t>UTC</w:t>
      </w:r>
      <w:r w:rsidRPr="00D37C08">
        <w:rPr>
          <w:rFonts w:eastAsia="MS Mincho"/>
          <w:szCs w:val="24"/>
          <w:highlight w:val="yellow"/>
          <w:lang w:val="en-US"/>
        </w:rPr>
        <w:t>!</w:t>
      </w:r>
    </w:p>
    <w:p w14:paraId="36CC0B75" w14:textId="41793256"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Discussion – first round</w:t>
      </w:r>
    </w:p>
    <w:p w14:paraId="147D8683" w14:textId="674CCC75" w:rsidR="00882F92" w:rsidRPr="00BE191D" w:rsidRDefault="00106934" w:rsidP="00882F92">
      <w:pPr>
        <w:pStyle w:val="BodyText"/>
        <w:rPr>
          <w:rFonts w:ascii="Times New Roman" w:hAnsi="Times New Roman"/>
          <w:b/>
          <w:bCs/>
          <w:u w:val="single"/>
          <w:lang w:val="en-FI"/>
        </w:rPr>
      </w:pPr>
      <w:r w:rsidRPr="005B429D">
        <w:rPr>
          <w:rFonts w:ascii="Times New Roman" w:hAnsi="Times New Roman"/>
        </w:rPr>
        <w:t xml:space="preserve">The comments in this section are based on version 0 of the the draft CR available in </w:t>
      </w:r>
      <w:r>
        <w:rPr>
          <w:rFonts w:ascii="Times New Roman" w:hAnsi="Times New Roman"/>
        </w:rPr>
        <w:t xml:space="preserve">the </w:t>
      </w:r>
      <w:r w:rsidRPr="00DB2D24">
        <w:rPr>
          <w:rFonts w:ascii="Times New Roman" w:hAnsi="Times New Roman"/>
          <w:b/>
          <w:bCs/>
        </w:rPr>
        <w:t>Post RAN1#11</w:t>
      </w:r>
      <w:r w:rsidR="004D3476">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r w:rsidR="00BE191D">
        <w:rPr>
          <w:rFonts w:ascii="Times New Roman" w:hAnsi="Times New Roman"/>
          <w:b/>
          <w:bCs/>
          <w:lang w:val="en-FI"/>
        </w:rPr>
        <w:t xml:space="preserve"> Version 00r01 contains some further updates!</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32C3DAA0" w:rsidR="00882F92" w:rsidRDefault="00FF0E12" w:rsidP="002D56BB">
            <w:pPr>
              <w:rPr>
                <w:lang w:eastAsia="zh-CN"/>
              </w:rPr>
            </w:pPr>
            <w:r>
              <w:rPr>
                <w:lang w:eastAsia="zh-CN"/>
              </w:rPr>
              <w:t>Lenovo</w:t>
            </w:r>
          </w:p>
        </w:tc>
        <w:tc>
          <w:tcPr>
            <w:tcW w:w="5820" w:type="dxa"/>
          </w:tcPr>
          <w:p w14:paraId="6810BD32" w14:textId="5E84EBCE" w:rsidR="00FF0E12" w:rsidRDefault="00FF0E12" w:rsidP="0026607A">
            <w:pPr>
              <w:pStyle w:val="ListParagraph"/>
              <w:numPr>
                <w:ilvl w:val="0"/>
                <w:numId w:val="36"/>
              </w:numPr>
            </w:pPr>
            <w:r>
              <w:t>Regarding the added text in 5.1.6.1</w:t>
            </w:r>
            <w:r w:rsidR="00D55D1F">
              <w:t xml:space="preserve"> (P3)</w:t>
            </w:r>
            <w:r>
              <w:t>, is it possible to modify to:</w:t>
            </w:r>
          </w:p>
          <w:p w14:paraId="6590AF90" w14:textId="0111B103" w:rsidR="00FF0E12" w:rsidRPr="002427EA" w:rsidRDefault="0026607A" w:rsidP="00FF0E12">
            <w:pPr>
              <w:overflowPunct/>
              <w:autoSpaceDE/>
              <w:autoSpaceDN/>
              <w:adjustRightInd/>
              <w:spacing w:after="0"/>
              <w:jc w:val="left"/>
              <w:textAlignment w:val="auto"/>
              <w:rPr>
                <w:color w:val="FF0000"/>
                <w:sz w:val="24"/>
                <w:szCs w:val="24"/>
                <w:lang w:val="en-US"/>
              </w:rPr>
            </w:pPr>
            <w:r w:rsidRPr="002427EA">
              <w:rPr>
                <w:color w:val="FF0000"/>
                <w:lang w:val="en-US"/>
              </w:rPr>
              <w:t>“</w:t>
            </w:r>
            <w:r w:rsidR="00FF0E12" w:rsidRPr="002427EA">
              <w:rPr>
                <w:color w:val="FF0000"/>
                <w:lang w:val="en-US"/>
              </w:rPr>
              <w:t xml:space="preserve">During non-active periods of cell DTX, the UE supporting cell DTX is not expected to receive the periodic CSI-RS and semi-persistent CSI-RS configured in CSI report configuration in </w:t>
            </w:r>
            <w:r w:rsidR="00FF0E12" w:rsidRPr="009A03F0">
              <w:rPr>
                <w:i/>
                <w:iCs/>
                <w:color w:val="FF0000"/>
                <w:lang w:val="en-US"/>
              </w:rPr>
              <w:t>CSI-ReportConfig</w:t>
            </w:r>
            <w:r w:rsidR="00FF0E12" w:rsidRPr="002427EA">
              <w:rPr>
                <w:color w:val="FF0000"/>
                <w:lang w:val="en-US"/>
              </w:rPr>
              <w:t xml:space="preserve"> </w:t>
            </w:r>
            <w:r w:rsidR="00FF0E12" w:rsidRPr="002427EA">
              <w:rPr>
                <w:strike/>
                <w:color w:val="FF0000"/>
                <w:lang w:val="en-US"/>
              </w:rPr>
              <w:t>for CSI reporting</w:t>
            </w:r>
            <w:r w:rsidR="00FF0E12" w:rsidRPr="002427EA">
              <w:rPr>
                <w:color w:val="FF0000"/>
                <w:lang w:val="en-US"/>
              </w:rPr>
              <w:t xml:space="preserve"> </w:t>
            </w:r>
            <w:r w:rsidR="00FF0E12" w:rsidRPr="002427EA">
              <w:rPr>
                <w:color w:val="FF0000"/>
                <w:highlight w:val="yellow"/>
                <w:lang w:val="en-US"/>
              </w:rPr>
              <w:t xml:space="preserve">associated with </w:t>
            </w:r>
            <w:r w:rsidR="00FF0E12" w:rsidRPr="002427EA">
              <w:rPr>
                <w:color w:val="FF0000"/>
                <w:highlight w:val="yellow"/>
                <w:lang w:eastAsia="zh-CN"/>
              </w:rPr>
              <w:t>the higher layer parameter reportQuantity comprising at least ‘RI’</w:t>
            </w:r>
            <w:r w:rsidRPr="002427EA">
              <w:rPr>
                <w:color w:val="FF0000"/>
                <w:lang w:eastAsia="zh-CN"/>
              </w:rPr>
              <w:t>”</w:t>
            </w:r>
          </w:p>
          <w:p w14:paraId="57B6D801" w14:textId="77777777" w:rsidR="0026607A" w:rsidRPr="0026607A" w:rsidRDefault="0026607A" w:rsidP="002D56BB">
            <w:pPr>
              <w:rPr>
                <w:sz w:val="2"/>
                <w:szCs w:val="2"/>
                <w:lang w:eastAsia="zh-CN"/>
              </w:rPr>
            </w:pPr>
          </w:p>
          <w:p w14:paraId="366E37C6" w14:textId="61B9BA51" w:rsidR="00882F92" w:rsidRDefault="0030651A" w:rsidP="0026607A">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w:t>
            </w:r>
            <w:r w:rsidR="00FF0E12">
              <w:rPr>
                <w:lang w:eastAsia="zh-CN"/>
              </w:rPr>
              <w:t xml:space="preserve"> </w:t>
            </w:r>
            <w:r>
              <w:rPr>
                <w:lang w:eastAsia="zh-CN"/>
              </w:rPr>
              <w:t>if “</w:t>
            </w:r>
            <w:r w:rsidRPr="0030651A">
              <w:rPr>
                <w:i/>
                <w:iCs/>
                <w:lang w:eastAsia="zh-CN"/>
              </w:rPr>
              <w:t>CSI-ReoortConfig</w:t>
            </w:r>
            <w:r>
              <w:rPr>
                <w:lang w:eastAsia="zh-CN"/>
              </w:rPr>
              <w:t xml:space="preserve"> for CSI reporting” suffices since the notion of beam/BM reporting never shows up in TS 38.214. We also welcome any other suggestions on how this is to be captured in the spec. Thank you  </w:t>
            </w:r>
          </w:p>
          <w:p w14:paraId="6DA155AF" w14:textId="77777777" w:rsidR="0026607A" w:rsidRDefault="0026607A" w:rsidP="002D56BB">
            <w:pPr>
              <w:rPr>
                <w:lang w:eastAsia="zh-CN"/>
              </w:rPr>
            </w:pPr>
          </w:p>
          <w:p w14:paraId="5059D5A8" w14:textId="1F2D6849" w:rsidR="0026607A" w:rsidRDefault="0026607A" w:rsidP="002427EA">
            <w:pPr>
              <w:pStyle w:val="ListParagraph"/>
              <w:numPr>
                <w:ilvl w:val="0"/>
                <w:numId w:val="36"/>
              </w:numPr>
            </w:pPr>
            <w:r>
              <w:t xml:space="preserve">Regarding the comment on powerOffset at the end of Section </w:t>
            </w:r>
            <w:r w:rsidR="002427EA">
              <w:t>5.2.2.5</w:t>
            </w:r>
            <w:r w:rsidR="00D55D1F">
              <w:t xml:space="preserve"> (P21)</w:t>
            </w:r>
            <w:r>
              <w:t>,</w:t>
            </w:r>
            <w:r w:rsidR="002427EA">
              <w:t xml:space="preserve"> we share the same understanding as the editor that the word ‘difference’ is more precise. We also suggest to capture two other aspects in the same agreement, which are (1) “</w:t>
            </w:r>
            <w:r w:rsidR="002427EA" w:rsidRPr="002427EA">
              <w:t>Only legacy values are applicable for the resulted power control offset values</w:t>
            </w:r>
            <w:r w:rsidR="002427EA">
              <w:t>”, and (2) “</w:t>
            </w:r>
            <w:r w:rsidR="002427EA" w:rsidRPr="002427EA">
              <w:t>Only legacy values are applicable for the resulted power control offset values</w:t>
            </w:r>
            <w:r w:rsidR="002427EA">
              <w:t>”. In light of that, we suggest the following:</w:t>
            </w:r>
          </w:p>
          <w:p w14:paraId="4736A190" w14:textId="70EBD7B2" w:rsidR="002427EA" w:rsidRPr="009A03F0" w:rsidRDefault="002427EA" w:rsidP="002427EA">
            <w:pPr>
              <w:overflowPunct/>
              <w:autoSpaceDE/>
              <w:autoSpaceDN/>
              <w:adjustRightInd/>
              <w:spacing w:after="0"/>
              <w:jc w:val="left"/>
              <w:textAlignment w:val="auto"/>
              <w:rPr>
                <w:color w:val="FF0000"/>
                <w:sz w:val="24"/>
                <w:szCs w:val="24"/>
                <w:lang w:val="en-US"/>
              </w:rPr>
            </w:pPr>
            <w:r w:rsidRPr="009A03F0">
              <w:rPr>
                <w:color w:val="FF0000"/>
              </w:rPr>
              <w:t xml:space="preserve">“if a sub-configuration indicates a power offset </w:t>
            </w:r>
            <w:r w:rsidRPr="009A03F0">
              <w:rPr>
                <w:rFonts w:eastAsia="Microsoft YaHei"/>
                <w:i/>
                <w:iCs/>
                <w:color w:val="FF0000"/>
                <w:lang w:val="en-US"/>
              </w:rPr>
              <w:t>[powerOffset]</w:t>
            </w:r>
            <w:r w:rsidRPr="009A03F0">
              <w:rPr>
                <w:rFonts w:eastAsia="Microsoft YaHei"/>
                <w:color w:val="FF0000"/>
                <w:lang w:val="en-US"/>
              </w:rPr>
              <w:t>,</w:t>
            </w:r>
            <w:r w:rsidRPr="009A03F0">
              <w:rPr>
                <w:rFonts w:eastAsia="Microsoft YaHei"/>
                <w:i/>
                <w:iCs/>
                <w:color w:val="FF0000"/>
                <w:lang w:val="en-US"/>
              </w:rPr>
              <w:t xml:space="preserve"> </w:t>
            </w:r>
            <w:r w:rsidRPr="009A03F0">
              <w:rPr>
                <w:color w:val="FF0000"/>
              </w:rPr>
              <w:t xml:space="preserve">for CQI calculation, the UE shall assume the corresponding PDSCH signals transmitted on the antenna ports of a CSI-RS resource would have a ratio of EPRE to CSI-RS EPRE equal to the </w:t>
            </w:r>
            <w:r w:rsidRPr="009A03F0">
              <w:rPr>
                <w:strike/>
                <w:color w:val="FF0000"/>
              </w:rPr>
              <w:t>[</w:t>
            </w:r>
            <w:r w:rsidRPr="009A03F0">
              <w:rPr>
                <w:color w:val="FF0000"/>
              </w:rPr>
              <w:t>difference</w:t>
            </w:r>
            <w:r w:rsidRPr="009A03F0">
              <w:rPr>
                <w:strike/>
                <w:color w:val="FF0000"/>
              </w:rPr>
              <w:t>]</w:t>
            </w:r>
            <w:r w:rsidRPr="009A03F0">
              <w:rPr>
                <w:color w:val="FF0000"/>
              </w:rPr>
              <w:t xml:space="preserve"> between </w:t>
            </w:r>
            <w:r w:rsidRPr="009A03F0">
              <w:rPr>
                <w:i/>
                <w:iCs/>
                <w:color w:val="FF0000"/>
              </w:rPr>
              <w:t xml:space="preserve">powerControlOffset </w:t>
            </w:r>
            <w:r w:rsidRPr="009A03F0">
              <w:rPr>
                <w:color w:val="FF0000"/>
              </w:rPr>
              <w:t xml:space="preserve">of the CSI-RS resource, given in Clause 5.2.2.3.1, and </w:t>
            </w:r>
            <w:r w:rsidRPr="009A03F0">
              <w:rPr>
                <w:rFonts w:eastAsia="Microsoft YaHei"/>
                <w:i/>
                <w:iCs/>
                <w:color w:val="FF0000"/>
                <w:lang w:val="en-US"/>
              </w:rPr>
              <w:t>[powerOffset]</w:t>
            </w:r>
            <w:r w:rsidRPr="009A03F0">
              <w:rPr>
                <w:rFonts w:eastAsia="Microsoft YaHei"/>
                <w:i/>
                <w:iCs/>
                <w:color w:val="FF0000"/>
                <w:highlight w:val="yellow"/>
                <w:lang w:val="en-US"/>
              </w:rPr>
              <w:t xml:space="preserve">, where </w:t>
            </w:r>
            <w:r w:rsidRPr="009A03F0">
              <w:rPr>
                <w:color w:val="FF0000"/>
                <w:highlight w:val="yellow"/>
              </w:rPr>
              <w:t xml:space="preserve">the difference between </w:t>
            </w:r>
            <w:r w:rsidRPr="009A03F0">
              <w:rPr>
                <w:i/>
                <w:iCs/>
                <w:color w:val="FF0000"/>
                <w:highlight w:val="yellow"/>
              </w:rPr>
              <w:t xml:space="preserve">powerControlOffset </w:t>
            </w:r>
            <w:r w:rsidRPr="009A03F0">
              <w:rPr>
                <w:color w:val="FF0000"/>
                <w:highlight w:val="yellow"/>
              </w:rPr>
              <w:t>of the CSI-RS resource</w:t>
            </w:r>
            <w:r w:rsidRPr="009A03F0">
              <w:rPr>
                <w:rFonts w:eastAsia="Microsoft YaHei"/>
                <w:i/>
                <w:iCs/>
                <w:color w:val="FF0000"/>
                <w:highlight w:val="yellow"/>
                <w:lang w:val="en-US"/>
              </w:rPr>
              <w:t xml:space="preserve"> [powerOffset] is expected to take the same range of values as </w:t>
            </w:r>
            <w:r w:rsidRPr="009A03F0">
              <w:rPr>
                <w:i/>
                <w:iCs/>
                <w:color w:val="FF0000"/>
                <w:highlight w:val="yellow"/>
              </w:rPr>
              <w:t xml:space="preserve">powerControlOffset </w:t>
            </w:r>
            <w:r w:rsidRPr="009A03F0">
              <w:rPr>
                <w:color w:val="FF0000"/>
                <w:highlight w:val="yellow"/>
              </w:rPr>
              <w:t xml:space="preserve">of the CSI-RS resource, given in Clause 5.2.2.3.1, and is also expected </w:t>
            </w:r>
            <w:r w:rsidRPr="009A03F0">
              <w:rPr>
                <w:color w:val="FF0000"/>
                <w:highlight w:val="yellow"/>
              </w:rPr>
              <w:lastRenderedPageBreak/>
              <w:t>to take on a value that is no larger than the</w:t>
            </w:r>
            <w:r w:rsidR="009A03F0" w:rsidRPr="009A03F0">
              <w:rPr>
                <w:color w:val="FF0000"/>
                <w:highlight w:val="yellow"/>
              </w:rPr>
              <w:t xml:space="preserve"> value of</w:t>
            </w:r>
            <w:r w:rsidRPr="009A03F0">
              <w:rPr>
                <w:color w:val="FF0000"/>
                <w:highlight w:val="yellow"/>
              </w:rPr>
              <w:t xml:space="preserve"> </w:t>
            </w:r>
            <w:r w:rsidRPr="009A03F0">
              <w:rPr>
                <w:i/>
                <w:iCs/>
                <w:color w:val="FF0000"/>
                <w:highlight w:val="yellow"/>
              </w:rPr>
              <w:t>powerControlOffset</w:t>
            </w:r>
            <w:r w:rsidRPr="009A03F0">
              <w:rPr>
                <w:color w:val="FF0000"/>
              </w:rPr>
              <w:t>”</w:t>
            </w:r>
          </w:p>
          <w:p w14:paraId="7605FD08" w14:textId="77777777" w:rsidR="00C52E89" w:rsidRPr="00C52E89" w:rsidRDefault="00C52E89" w:rsidP="002427EA">
            <w:pPr>
              <w:rPr>
                <w:sz w:val="2"/>
                <w:szCs w:val="2"/>
              </w:rPr>
            </w:pPr>
          </w:p>
          <w:p w14:paraId="32D87F65" w14:textId="6A4BB906" w:rsidR="009A03F0" w:rsidRDefault="009A03F0" w:rsidP="002427EA">
            <w:r>
              <w:t xml:space="preserve">We would also welcome alternative wording that captures the same meaning. </w:t>
            </w:r>
          </w:p>
          <w:p w14:paraId="1D3EE3EB" w14:textId="77777777" w:rsidR="009A03F0" w:rsidRDefault="009A03F0" w:rsidP="002427EA"/>
          <w:p w14:paraId="3D1B46B0" w14:textId="306A8654" w:rsidR="009A03F0" w:rsidRDefault="00D55D1F" w:rsidP="00F95519">
            <w:pPr>
              <w:pStyle w:val="ListParagraph"/>
              <w:numPr>
                <w:ilvl w:val="0"/>
                <w:numId w:val="36"/>
              </w:numPr>
            </w:pPr>
            <w:r>
              <w:t xml:space="preserve">Regarding the last paragraph in P23, Clause 5.2.3, </w:t>
            </w:r>
            <w:r w:rsidR="00F95519">
              <w:t xml:space="preserve">the corresponding agreement states that </w:t>
            </w:r>
            <w:r w:rsidR="00F95519" w:rsidRPr="00F95519">
              <w:rPr>
                <w:highlight w:val="green"/>
              </w:rPr>
              <w:t>“Follow legacy dropping rules for a CSI report containing multiple CSIs”</w:t>
            </w:r>
            <w:r w:rsidR="00F95519">
              <w:t>. To the best of our knowledge, the only CSI report containing multiple CSIs, i.e., multiple values of the same CSI report quantity, is Rel-17 NCJT (CSI report</w:t>
            </w:r>
            <w:r w:rsidR="00F95519" w:rsidRPr="00F95519">
              <w:rPr>
                <w:lang w:val="en-US"/>
              </w:rPr>
              <w:t xml:space="preserve"> configured with two Resource Groups and </w:t>
            </w:r>
            <w:r w:rsidR="00F95519" w:rsidRPr="00F95519">
              <w:rPr>
                <w:rFonts w:ascii="Cambria Math" w:hAnsi="Cambria Math" w:cs="Cambria Math"/>
                <w:lang w:val="en-US"/>
              </w:rPr>
              <w:t>𝑁</w:t>
            </w:r>
            <w:r w:rsidR="00F95519" w:rsidRPr="00F95519">
              <w:rPr>
                <w:lang w:val="en-US"/>
              </w:rPr>
              <w:t xml:space="preserve"> Resource Pairs</w:t>
            </w:r>
            <w:r w:rsidR="00F95519">
              <w:rPr>
                <w:lang w:val="en-US"/>
              </w:rPr>
              <w:t xml:space="preserve">). For Rel-17 NCJT CSI reporting, the entries in Table 5.2.3-1 are unchanged, whereas the content of each entry is captured only in TS38.212 (Clauses 6.3.1.1.2 and 6.3.2.1.2). We </w:t>
            </w:r>
            <w:r w:rsidR="0090712F">
              <w:rPr>
                <w:lang w:val="en-US"/>
              </w:rPr>
              <w:t xml:space="preserve">therefore </w:t>
            </w:r>
            <w:r w:rsidR="00F95519">
              <w:rPr>
                <w:lang w:val="en-US"/>
              </w:rPr>
              <w:t xml:space="preserve">respectfully </w:t>
            </w:r>
            <w:r w:rsidR="0090712F">
              <w:rPr>
                <w:lang w:val="en-US"/>
              </w:rPr>
              <w:t>suggest</w:t>
            </w:r>
            <w:r w:rsidR="00F95519">
              <w:rPr>
                <w:lang w:val="en-US"/>
              </w:rPr>
              <w:t xml:space="preserve"> that the </w:t>
            </w:r>
            <w:r w:rsidR="0090712F">
              <w:rPr>
                <w:lang w:val="en-US"/>
              </w:rPr>
              <w:t>same styling of NCJT CSI reporting is</w:t>
            </w:r>
            <w:r w:rsidR="00F95519">
              <w:rPr>
                <w:lang w:val="en-US"/>
              </w:rPr>
              <w:t xml:space="preserve"> </w:t>
            </w:r>
            <w:r w:rsidR="0090712F">
              <w:rPr>
                <w:lang w:val="en-US"/>
              </w:rPr>
              <w:t xml:space="preserve">adopted for </w:t>
            </w:r>
            <w:r w:rsidR="00F95519">
              <w:rPr>
                <w:lang w:val="en-US"/>
              </w:rPr>
              <w:t>NES.</w:t>
            </w:r>
          </w:p>
          <w:p w14:paraId="33F0FD06" w14:textId="77777777" w:rsidR="009A03F0" w:rsidRDefault="009A03F0" w:rsidP="009A03F0"/>
          <w:p w14:paraId="4ED4889C" w14:textId="794DA71D" w:rsidR="009A03F0" w:rsidRDefault="00D55D1F" w:rsidP="00D55D1F">
            <w:pPr>
              <w:pStyle w:val="ListParagraph"/>
              <w:numPr>
                <w:ilvl w:val="0"/>
                <w:numId w:val="36"/>
              </w:numPr>
            </w:pPr>
            <w:r w:rsidRPr="00D55D1F">
              <w:t xml:space="preserve">For the </w:t>
            </w:r>
            <w:r>
              <w:t>first</w:t>
            </w:r>
            <w:r w:rsidRPr="00D55D1F">
              <w:t xml:space="preserve"> paragraph in </w:t>
            </w:r>
            <w:r>
              <w:t>Clause</w:t>
            </w:r>
            <w:r w:rsidRPr="00D55D1F">
              <w:t xml:space="preserve"> 5.2.4 (P2</w:t>
            </w:r>
            <w:r>
              <w:t>5</w:t>
            </w:r>
            <w:r w:rsidRPr="00D55D1F">
              <w:t>), we suggest re</w:t>
            </w:r>
            <w:r>
              <w:t xml:space="preserve">placing </w:t>
            </w:r>
            <w:r w:rsidRPr="00D55D1F">
              <w:rPr>
                <w:color w:val="FF0000"/>
              </w:rPr>
              <w:t xml:space="preserve">“in each corresponding reporting instance” </w:t>
            </w:r>
            <w:r>
              <w:t xml:space="preserve">to </w:t>
            </w:r>
            <w:r w:rsidRPr="00D55D1F">
              <w:rPr>
                <w:color w:val="FF0000"/>
              </w:rPr>
              <w:t xml:space="preserve">“in </w:t>
            </w:r>
            <w:r w:rsidRPr="00D55D1F">
              <w:rPr>
                <w:color w:val="FF0000"/>
                <w:highlight w:val="yellow"/>
              </w:rPr>
              <w:t>the same</w:t>
            </w:r>
            <w:r w:rsidRPr="00D55D1F">
              <w:rPr>
                <w:color w:val="FF0000"/>
              </w:rPr>
              <w:t xml:space="preserve"> corresponding reporting instance”</w:t>
            </w:r>
            <w:r>
              <w:t xml:space="preserve">, </w:t>
            </w:r>
            <w:r w:rsidRPr="00D55D1F">
              <w:t>since</w:t>
            </w:r>
            <w:r>
              <w:t xml:space="preserve"> CSI corresponding to all reported sub-configurations is expected to be included in the same CSI report</w:t>
            </w:r>
            <w:r w:rsidRPr="00D55D1F">
              <w:t xml:space="preserve">. </w:t>
            </w:r>
          </w:p>
          <w:p w14:paraId="0BC67400" w14:textId="77777777" w:rsidR="009A03F0" w:rsidRDefault="009A03F0" w:rsidP="009A03F0"/>
          <w:p w14:paraId="35F7202B" w14:textId="7AFF5FF2" w:rsidR="009A03F0" w:rsidRDefault="009A03F0" w:rsidP="009A03F0">
            <w:pPr>
              <w:pStyle w:val="ListParagraph"/>
              <w:numPr>
                <w:ilvl w:val="0"/>
                <w:numId w:val="36"/>
              </w:numPr>
            </w:pPr>
            <w:r>
              <w:t xml:space="preserve">For the last paragraph in </w:t>
            </w:r>
            <w:r w:rsidR="00D55D1F">
              <w:t>Clause</w:t>
            </w:r>
            <w:r>
              <w:t xml:space="preserve"> 5.2.4 (P26), we suggest removing “one or more CSIs” since </w:t>
            </w:r>
            <w:r w:rsidR="00F95519">
              <w:t xml:space="preserve">it is not needed. </w:t>
            </w:r>
            <w:r>
              <w:t>We therefore suggest the following</w:t>
            </w:r>
          </w:p>
          <w:p w14:paraId="6499DBCC" w14:textId="77777777" w:rsidR="009A03F0" w:rsidRDefault="009A03F0" w:rsidP="009A03F0">
            <w:pPr>
              <w:pStyle w:val="ListParagraph"/>
            </w:pPr>
          </w:p>
          <w:p w14:paraId="4DBC66C1" w14:textId="63F075A0" w:rsidR="009A03F0" w:rsidRPr="00D55D1F" w:rsidRDefault="009A03F0" w:rsidP="00D55D1F">
            <w:pPr>
              <w:overflowPunct/>
              <w:autoSpaceDE/>
              <w:autoSpaceDN/>
              <w:adjustRightInd/>
              <w:spacing w:after="0"/>
              <w:jc w:val="left"/>
              <w:textAlignment w:val="auto"/>
              <w:rPr>
                <w:sz w:val="24"/>
                <w:szCs w:val="24"/>
                <w:lang w:val="en-US"/>
              </w:rPr>
            </w:pPr>
            <w:r w:rsidRPr="00D55D1F">
              <w:rPr>
                <w:color w:val="FF0000"/>
              </w:rPr>
              <w:t>“</w:t>
            </w:r>
            <w:r w:rsidR="00D55D1F" w:rsidRPr="00D55D1F">
              <w:rPr>
                <w:color w:val="FF0000"/>
              </w:rPr>
              <w:t xml:space="preserve">For a Reporting Setting for which the </w:t>
            </w:r>
            <w:r w:rsidR="00D55D1F" w:rsidRPr="00D55D1F">
              <w:rPr>
                <w:i/>
                <w:iCs/>
                <w:color w:val="FF0000"/>
              </w:rPr>
              <w:t>CSI-ReportConfig</w:t>
            </w:r>
            <w:r w:rsidR="00D55D1F" w:rsidRPr="00D55D1F">
              <w:rPr>
                <w:color w:val="FF0000"/>
              </w:rPr>
              <w:t xml:space="preserve"> contains a list of sub-configurations</w:t>
            </w:r>
            <w:r w:rsidR="00D55D1F" w:rsidRPr="00D55D1F">
              <w:rPr>
                <w:strike/>
                <w:color w:val="FF0000"/>
              </w:rPr>
              <w:t>,</w:t>
            </w:r>
            <w:r w:rsidR="00D55D1F" w:rsidRPr="00D55D1F">
              <w:rPr>
                <w:strike/>
                <w:color w:val="FF0000"/>
                <w:lang w:val="en-US"/>
              </w:rPr>
              <w:t xml:space="preserve"> for a given CSI report which contains one or more CSIs</w:t>
            </w:r>
            <w:r w:rsidR="00D55D1F" w:rsidRPr="00D55D1F">
              <w:rPr>
                <w:color w:val="FF0000"/>
                <w:lang w:val="en-US"/>
              </w:rPr>
              <w:t>, omission of Part 2 CSI is defined in Clause 5.2.3.</w:t>
            </w:r>
            <w:r w:rsidRPr="00D55D1F">
              <w:rPr>
                <w:color w:val="FF0000"/>
              </w:rPr>
              <w:t>”</w:t>
            </w: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2C69496A" w:rsidR="00882F92" w:rsidRPr="0012373F" w:rsidRDefault="0012373F" w:rsidP="002D56BB">
            <w:pPr>
              <w:rPr>
                <w:b/>
                <w:bCs/>
                <w:color w:val="4472C4" w:themeColor="accent1"/>
                <w:lang w:val="en-FI" w:eastAsia="zh-CN"/>
              </w:rPr>
            </w:pPr>
            <w:r w:rsidRPr="0012373F">
              <w:rPr>
                <w:b/>
                <w:bCs/>
                <w:color w:val="4472C4" w:themeColor="accent1"/>
                <w:lang w:val="en-FI" w:eastAsia="zh-CN"/>
              </w:rPr>
              <w:t>Editor</w:t>
            </w:r>
            <w:r w:rsidR="00324867">
              <w:rPr>
                <w:b/>
                <w:bCs/>
                <w:color w:val="4472C4" w:themeColor="accent1"/>
                <w:lang w:val="en-FI" w:eastAsia="zh-CN"/>
              </w:rPr>
              <w:t xml:space="preserve"> 02/09</w:t>
            </w:r>
          </w:p>
        </w:tc>
        <w:tc>
          <w:tcPr>
            <w:tcW w:w="5820" w:type="dxa"/>
          </w:tcPr>
          <w:p w14:paraId="4E12B268" w14:textId="168EBB97" w:rsidR="00882F92" w:rsidRPr="0012373F" w:rsidRDefault="0012373F" w:rsidP="002D56BB">
            <w:pPr>
              <w:rPr>
                <w:b/>
                <w:bCs/>
                <w:color w:val="4472C4" w:themeColor="accent1"/>
                <w:lang w:val="en-FI" w:eastAsia="zh-CN"/>
              </w:rPr>
            </w:pPr>
            <w:r w:rsidRPr="0012373F">
              <w:rPr>
                <w:b/>
                <w:bCs/>
                <w:color w:val="4472C4" w:themeColor="accent1"/>
                <w:lang w:val="en-FI" w:eastAsia="zh-CN"/>
              </w:rPr>
              <w:t xml:space="preserve">I have made some further updates in v00r01, please consider this version in your review! I kindly ask Lenovo colleagues to take a look also at this updated version! </w:t>
            </w:r>
          </w:p>
        </w:tc>
        <w:tc>
          <w:tcPr>
            <w:tcW w:w="1837" w:type="dxa"/>
          </w:tcPr>
          <w:p w14:paraId="3E532370" w14:textId="77777777" w:rsidR="00882F92" w:rsidRDefault="00882F92" w:rsidP="002D56BB"/>
        </w:tc>
      </w:tr>
      <w:tr w:rsidR="00882F92" w14:paraId="6C81ADF2" w14:textId="77777777" w:rsidTr="00C57F6B">
        <w:trPr>
          <w:trHeight w:val="53"/>
          <w:jc w:val="center"/>
        </w:trPr>
        <w:tc>
          <w:tcPr>
            <w:tcW w:w="1405" w:type="dxa"/>
          </w:tcPr>
          <w:p w14:paraId="45A73D64" w14:textId="01CA3CAC" w:rsidR="00882F92" w:rsidRPr="004B0BE1" w:rsidRDefault="00882F92" w:rsidP="002D56BB">
            <w:pPr>
              <w:rPr>
                <w:color w:val="0000FF"/>
              </w:rPr>
            </w:pPr>
          </w:p>
        </w:tc>
        <w:tc>
          <w:tcPr>
            <w:tcW w:w="5820" w:type="dxa"/>
          </w:tcPr>
          <w:p w14:paraId="3BEAFE45" w14:textId="38A08990" w:rsidR="00882F92" w:rsidRPr="004B0BE1" w:rsidRDefault="00882F92" w:rsidP="002D56BB">
            <w:pPr>
              <w:rPr>
                <w:color w:val="0000FF"/>
              </w:rPr>
            </w:pPr>
          </w:p>
        </w:tc>
        <w:tc>
          <w:tcPr>
            <w:tcW w:w="1837" w:type="dxa"/>
          </w:tcPr>
          <w:p w14:paraId="412967D8" w14:textId="77777777" w:rsidR="00882F92" w:rsidRDefault="00882F92" w:rsidP="002D56BB"/>
        </w:tc>
      </w:tr>
      <w:tr w:rsidR="00C57F6B" w14:paraId="6DD5AC93" w14:textId="77777777" w:rsidTr="00C57F6B">
        <w:trPr>
          <w:trHeight w:val="53"/>
          <w:jc w:val="center"/>
        </w:trPr>
        <w:tc>
          <w:tcPr>
            <w:tcW w:w="1405" w:type="dxa"/>
          </w:tcPr>
          <w:p w14:paraId="6BB821F6" w14:textId="77777777" w:rsidR="00C57F6B" w:rsidRPr="004B0BE1" w:rsidRDefault="00C57F6B" w:rsidP="002D56BB">
            <w:pPr>
              <w:rPr>
                <w:color w:val="0000FF"/>
              </w:rPr>
            </w:pPr>
          </w:p>
        </w:tc>
        <w:tc>
          <w:tcPr>
            <w:tcW w:w="5820" w:type="dxa"/>
          </w:tcPr>
          <w:p w14:paraId="11FBCAC3" w14:textId="77777777" w:rsidR="00C57F6B" w:rsidRPr="004B0BE1" w:rsidRDefault="00C57F6B" w:rsidP="002D56BB">
            <w:pPr>
              <w:rPr>
                <w:color w:val="0000FF"/>
              </w:rPr>
            </w:pPr>
          </w:p>
        </w:tc>
        <w:tc>
          <w:tcPr>
            <w:tcW w:w="1837" w:type="dxa"/>
          </w:tcPr>
          <w:p w14:paraId="039E6001" w14:textId="77777777" w:rsidR="00C57F6B"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B9DE" w14:textId="77777777" w:rsidR="00061D9E" w:rsidRDefault="00061D9E" w:rsidP="00D872F1">
      <w:pPr>
        <w:spacing w:after="0"/>
      </w:pPr>
      <w:r>
        <w:separator/>
      </w:r>
    </w:p>
  </w:endnote>
  <w:endnote w:type="continuationSeparator" w:id="0">
    <w:p w14:paraId="42E8A8B4" w14:textId="77777777" w:rsidR="00061D9E" w:rsidRDefault="00061D9E" w:rsidP="00D872F1">
      <w:pPr>
        <w:spacing w:after="0"/>
      </w:pPr>
      <w:r>
        <w:continuationSeparator/>
      </w:r>
    </w:p>
  </w:endnote>
  <w:endnote w:type="continuationNotice" w:id="1">
    <w:p w14:paraId="03E716E4" w14:textId="77777777" w:rsidR="00061D9E" w:rsidRDefault="00061D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78AE" w14:textId="77777777" w:rsidR="00061D9E" w:rsidRDefault="00061D9E" w:rsidP="00D872F1">
      <w:pPr>
        <w:spacing w:after="0"/>
      </w:pPr>
      <w:r>
        <w:separator/>
      </w:r>
    </w:p>
  </w:footnote>
  <w:footnote w:type="continuationSeparator" w:id="0">
    <w:p w14:paraId="677C6431" w14:textId="77777777" w:rsidR="00061D9E" w:rsidRDefault="00061D9E" w:rsidP="00D872F1">
      <w:pPr>
        <w:spacing w:after="0"/>
      </w:pPr>
      <w:r>
        <w:continuationSeparator/>
      </w:r>
    </w:p>
  </w:footnote>
  <w:footnote w:type="continuationNotice" w:id="1">
    <w:p w14:paraId="2747B34A" w14:textId="77777777" w:rsidR="00061D9E" w:rsidRDefault="00061D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66940"/>
    <w:multiLevelType w:val="hybridMultilevel"/>
    <w:tmpl w:val="85DCAD08"/>
    <w:lvl w:ilvl="0" w:tplc="4512526C">
      <w:start w:val="1"/>
      <w:numFmt w:val="bullet"/>
      <w:lvlText w:val=""/>
      <w:lvlJc w:val="left"/>
      <w:pPr>
        <w:ind w:left="720" w:hanging="360"/>
      </w:pPr>
      <w:rPr>
        <w:rFonts w:ascii="Symbol" w:hAnsi="Symbol"/>
      </w:rPr>
    </w:lvl>
    <w:lvl w:ilvl="1" w:tplc="981E24CE">
      <w:start w:val="1"/>
      <w:numFmt w:val="bullet"/>
      <w:lvlText w:val=""/>
      <w:lvlJc w:val="left"/>
      <w:pPr>
        <w:ind w:left="720" w:hanging="360"/>
      </w:pPr>
      <w:rPr>
        <w:rFonts w:ascii="Symbol" w:hAnsi="Symbol"/>
      </w:rPr>
    </w:lvl>
    <w:lvl w:ilvl="2" w:tplc="BA2CAE94">
      <w:start w:val="1"/>
      <w:numFmt w:val="bullet"/>
      <w:lvlText w:val=""/>
      <w:lvlJc w:val="left"/>
      <w:pPr>
        <w:ind w:left="720" w:hanging="360"/>
      </w:pPr>
      <w:rPr>
        <w:rFonts w:ascii="Symbol" w:hAnsi="Symbol"/>
      </w:rPr>
    </w:lvl>
    <w:lvl w:ilvl="3" w:tplc="25A210D0">
      <w:start w:val="1"/>
      <w:numFmt w:val="bullet"/>
      <w:lvlText w:val=""/>
      <w:lvlJc w:val="left"/>
      <w:pPr>
        <w:ind w:left="720" w:hanging="360"/>
      </w:pPr>
      <w:rPr>
        <w:rFonts w:ascii="Symbol" w:hAnsi="Symbol"/>
      </w:rPr>
    </w:lvl>
    <w:lvl w:ilvl="4" w:tplc="830A9118">
      <w:start w:val="1"/>
      <w:numFmt w:val="bullet"/>
      <w:lvlText w:val=""/>
      <w:lvlJc w:val="left"/>
      <w:pPr>
        <w:ind w:left="720" w:hanging="360"/>
      </w:pPr>
      <w:rPr>
        <w:rFonts w:ascii="Symbol" w:hAnsi="Symbol"/>
      </w:rPr>
    </w:lvl>
    <w:lvl w:ilvl="5" w:tplc="DA64C658">
      <w:start w:val="1"/>
      <w:numFmt w:val="bullet"/>
      <w:lvlText w:val=""/>
      <w:lvlJc w:val="left"/>
      <w:pPr>
        <w:ind w:left="720" w:hanging="360"/>
      </w:pPr>
      <w:rPr>
        <w:rFonts w:ascii="Symbol" w:hAnsi="Symbol"/>
      </w:rPr>
    </w:lvl>
    <w:lvl w:ilvl="6" w:tplc="A95EEE3C">
      <w:start w:val="1"/>
      <w:numFmt w:val="bullet"/>
      <w:lvlText w:val=""/>
      <w:lvlJc w:val="left"/>
      <w:pPr>
        <w:ind w:left="720" w:hanging="360"/>
      </w:pPr>
      <w:rPr>
        <w:rFonts w:ascii="Symbol" w:hAnsi="Symbol"/>
      </w:rPr>
    </w:lvl>
    <w:lvl w:ilvl="7" w:tplc="0F7A0AFE">
      <w:start w:val="1"/>
      <w:numFmt w:val="bullet"/>
      <w:lvlText w:val=""/>
      <w:lvlJc w:val="left"/>
      <w:pPr>
        <w:ind w:left="720" w:hanging="360"/>
      </w:pPr>
      <w:rPr>
        <w:rFonts w:ascii="Symbol" w:hAnsi="Symbol"/>
      </w:rPr>
    </w:lvl>
    <w:lvl w:ilvl="8" w:tplc="2D2C579C">
      <w:start w:val="1"/>
      <w:numFmt w:val="bullet"/>
      <w:lvlText w:val=""/>
      <w:lvlJc w:val="left"/>
      <w:pPr>
        <w:ind w:left="720" w:hanging="360"/>
      </w:pPr>
      <w:rPr>
        <w:rFonts w:ascii="Symbol" w:hAnsi="Symbol"/>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140DE2"/>
    <w:multiLevelType w:val="hybridMultilevel"/>
    <w:tmpl w:val="7BEA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630C9D"/>
    <w:multiLevelType w:val="hybridMultilevel"/>
    <w:tmpl w:val="A5BE0F4C"/>
    <w:lvl w:ilvl="0" w:tplc="9144486A">
      <w:start w:val="1"/>
      <w:numFmt w:val="bullet"/>
      <w:lvlText w:val=""/>
      <w:lvlJc w:val="left"/>
      <w:pPr>
        <w:ind w:left="720" w:hanging="360"/>
      </w:pPr>
      <w:rPr>
        <w:rFonts w:ascii="Symbol" w:hAnsi="Symbol"/>
      </w:rPr>
    </w:lvl>
    <w:lvl w:ilvl="1" w:tplc="1B74A03A">
      <w:start w:val="1"/>
      <w:numFmt w:val="bullet"/>
      <w:lvlText w:val=""/>
      <w:lvlJc w:val="left"/>
      <w:pPr>
        <w:ind w:left="2160" w:hanging="360"/>
      </w:pPr>
      <w:rPr>
        <w:rFonts w:ascii="Symbol" w:hAnsi="Symbol"/>
      </w:rPr>
    </w:lvl>
    <w:lvl w:ilvl="2" w:tplc="27BA7094">
      <w:start w:val="1"/>
      <w:numFmt w:val="bullet"/>
      <w:lvlText w:val=""/>
      <w:lvlJc w:val="left"/>
      <w:pPr>
        <w:ind w:left="720" w:hanging="360"/>
      </w:pPr>
      <w:rPr>
        <w:rFonts w:ascii="Symbol" w:hAnsi="Symbol"/>
      </w:rPr>
    </w:lvl>
    <w:lvl w:ilvl="3" w:tplc="552CF926">
      <w:start w:val="1"/>
      <w:numFmt w:val="bullet"/>
      <w:lvlText w:val=""/>
      <w:lvlJc w:val="left"/>
      <w:pPr>
        <w:ind w:left="720" w:hanging="360"/>
      </w:pPr>
      <w:rPr>
        <w:rFonts w:ascii="Symbol" w:hAnsi="Symbol"/>
      </w:rPr>
    </w:lvl>
    <w:lvl w:ilvl="4" w:tplc="B16E7DB4">
      <w:start w:val="1"/>
      <w:numFmt w:val="bullet"/>
      <w:lvlText w:val=""/>
      <w:lvlJc w:val="left"/>
      <w:pPr>
        <w:ind w:left="720" w:hanging="360"/>
      </w:pPr>
      <w:rPr>
        <w:rFonts w:ascii="Symbol" w:hAnsi="Symbol"/>
      </w:rPr>
    </w:lvl>
    <w:lvl w:ilvl="5" w:tplc="CFCC46BE">
      <w:start w:val="1"/>
      <w:numFmt w:val="bullet"/>
      <w:lvlText w:val=""/>
      <w:lvlJc w:val="left"/>
      <w:pPr>
        <w:ind w:left="720" w:hanging="360"/>
      </w:pPr>
      <w:rPr>
        <w:rFonts w:ascii="Symbol" w:hAnsi="Symbol"/>
      </w:rPr>
    </w:lvl>
    <w:lvl w:ilvl="6" w:tplc="7A8CE9A4">
      <w:start w:val="1"/>
      <w:numFmt w:val="bullet"/>
      <w:lvlText w:val=""/>
      <w:lvlJc w:val="left"/>
      <w:pPr>
        <w:ind w:left="720" w:hanging="360"/>
      </w:pPr>
      <w:rPr>
        <w:rFonts w:ascii="Symbol" w:hAnsi="Symbol"/>
      </w:rPr>
    </w:lvl>
    <w:lvl w:ilvl="7" w:tplc="CCBA90DA">
      <w:start w:val="1"/>
      <w:numFmt w:val="bullet"/>
      <w:lvlText w:val=""/>
      <w:lvlJc w:val="left"/>
      <w:pPr>
        <w:ind w:left="720" w:hanging="360"/>
      </w:pPr>
      <w:rPr>
        <w:rFonts w:ascii="Symbol" w:hAnsi="Symbol"/>
      </w:rPr>
    </w:lvl>
    <w:lvl w:ilvl="8" w:tplc="830CE416">
      <w:start w:val="1"/>
      <w:numFmt w:val="bullet"/>
      <w:lvlText w:val=""/>
      <w:lvlJc w:val="left"/>
      <w:pPr>
        <w:ind w:left="720" w:hanging="360"/>
      </w:pPr>
      <w:rPr>
        <w:rFonts w:ascii="Symbol" w:hAnsi="Symbol"/>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D67865"/>
    <w:multiLevelType w:val="hybridMultilevel"/>
    <w:tmpl w:val="3B0A6438"/>
    <w:lvl w:ilvl="0" w:tplc="3CC6F40E">
      <w:start w:val="1"/>
      <w:numFmt w:val="bullet"/>
      <w:lvlText w:val=""/>
      <w:lvlJc w:val="left"/>
      <w:pPr>
        <w:ind w:left="720" w:hanging="360"/>
      </w:pPr>
      <w:rPr>
        <w:rFonts w:ascii="Symbol" w:hAnsi="Symbol"/>
      </w:rPr>
    </w:lvl>
    <w:lvl w:ilvl="1" w:tplc="597E9094">
      <w:start w:val="1"/>
      <w:numFmt w:val="bullet"/>
      <w:lvlText w:val=""/>
      <w:lvlJc w:val="left"/>
      <w:pPr>
        <w:ind w:left="720" w:hanging="360"/>
      </w:pPr>
      <w:rPr>
        <w:rFonts w:ascii="Symbol" w:hAnsi="Symbol"/>
      </w:rPr>
    </w:lvl>
    <w:lvl w:ilvl="2" w:tplc="EF647698">
      <w:start w:val="1"/>
      <w:numFmt w:val="bullet"/>
      <w:lvlText w:val=""/>
      <w:lvlJc w:val="left"/>
      <w:pPr>
        <w:ind w:left="720" w:hanging="360"/>
      </w:pPr>
      <w:rPr>
        <w:rFonts w:ascii="Symbol" w:hAnsi="Symbol"/>
      </w:rPr>
    </w:lvl>
    <w:lvl w:ilvl="3" w:tplc="41A4B4DE">
      <w:start w:val="1"/>
      <w:numFmt w:val="bullet"/>
      <w:lvlText w:val=""/>
      <w:lvlJc w:val="left"/>
      <w:pPr>
        <w:ind w:left="720" w:hanging="360"/>
      </w:pPr>
      <w:rPr>
        <w:rFonts w:ascii="Symbol" w:hAnsi="Symbol"/>
      </w:rPr>
    </w:lvl>
    <w:lvl w:ilvl="4" w:tplc="17C65F16">
      <w:start w:val="1"/>
      <w:numFmt w:val="bullet"/>
      <w:lvlText w:val=""/>
      <w:lvlJc w:val="left"/>
      <w:pPr>
        <w:ind w:left="720" w:hanging="360"/>
      </w:pPr>
      <w:rPr>
        <w:rFonts w:ascii="Symbol" w:hAnsi="Symbol"/>
      </w:rPr>
    </w:lvl>
    <w:lvl w:ilvl="5" w:tplc="42FE9EDE">
      <w:start w:val="1"/>
      <w:numFmt w:val="bullet"/>
      <w:lvlText w:val=""/>
      <w:lvlJc w:val="left"/>
      <w:pPr>
        <w:ind w:left="720" w:hanging="360"/>
      </w:pPr>
      <w:rPr>
        <w:rFonts w:ascii="Symbol" w:hAnsi="Symbol"/>
      </w:rPr>
    </w:lvl>
    <w:lvl w:ilvl="6" w:tplc="3AFC5BC8">
      <w:start w:val="1"/>
      <w:numFmt w:val="bullet"/>
      <w:lvlText w:val=""/>
      <w:lvlJc w:val="left"/>
      <w:pPr>
        <w:ind w:left="720" w:hanging="360"/>
      </w:pPr>
      <w:rPr>
        <w:rFonts w:ascii="Symbol" w:hAnsi="Symbol"/>
      </w:rPr>
    </w:lvl>
    <w:lvl w:ilvl="7" w:tplc="8F66DB0A">
      <w:start w:val="1"/>
      <w:numFmt w:val="bullet"/>
      <w:lvlText w:val=""/>
      <w:lvlJc w:val="left"/>
      <w:pPr>
        <w:ind w:left="720" w:hanging="360"/>
      </w:pPr>
      <w:rPr>
        <w:rFonts w:ascii="Symbol" w:hAnsi="Symbol"/>
      </w:rPr>
    </w:lvl>
    <w:lvl w:ilvl="8" w:tplc="D2D4CF86">
      <w:start w:val="1"/>
      <w:numFmt w:val="bullet"/>
      <w:lvlText w:val=""/>
      <w:lvlJc w:val="left"/>
      <w:pPr>
        <w:ind w:left="720" w:hanging="360"/>
      </w:pPr>
      <w:rPr>
        <w:rFonts w:ascii="Symbol" w:hAnsi="Symbol"/>
      </w:rPr>
    </w:lvl>
  </w:abstractNum>
  <w:abstractNum w:abstractNumId="32"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D3593"/>
    <w:multiLevelType w:val="hybridMultilevel"/>
    <w:tmpl w:val="55DAF494"/>
    <w:lvl w:ilvl="0" w:tplc="B8D0799A">
      <w:start w:val="1"/>
      <w:numFmt w:val="bullet"/>
      <w:lvlText w:val=""/>
      <w:lvlJc w:val="left"/>
      <w:pPr>
        <w:ind w:left="720" w:hanging="360"/>
      </w:pPr>
      <w:rPr>
        <w:rFonts w:ascii="Symbol" w:hAnsi="Symbol"/>
      </w:rPr>
    </w:lvl>
    <w:lvl w:ilvl="1" w:tplc="6A26C1D2">
      <w:start w:val="1"/>
      <w:numFmt w:val="bullet"/>
      <w:lvlText w:val=""/>
      <w:lvlJc w:val="left"/>
      <w:pPr>
        <w:ind w:left="2160" w:hanging="360"/>
      </w:pPr>
      <w:rPr>
        <w:rFonts w:ascii="Symbol" w:hAnsi="Symbol"/>
      </w:rPr>
    </w:lvl>
    <w:lvl w:ilvl="2" w:tplc="A3E61C56">
      <w:start w:val="1"/>
      <w:numFmt w:val="bullet"/>
      <w:lvlText w:val=""/>
      <w:lvlJc w:val="left"/>
      <w:pPr>
        <w:ind w:left="720" w:hanging="360"/>
      </w:pPr>
      <w:rPr>
        <w:rFonts w:ascii="Symbol" w:hAnsi="Symbol"/>
      </w:rPr>
    </w:lvl>
    <w:lvl w:ilvl="3" w:tplc="5532AF2A">
      <w:start w:val="1"/>
      <w:numFmt w:val="bullet"/>
      <w:lvlText w:val=""/>
      <w:lvlJc w:val="left"/>
      <w:pPr>
        <w:ind w:left="720" w:hanging="360"/>
      </w:pPr>
      <w:rPr>
        <w:rFonts w:ascii="Symbol" w:hAnsi="Symbol"/>
      </w:rPr>
    </w:lvl>
    <w:lvl w:ilvl="4" w:tplc="5664932C">
      <w:start w:val="1"/>
      <w:numFmt w:val="bullet"/>
      <w:lvlText w:val=""/>
      <w:lvlJc w:val="left"/>
      <w:pPr>
        <w:ind w:left="720" w:hanging="360"/>
      </w:pPr>
      <w:rPr>
        <w:rFonts w:ascii="Symbol" w:hAnsi="Symbol"/>
      </w:rPr>
    </w:lvl>
    <w:lvl w:ilvl="5" w:tplc="9C2CF06C">
      <w:start w:val="1"/>
      <w:numFmt w:val="bullet"/>
      <w:lvlText w:val=""/>
      <w:lvlJc w:val="left"/>
      <w:pPr>
        <w:ind w:left="720" w:hanging="360"/>
      </w:pPr>
      <w:rPr>
        <w:rFonts w:ascii="Symbol" w:hAnsi="Symbol"/>
      </w:rPr>
    </w:lvl>
    <w:lvl w:ilvl="6" w:tplc="20C69AF8">
      <w:start w:val="1"/>
      <w:numFmt w:val="bullet"/>
      <w:lvlText w:val=""/>
      <w:lvlJc w:val="left"/>
      <w:pPr>
        <w:ind w:left="720" w:hanging="360"/>
      </w:pPr>
      <w:rPr>
        <w:rFonts w:ascii="Symbol" w:hAnsi="Symbol"/>
      </w:rPr>
    </w:lvl>
    <w:lvl w:ilvl="7" w:tplc="8138D1CE">
      <w:start w:val="1"/>
      <w:numFmt w:val="bullet"/>
      <w:lvlText w:val=""/>
      <w:lvlJc w:val="left"/>
      <w:pPr>
        <w:ind w:left="720" w:hanging="360"/>
      </w:pPr>
      <w:rPr>
        <w:rFonts w:ascii="Symbol" w:hAnsi="Symbol"/>
      </w:rPr>
    </w:lvl>
    <w:lvl w:ilvl="8" w:tplc="705AB0D4">
      <w:start w:val="1"/>
      <w:numFmt w:val="bullet"/>
      <w:lvlText w:val=""/>
      <w:lvlJc w:val="left"/>
      <w:pPr>
        <w:ind w:left="720" w:hanging="360"/>
      </w:pPr>
      <w:rPr>
        <w:rFonts w:ascii="Symbol" w:hAnsi="Symbol"/>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A1F93"/>
    <w:multiLevelType w:val="hybridMultilevel"/>
    <w:tmpl w:val="3D1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4620890">
    <w:abstractNumId w:val="22"/>
  </w:num>
  <w:num w:numId="2" w16cid:durableId="1148010123">
    <w:abstractNumId w:val="19"/>
  </w:num>
  <w:num w:numId="3" w16cid:durableId="1543398604">
    <w:abstractNumId w:val="25"/>
  </w:num>
  <w:num w:numId="4" w16cid:durableId="150291892">
    <w:abstractNumId w:val="16"/>
  </w:num>
  <w:num w:numId="5" w16cid:durableId="1324696428">
    <w:abstractNumId w:val="32"/>
  </w:num>
  <w:num w:numId="6" w16cid:durableId="1875969218">
    <w:abstractNumId w:val="10"/>
  </w:num>
  <w:num w:numId="7" w16cid:durableId="744911304">
    <w:abstractNumId w:val="3"/>
  </w:num>
  <w:num w:numId="8" w16cid:durableId="98648728">
    <w:abstractNumId w:val="13"/>
  </w:num>
  <w:num w:numId="9" w16cid:durableId="2116553539">
    <w:abstractNumId w:val="18"/>
  </w:num>
  <w:num w:numId="10" w16cid:durableId="1013342665">
    <w:abstractNumId w:val="0"/>
  </w:num>
  <w:num w:numId="11" w16cid:durableId="170991747">
    <w:abstractNumId w:val="5"/>
  </w:num>
  <w:num w:numId="12" w16cid:durableId="1695418167">
    <w:abstractNumId w:val="9"/>
  </w:num>
  <w:num w:numId="13" w16cid:durableId="63360674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612652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489574">
    <w:abstractNumId w:val="27"/>
  </w:num>
  <w:num w:numId="16" w16cid:durableId="1306159147">
    <w:abstractNumId w:val="20"/>
  </w:num>
  <w:num w:numId="17" w16cid:durableId="1883715167">
    <w:abstractNumId w:val="35"/>
  </w:num>
  <w:num w:numId="18" w16cid:durableId="11143957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611955">
    <w:abstractNumId w:val="24"/>
  </w:num>
  <w:num w:numId="20" w16cid:durableId="1645961687">
    <w:abstractNumId w:val="11"/>
  </w:num>
  <w:num w:numId="21" w16cid:durableId="1024552326">
    <w:abstractNumId w:val="26"/>
  </w:num>
  <w:num w:numId="22" w16cid:durableId="1800342995">
    <w:abstractNumId w:val="4"/>
  </w:num>
  <w:num w:numId="23" w16cid:durableId="85855097">
    <w:abstractNumId w:val="8"/>
  </w:num>
  <w:num w:numId="24" w16cid:durableId="367067509">
    <w:abstractNumId w:val="28"/>
  </w:num>
  <w:num w:numId="25" w16cid:durableId="669675402">
    <w:abstractNumId w:val="21"/>
  </w:num>
  <w:num w:numId="26" w16cid:durableId="408158802">
    <w:abstractNumId w:val="29"/>
  </w:num>
  <w:num w:numId="27" w16cid:durableId="845944030">
    <w:abstractNumId w:val="30"/>
  </w:num>
  <w:num w:numId="28" w16cid:durableId="1311591610">
    <w:abstractNumId w:val="12"/>
  </w:num>
  <w:num w:numId="29" w16cid:durableId="1389962143">
    <w:abstractNumId w:val="6"/>
  </w:num>
  <w:num w:numId="30" w16cid:durableId="1354722249">
    <w:abstractNumId w:val="37"/>
  </w:num>
  <w:num w:numId="31" w16cid:durableId="1030645636">
    <w:abstractNumId w:val="17"/>
  </w:num>
  <w:num w:numId="32" w16cid:durableId="494803086">
    <w:abstractNumId w:val="1"/>
  </w:num>
  <w:num w:numId="33" w16cid:durableId="1164010882">
    <w:abstractNumId w:val="34"/>
  </w:num>
  <w:num w:numId="34" w16cid:durableId="1824933301">
    <w:abstractNumId w:val="14"/>
  </w:num>
  <w:num w:numId="35" w16cid:durableId="1389067246">
    <w:abstractNumId w:val="7"/>
  </w:num>
  <w:num w:numId="36" w16cid:durableId="1733457868">
    <w:abstractNumId w:val="36"/>
  </w:num>
  <w:num w:numId="37" w16cid:durableId="533929528">
    <w:abstractNumId w:val="33"/>
  </w:num>
  <w:num w:numId="38" w16cid:durableId="1980377760">
    <w:abstractNumId w:val="2"/>
  </w:num>
  <w:num w:numId="39" w16cid:durableId="1530606626">
    <w:abstractNumId w:val="15"/>
  </w:num>
  <w:num w:numId="40" w16cid:durableId="20135975">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476"/>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link w:val="CRCoverPageZchn"/>
    <w:qFormat/>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题注,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180-Table-Caption Char,Caption Char2 Char,Caption Char Char Char Char,Caption Char Char1 Char1"/>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列出段落,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中等深浅网格 1 - 着色 21 Char,リスト段落 Char,列出段落1 Char,列表段落 Char,¥¡¡¡¡ì¬º¥¹¥È¶ÎÂä Char,ÁÐ³ö¶ÎÂä Char,列表段落1 Char,—ño’i—Ž Char,¥ê¥¹¥È¶ÎÂä Char,Paragrafo elenco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styleId="UnresolvedMention">
    <w:name w:val="Unresolved Mention"/>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locked/>
    <w:rsid w:val="004D3476"/>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390231556">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276753">
      <w:bodyDiv w:val="1"/>
      <w:marLeft w:val="0"/>
      <w:marRight w:val="0"/>
      <w:marTop w:val="0"/>
      <w:marBottom w:val="0"/>
      <w:divBdr>
        <w:top w:val="none" w:sz="0" w:space="0" w:color="auto"/>
        <w:left w:val="none" w:sz="0" w:space="0" w:color="auto"/>
        <w:bottom w:val="none" w:sz="0" w:space="0" w:color="auto"/>
        <w:right w:val="none" w:sz="0" w:space="0" w:color="auto"/>
      </w:divBdr>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7205983">
      <w:bodyDiv w:val="1"/>
      <w:marLeft w:val="0"/>
      <w:marRight w:val="0"/>
      <w:marTop w:val="0"/>
      <w:marBottom w:val="0"/>
      <w:divBdr>
        <w:top w:val="none" w:sz="0" w:space="0" w:color="auto"/>
        <w:left w:val="none" w:sz="0" w:space="0" w:color="auto"/>
        <w:bottom w:val="none" w:sz="0" w:space="0" w:color="auto"/>
        <w:right w:val="none" w:sz="0" w:space="0" w:color="auto"/>
      </w:divBdr>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0C8EDA-F0E3-4339-BDAD-24DA9F59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Mihai Enescu - after RAN1#114</cp:lastModifiedBy>
  <cp:revision>16</cp:revision>
  <dcterms:created xsi:type="dcterms:W3CDTF">2023-05-15T11:09:00Z</dcterms:created>
  <dcterms:modified xsi:type="dcterms:W3CDTF">2023-09-02T14:27:00Z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