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B064E" w14:textId="35E8216B"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E85449">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70891E60" w14:textId="77777777" w:rsidR="00E85449" w:rsidRPr="00E85449" w:rsidRDefault="00E85449" w:rsidP="00E85449">
      <w:pPr>
        <w:pStyle w:val="a3"/>
        <w:rPr>
          <w:rFonts w:eastAsia="MS Mincho" w:cs="Arial"/>
          <w:bCs/>
          <w:sz w:val="24"/>
          <w:szCs w:val="24"/>
          <w:lang w:val="en-GB" w:eastAsia="ja-JP"/>
        </w:rPr>
      </w:pPr>
      <w:r w:rsidRPr="00E85449">
        <w:rPr>
          <w:rFonts w:eastAsia="MS Mincho" w:cs="Arial"/>
          <w:bCs/>
          <w:sz w:val="24"/>
          <w:szCs w:val="24"/>
          <w:lang w:val="en-GB" w:eastAsia="ja-JP"/>
        </w:rPr>
        <w:t>Toulouse</w:t>
      </w:r>
      <w:r w:rsidRPr="00E85449">
        <w:rPr>
          <w:rFonts w:eastAsia="MS Mincho" w:cs="Arial"/>
          <w:sz w:val="24"/>
          <w:szCs w:val="24"/>
          <w:lang w:val="en-GB" w:eastAsia="ja-JP"/>
        </w:rPr>
        <w:t>, France</w:t>
      </w:r>
      <w:r w:rsidRPr="00E85449">
        <w:rPr>
          <w:rFonts w:eastAsia="MS Mincho" w:cs="Arial"/>
          <w:bCs/>
          <w:sz w:val="24"/>
          <w:szCs w:val="24"/>
          <w:lang w:val="en-GB" w:eastAsia="ja-JP"/>
        </w:rPr>
        <w:t>, August 21 – 25, 2023</w:t>
      </w:r>
    </w:p>
    <w:p w14:paraId="0A7584F0" w14:textId="77777777" w:rsidR="00D872F1" w:rsidRPr="008E1C9C" w:rsidRDefault="00D872F1" w:rsidP="00D872F1">
      <w:pPr>
        <w:pStyle w:val="a3"/>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0B572C5" w:rsidR="00D872F1" w:rsidRPr="008E1C9C" w:rsidRDefault="00D872F1" w:rsidP="0487154D">
      <w:pPr>
        <w:ind w:left="1985" w:hanging="1985"/>
        <w:rPr>
          <w:rFonts w:ascii="Arial" w:hAnsi="Arial" w:cs="Arial"/>
          <w:b/>
          <w:bCs/>
          <w:sz w:val="24"/>
          <w:szCs w:val="24"/>
          <w:lang w:val="en-US"/>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3179F0" w:rsidRPr="003179F0">
        <w:rPr>
          <w:rFonts w:ascii="Arial" w:hAnsi="Arial" w:cs="Arial"/>
          <w:b/>
          <w:bCs/>
          <w:sz w:val="24"/>
          <w:lang w:val="en-US"/>
        </w:rPr>
        <w:t>NR_NTN_enh</w:t>
      </w:r>
      <w:proofErr w:type="spellEnd"/>
      <w:r w:rsidR="00730737" w:rsidRPr="00730737">
        <w:rPr>
          <w:rFonts w:ascii="Arial" w:hAnsi="Arial" w:cs="Arial"/>
          <w:b/>
          <w:bCs/>
          <w:sz w:val="24"/>
          <w:lang w:val="en-US"/>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1"/>
        <w:rPr>
          <w:lang w:val="en-US"/>
        </w:rPr>
      </w:pPr>
      <w:r w:rsidRPr="008E1C9C">
        <w:rPr>
          <w:lang w:val="en-US"/>
        </w:rPr>
        <w:t>1</w:t>
      </w:r>
      <w:r w:rsidRPr="008E1C9C">
        <w:rPr>
          <w:lang w:val="en-US"/>
        </w:rPr>
        <w:tab/>
        <w:t>Introduction</w:t>
      </w:r>
    </w:p>
    <w:p w14:paraId="29ECC100" w14:textId="40E21415" w:rsidR="00882F92" w:rsidRPr="00882F92" w:rsidRDefault="00882F92" w:rsidP="00882F92">
      <w:pPr>
        <w:rPr>
          <w:rFonts w:eastAsia="MS Mincho"/>
          <w:szCs w:val="24"/>
          <w:lang w:val="en-US"/>
        </w:rPr>
      </w:pPr>
      <w:r w:rsidRPr="00882F92">
        <w:rPr>
          <w:rFonts w:eastAsia="MS Mincho"/>
          <w:szCs w:val="24"/>
          <w:lang w:val="en-US"/>
        </w:rPr>
        <w:t xml:space="preserve">This thread will discuss the draft CR to 38.214 for the </w:t>
      </w:r>
      <w:proofErr w:type="spellStart"/>
      <w:r w:rsidR="003179F0" w:rsidRPr="003179F0">
        <w:rPr>
          <w:rFonts w:eastAsia="MS Mincho"/>
          <w:szCs w:val="24"/>
          <w:lang w:val="en-US"/>
        </w:rPr>
        <w:t>NR_NTN_enh</w:t>
      </w:r>
      <w:proofErr w:type="spellEnd"/>
      <w:r w:rsidR="00730737" w:rsidRPr="00730737">
        <w:rPr>
          <w:rFonts w:eastAsia="MS Mincho"/>
          <w:szCs w:val="24"/>
          <w:lang w:val="en-US"/>
        </w:rPr>
        <w:t>-Core</w:t>
      </w:r>
      <w:r w:rsidRPr="00882F92">
        <w:rPr>
          <w:rFonts w:eastAsia="MS Mincho"/>
          <w:szCs w:val="24"/>
          <w:lang w:val="en-US"/>
        </w:rPr>
        <w:t>.</w:t>
      </w:r>
    </w:p>
    <w:p w14:paraId="61A7D4BE" w14:textId="112312F7" w:rsidR="00503762" w:rsidRPr="00D37C08" w:rsidRDefault="00503762" w:rsidP="00503762">
      <w:pPr>
        <w:rPr>
          <w:lang w:val="en-US" w:eastAsia="zh-CN"/>
        </w:rPr>
      </w:pPr>
      <w:bookmarkStart w:id="1" w:name="_Ref54348033"/>
      <w:r w:rsidRPr="00D37C08">
        <w:rPr>
          <w:rFonts w:eastAsia="MS Mincho"/>
          <w:szCs w:val="24"/>
          <w:lang w:val="en-US"/>
        </w:rPr>
        <w:t xml:space="preserve">First checkpoint for this discussion: </w:t>
      </w:r>
      <w:r w:rsidR="00E85449" w:rsidRPr="00E85449">
        <w:rPr>
          <w:rFonts w:eastAsia="MS Mincho"/>
          <w:b/>
          <w:bCs/>
          <w:szCs w:val="24"/>
        </w:rPr>
        <w:t xml:space="preserve">September </w:t>
      </w:r>
      <w:r w:rsidR="00690234">
        <w:rPr>
          <w:rFonts w:eastAsia="MS Mincho"/>
          <w:b/>
          <w:bCs/>
          <w:szCs w:val="24"/>
        </w:rPr>
        <w:t>5</w:t>
      </w:r>
      <w:r w:rsidR="00E85449" w:rsidRPr="00E85449">
        <w:rPr>
          <w:rFonts w:eastAsia="MS Mincho"/>
          <w:b/>
          <w:bCs/>
          <w:szCs w:val="24"/>
        </w:rPr>
        <w:t xml:space="preserve">th, </w:t>
      </w:r>
      <w:r w:rsidR="00690234">
        <w:rPr>
          <w:rFonts w:eastAsia="MS Mincho"/>
          <w:b/>
          <w:bCs/>
          <w:szCs w:val="24"/>
        </w:rPr>
        <w:t xml:space="preserve">6:00 am </w:t>
      </w:r>
      <w:r w:rsidR="00E85449" w:rsidRPr="00E85449">
        <w:rPr>
          <w:rFonts w:eastAsia="MS Mincho"/>
          <w:b/>
          <w:bCs/>
          <w:szCs w:val="24"/>
        </w:rPr>
        <w:t>UTC!</w:t>
      </w:r>
    </w:p>
    <w:p w14:paraId="36CC0B75" w14:textId="723B05A8" w:rsidR="000E1FAC" w:rsidRDefault="00B04602" w:rsidP="005558B8">
      <w:pPr>
        <w:pStyle w:val="1"/>
        <w:rPr>
          <w:lang w:val="en-US"/>
        </w:rPr>
      </w:pPr>
      <w:r w:rsidRPr="008E1C9C">
        <w:rPr>
          <w:lang w:val="en-US"/>
        </w:rPr>
        <w:t>2</w:t>
      </w:r>
      <w:r w:rsidR="000E1FAC" w:rsidRPr="008E1C9C">
        <w:rPr>
          <w:lang w:val="en-US"/>
        </w:rPr>
        <w:tab/>
      </w:r>
      <w:bookmarkEnd w:id="1"/>
      <w:r w:rsidR="00882F92" w:rsidRPr="00882F92">
        <w:rPr>
          <w:lang w:val="en-US"/>
        </w:rPr>
        <w:t xml:space="preserve">Discussion </w:t>
      </w:r>
    </w:p>
    <w:p w14:paraId="147D8683" w14:textId="5399F54D" w:rsidR="00882F92" w:rsidRPr="000C363F" w:rsidRDefault="000C363F" w:rsidP="00882F92">
      <w:pPr>
        <w:pStyle w:val="afe"/>
        <w:rPr>
          <w:b/>
          <w:bCs/>
          <w:u w:val="single"/>
        </w:rPr>
      </w:pPr>
      <w:r w:rsidRPr="00882F92">
        <w:rPr>
          <w:rFonts w:cstheme="minorHAnsi"/>
        </w:rPr>
        <w:t>The comments in this section are based</w:t>
      </w:r>
      <w:r>
        <w:rPr>
          <w:rFonts w:cstheme="minorHAnsi"/>
        </w:rPr>
        <w:t xml:space="preserve"> version 0 of the </w:t>
      </w:r>
      <w:r w:rsidRPr="00882F92">
        <w:rPr>
          <w:rFonts w:cstheme="minorHAnsi"/>
        </w:rPr>
        <w:t>draft CR</w:t>
      </w:r>
      <w:r>
        <w:t>.</w:t>
      </w:r>
    </w:p>
    <w:tbl>
      <w:tblPr>
        <w:tblStyle w:val="ae"/>
        <w:tblW w:w="0" w:type="auto"/>
        <w:jc w:val="center"/>
        <w:tblLook w:val="04A0" w:firstRow="1" w:lastRow="0" w:firstColumn="1" w:lastColumn="0" w:noHBand="0" w:noVBand="1"/>
      </w:tblPr>
      <w:tblGrid>
        <w:gridCol w:w="1405"/>
        <w:gridCol w:w="5820"/>
        <w:gridCol w:w="1837"/>
      </w:tblGrid>
      <w:tr w:rsidR="00882F92" w14:paraId="3D5D1E5D" w14:textId="77777777" w:rsidTr="00196577">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196577">
        <w:trPr>
          <w:trHeight w:val="53"/>
          <w:jc w:val="center"/>
        </w:trPr>
        <w:tc>
          <w:tcPr>
            <w:tcW w:w="1405" w:type="dxa"/>
          </w:tcPr>
          <w:p w14:paraId="3862A31D" w14:textId="6193ADA0" w:rsidR="00882F92" w:rsidRDefault="00196577" w:rsidP="002D56BB">
            <w:pPr>
              <w:rPr>
                <w:lang w:eastAsia="zh-CN"/>
              </w:rPr>
            </w:pPr>
            <w:r>
              <w:rPr>
                <w:lang w:eastAsia="zh-CN"/>
              </w:rPr>
              <w:t>MediaTek</w:t>
            </w:r>
          </w:p>
        </w:tc>
        <w:tc>
          <w:tcPr>
            <w:tcW w:w="5820" w:type="dxa"/>
          </w:tcPr>
          <w:p w14:paraId="0BCB8956" w14:textId="77777777" w:rsidR="00196577" w:rsidRDefault="00196577" w:rsidP="00196577">
            <w:pPr>
              <w:rPr>
                <w:rFonts w:eastAsiaTheme="minorEastAsia"/>
                <w:sz w:val="22"/>
                <w:szCs w:val="22"/>
                <w:lang w:val="en-US"/>
              </w:rPr>
            </w:pPr>
            <w:r>
              <w:rPr>
                <w:sz w:val="22"/>
                <w:szCs w:val="22"/>
                <w:lang w:val="en-US"/>
              </w:rPr>
              <w:t xml:space="preserve">.  I copy the RAN1 agreement below. It was discussed in RAN1 whether the UE report “the actual UE Rx-Tx time difference offset”, and it was not clear what it meant this offset. RAN1 agreed on the “UE reports the actual index difference between subframe j and subframe </w:t>
            </w:r>
            <w:proofErr w:type="spellStart"/>
            <w:r>
              <w:rPr>
                <w:sz w:val="22"/>
                <w:szCs w:val="22"/>
                <w:lang w:val="en-US"/>
              </w:rPr>
              <w:t>i</w:t>
            </w:r>
            <w:proofErr w:type="spellEnd"/>
            <w:r>
              <w:rPr>
                <w:sz w:val="22"/>
                <w:szCs w:val="22"/>
                <w:lang w:val="en-US"/>
              </w:rPr>
              <w:t xml:space="preserve">” to clarify to all that the actual UE Rx-Tx time difference offset is 1) not an absolute time difference in Tc; 2) an index difference between subframe index </w:t>
            </w:r>
            <w:proofErr w:type="spellStart"/>
            <w:r>
              <w:rPr>
                <w:sz w:val="22"/>
                <w:szCs w:val="22"/>
                <w:lang w:val="en-US"/>
              </w:rPr>
              <w:t>i</w:t>
            </w:r>
            <w:proofErr w:type="spellEnd"/>
            <w:r>
              <w:rPr>
                <w:sz w:val="22"/>
                <w:szCs w:val="22"/>
                <w:lang w:val="en-US"/>
              </w:rPr>
              <w:t xml:space="preserve"> for receiving the PRS  and subframe j for transmitting the UE Rx-Tx time difference report.  </w:t>
            </w:r>
          </w:p>
          <w:p w14:paraId="1A60672F" w14:textId="77777777" w:rsidR="00196577" w:rsidRDefault="00196577" w:rsidP="00196577">
            <w:pPr>
              <w:rPr>
                <w:sz w:val="22"/>
                <w:szCs w:val="22"/>
                <w:lang w:val="en-US"/>
              </w:rPr>
            </w:pPr>
          </w:p>
          <w:p w14:paraId="7F633FBA" w14:textId="77777777" w:rsidR="00196577" w:rsidRDefault="00196577" w:rsidP="00196577">
            <w:pPr>
              <w:ind w:left="540"/>
              <w:rPr>
                <w:rFonts w:ascii="Times" w:hAnsi="Times" w:cs="Times"/>
              </w:rPr>
            </w:pPr>
            <w:r>
              <w:rPr>
                <w:rFonts w:ascii="Times" w:hAnsi="Times" w:cs="Times"/>
                <w:highlight w:val="green"/>
              </w:rPr>
              <w:t>Agreement</w:t>
            </w:r>
          </w:p>
          <w:p w14:paraId="1D90B19E" w14:textId="77777777" w:rsidR="00196577" w:rsidRDefault="00196577" w:rsidP="00196577">
            <w:pPr>
              <w:ind w:left="540"/>
              <w:rPr>
                <w:rFonts w:ascii="Times" w:hAnsi="Times" w:cs="Times"/>
              </w:rPr>
            </w:pPr>
            <w:r>
              <w:rPr>
                <w:rFonts w:ascii="Times" w:hAnsi="Times" w:cs="Times"/>
              </w:rPr>
              <w:t xml:space="preserve">The legacy R17 definition of UE Rx-Tx time difference is adopted for NTN with an offset that is determined based on the following: </w:t>
            </w:r>
          </w:p>
          <w:p w14:paraId="52FAB55E" w14:textId="77777777" w:rsidR="00196577" w:rsidRDefault="00196577" w:rsidP="00196577">
            <w:pPr>
              <w:numPr>
                <w:ilvl w:val="0"/>
                <w:numId w:val="35"/>
              </w:numPr>
              <w:overflowPunct/>
              <w:autoSpaceDE/>
              <w:autoSpaceDN/>
              <w:adjustRightInd/>
              <w:spacing w:after="0"/>
              <w:jc w:val="left"/>
              <w:textAlignment w:val="center"/>
              <w:rPr>
                <w:rFonts w:ascii="Calibri" w:eastAsia="Times New Roman" w:hAnsi="Calibri" w:cs="Calibri"/>
                <w:sz w:val="22"/>
                <w:szCs w:val="22"/>
              </w:rPr>
            </w:pPr>
            <w:r>
              <w:rPr>
                <w:rFonts w:ascii="Times" w:eastAsia="Times New Roman" w:hAnsi="Times" w:cs="Times"/>
              </w:rPr>
              <w:t xml:space="preserve">UE reports the actual index difference between subframe j and subframe </w:t>
            </w:r>
            <w:proofErr w:type="spellStart"/>
            <w:r>
              <w:rPr>
                <w:rFonts w:ascii="Times" w:eastAsia="Times New Roman" w:hAnsi="Times" w:cs="Times"/>
              </w:rPr>
              <w:t>i</w:t>
            </w:r>
            <w:proofErr w:type="spellEnd"/>
            <w:r>
              <w:rPr>
                <w:rFonts w:ascii="Times" w:eastAsia="Times New Roman" w:hAnsi="Times" w:cs="Times"/>
              </w:rPr>
              <w:t xml:space="preserve"> </w:t>
            </w:r>
          </w:p>
          <w:p w14:paraId="770CAF1C" w14:textId="77777777" w:rsidR="00196577" w:rsidRDefault="00196577" w:rsidP="00196577">
            <w:pPr>
              <w:numPr>
                <w:ilvl w:val="1"/>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 xml:space="preserve">The uplink subframe j is closest in time to the DL subframe #i received from the TP </w:t>
            </w:r>
          </w:p>
          <w:p w14:paraId="3CA6CED1" w14:textId="77777777" w:rsidR="00196577" w:rsidRDefault="00196577" w:rsidP="00196577">
            <w:pPr>
              <w:numPr>
                <w:ilvl w:val="0"/>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The DL timing drift due to Doppler over the service link associated with the UE RX-TX time difference measurement period is reported</w:t>
            </w:r>
          </w:p>
          <w:p w14:paraId="6658F553" w14:textId="77777777" w:rsidR="00196577" w:rsidRDefault="00196577" w:rsidP="00196577">
            <w:pPr>
              <w:rPr>
                <w:rFonts w:eastAsiaTheme="minorEastAsia"/>
                <w:sz w:val="22"/>
                <w:szCs w:val="22"/>
                <w14:ligatures w14:val="standardContextual"/>
              </w:rPr>
            </w:pPr>
          </w:p>
          <w:p w14:paraId="7DC86357" w14:textId="77777777" w:rsidR="00196577" w:rsidRDefault="00196577" w:rsidP="00196577">
            <w:pPr>
              <w:rPr>
                <w:sz w:val="22"/>
                <w:szCs w:val="22"/>
              </w:rPr>
            </w:pPr>
            <w:r>
              <w:rPr>
                <w:sz w:val="22"/>
                <w:szCs w:val="22"/>
              </w:rPr>
              <w:t xml:space="preserve">I also copy the TS </w:t>
            </w:r>
            <w:proofErr w:type="gramStart"/>
            <w:r>
              <w:rPr>
                <w:sz w:val="22"/>
                <w:szCs w:val="22"/>
              </w:rPr>
              <w:t>38.215  5.1.30</w:t>
            </w:r>
            <w:proofErr w:type="gramEnd"/>
            <w:r>
              <w:rPr>
                <w:sz w:val="22"/>
                <w:szCs w:val="22"/>
              </w:rPr>
              <w:t xml:space="preserve"> UE Rx – Tx time difference for reference</w:t>
            </w:r>
          </w:p>
          <w:p w14:paraId="0B97F9EB" w14:textId="77777777" w:rsidR="00196577" w:rsidRDefault="00196577" w:rsidP="00196577">
            <w:pPr>
              <w:rPr>
                <w:sz w:val="22"/>
                <w:szCs w:val="22"/>
              </w:rPr>
            </w:pPr>
          </w:p>
          <w:tbl>
            <w:tblPr>
              <w:tblW w:w="0" w:type="auto"/>
              <w:tblCellMar>
                <w:left w:w="0" w:type="dxa"/>
                <w:right w:w="0" w:type="dxa"/>
              </w:tblCellMar>
              <w:tblLook w:val="04A0" w:firstRow="1" w:lastRow="0" w:firstColumn="1" w:lastColumn="0" w:noHBand="0" w:noVBand="1"/>
            </w:tblPr>
            <w:tblGrid>
              <w:gridCol w:w="1290"/>
              <w:gridCol w:w="4314"/>
            </w:tblGrid>
            <w:tr w:rsidR="00196577" w14:paraId="45F67E16" w14:textId="77777777" w:rsidTr="00196577">
              <w:trPr>
                <w:trHeight w:val="1637"/>
              </w:trPr>
              <w:tc>
                <w:tcPr>
                  <w:tcW w:w="1526" w:type="dxa"/>
                  <w:tcMar>
                    <w:top w:w="0" w:type="dxa"/>
                    <w:left w:w="108" w:type="dxa"/>
                    <w:bottom w:w="0" w:type="dxa"/>
                    <w:right w:w="108" w:type="dxa"/>
                  </w:tcMar>
                  <w:hideMark/>
                </w:tcPr>
                <w:p w14:paraId="605B62D8" w14:textId="77777777" w:rsidR="00196577" w:rsidRDefault="00196577" w:rsidP="00196577">
                  <w:pPr>
                    <w:pStyle w:val="Default0"/>
                    <w:rPr>
                      <w:sz w:val="18"/>
                      <w:szCs w:val="18"/>
                    </w:rPr>
                  </w:pPr>
                  <w:r>
                    <w:rPr>
                      <w:b/>
                      <w:bCs/>
                      <w:sz w:val="18"/>
                      <w:szCs w:val="18"/>
                    </w:rPr>
                    <w:lastRenderedPageBreak/>
                    <w:t xml:space="preserve">Definition </w:t>
                  </w:r>
                </w:p>
              </w:tc>
              <w:tc>
                <w:tcPr>
                  <w:tcW w:w="7796" w:type="dxa"/>
                  <w:tcMar>
                    <w:top w:w="0" w:type="dxa"/>
                    <w:left w:w="108" w:type="dxa"/>
                    <w:bottom w:w="0" w:type="dxa"/>
                    <w:right w:w="108" w:type="dxa"/>
                  </w:tcMar>
                </w:tcPr>
                <w:p w14:paraId="2CEBD455" w14:textId="77777777" w:rsidR="00196577" w:rsidRDefault="00196577" w:rsidP="00196577">
                  <w:pPr>
                    <w:pStyle w:val="Default0"/>
                    <w:rPr>
                      <w:sz w:val="12"/>
                      <w:szCs w:val="12"/>
                    </w:rPr>
                  </w:pPr>
                  <w:r>
                    <w:rPr>
                      <w:sz w:val="18"/>
                      <w:szCs w:val="18"/>
                    </w:rPr>
                    <w:t>The UE Rx – Tx time difference is defined as T</w:t>
                  </w:r>
                  <w:r>
                    <w:rPr>
                      <w:sz w:val="12"/>
                      <w:szCs w:val="12"/>
                    </w:rPr>
                    <w:t xml:space="preserve">UE-RX </w:t>
                  </w:r>
                  <w:r>
                    <w:rPr>
                      <w:sz w:val="18"/>
                      <w:szCs w:val="18"/>
                    </w:rPr>
                    <w:t>– T</w:t>
                  </w:r>
                  <w:r>
                    <w:rPr>
                      <w:sz w:val="12"/>
                      <w:szCs w:val="12"/>
                    </w:rPr>
                    <w:t xml:space="preserve">UE-TX </w:t>
                  </w:r>
                </w:p>
                <w:p w14:paraId="6E3D8EE0" w14:textId="77777777" w:rsidR="00196577" w:rsidRDefault="00196577" w:rsidP="00196577">
                  <w:pPr>
                    <w:pStyle w:val="Default0"/>
                    <w:rPr>
                      <w:sz w:val="18"/>
                      <w:szCs w:val="18"/>
                    </w:rPr>
                  </w:pPr>
                </w:p>
                <w:p w14:paraId="4A9F2AF3" w14:textId="77777777" w:rsidR="00196577" w:rsidRDefault="00196577" w:rsidP="00196577">
                  <w:pPr>
                    <w:pStyle w:val="Default0"/>
                    <w:rPr>
                      <w:sz w:val="18"/>
                      <w:szCs w:val="18"/>
                    </w:rPr>
                  </w:pPr>
                  <w:r>
                    <w:rPr>
                      <w:sz w:val="18"/>
                      <w:szCs w:val="18"/>
                    </w:rPr>
                    <w:t xml:space="preserve">Where: </w:t>
                  </w:r>
                </w:p>
                <w:p w14:paraId="573F849E" w14:textId="77777777" w:rsidR="00196577" w:rsidRDefault="00196577" w:rsidP="00196577">
                  <w:pPr>
                    <w:pStyle w:val="Default0"/>
                    <w:rPr>
                      <w:sz w:val="18"/>
                      <w:szCs w:val="18"/>
                    </w:rPr>
                  </w:pPr>
                  <w:r>
                    <w:rPr>
                      <w:sz w:val="18"/>
                      <w:szCs w:val="18"/>
                    </w:rPr>
                    <w:t>T</w:t>
                  </w:r>
                  <w:r>
                    <w:rPr>
                      <w:sz w:val="12"/>
                      <w:szCs w:val="12"/>
                    </w:rPr>
                    <w:t xml:space="preserve">UE-RX </w:t>
                  </w:r>
                  <w:r>
                    <w:rPr>
                      <w:sz w:val="18"/>
                      <w:szCs w:val="18"/>
                    </w:rPr>
                    <w:t>is the UE received timing of downlink subframe #</w:t>
                  </w:r>
                  <w:r>
                    <w:rPr>
                      <w:i/>
                      <w:iCs/>
                      <w:sz w:val="18"/>
                      <w:szCs w:val="18"/>
                    </w:rPr>
                    <w:t xml:space="preserve">i </w:t>
                  </w:r>
                  <w:r>
                    <w:rPr>
                      <w:sz w:val="18"/>
                      <w:szCs w:val="18"/>
                    </w:rPr>
                    <w:t xml:space="preserve">from a Transmission Point (TP) [18], defined by the first detected path in time. </w:t>
                  </w:r>
                </w:p>
                <w:p w14:paraId="3ACF8128" w14:textId="77777777" w:rsidR="00196577" w:rsidRDefault="00196577" w:rsidP="00196577">
                  <w:pPr>
                    <w:pStyle w:val="Default0"/>
                    <w:rPr>
                      <w:sz w:val="18"/>
                      <w:szCs w:val="18"/>
                    </w:rPr>
                  </w:pPr>
                  <w:r>
                    <w:rPr>
                      <w:sz w:val="18"/>
                      <w:szCs w:val="18"/>
                    </w:rPr>
                    <w:t>T</w:t>
                  </w:r>
                  <w:r>
                    <w:rPr>
                      <w:sz w:val="12"/>
                      <w:szCs w:val="12"/>
                    </w:rPr>
                    <w:t xml:space="preserve">UE-TX </w:t>
                  </w:r>
                  <w:r>
                    <w:rPr>
                      <w:sz w:val="18"/>
                      <w:szCs w:val="18"/>
                    </w:rPr>
                    <w:t>is the UE transmit timing of uplink subframe #</w:t>
                  </w:r>
                  <w:r>
                    <w:rPr>
                      <w:i/>
                      <w:iCs/>
                      <w:sz w:val="18"/>
                      <w:szCs w:val="18"/>
                    </w:rPr>
                    <w:t xml:space="preserve">j </w:t>
                  </w:r>
                  <w:r>
                    <w:rPr>
                      <w:sz w:val="18"/>
                      <w:szCs w:val="18"/>
                    </w:rPr>
                    <w:t xml:space="preserve">that is closest in time to the subframe #i received from the TP. </w:t>
                  </w:r>
                </w:p>
                <w:p w14:paraId="459ABA9E" w14:textId="77777777" w:rsidR="00196577" w:rsidRDefault="00196577" w:rsidP="00196577">
                  <w:pPr>
                    <w:pStyle w:val="Default0"/>
                    <w:rPr>
                      <w:sz w:val="18"/>
                      <w:szCs w:val="18"/>
                    </w:rPr>
                  </w:pPr>
                </w:p>
                <w:p w14:paraId="5BF60621" w14:textId="77777777" w:rsidR="00196577" w:rsidRDefault="00196577" w:rsidP="00196577">
                  <w:pPr>
                    <w:pStyle w:val="Default0"/>
                    <w:rPr>
                      <w:sz w:val="18"/>
                      <w:szCs w:val="18"/>
                    </w:rPr>
                  </w:pPr>
                  <w:r>
                    <w:rPr>
                      <w:sz w:val="18"/>
                      <w:szCs w:val="18"/>
                    </w:rPr>
                    <w:t xml:space="preserve">Multiple DL PRS or CSI-RS for tracking resources, as instructed by higher layers, can be used to determine the start of one subframe of the first arrival path of the TP. </w:t>
                  </w:r>
                </w:p>
                <w:p w14:paraId="08560BD0" w14:textId="77777777" w:rsidR="00196577" w:rsidRDefault="00196577" w:rsidP="00196577">
                  <w:pPr>
                    <w:pStyle w:val="Default0"/>
                    <w:rPr>
                      <w:sz w:val="18"/>
                      <w:szCs w:val="18"/>
                    </w:rPr>
                  </w:pPr>
                </w:p>
                <w:p w14:paraId="680FECA6" w14:textId="77777777" w:rsidR="00196577" w:rsidRDefault="00196577" w:rsidP="00196577">
                  <w:pPr>
                    <w:pStyle w:val="Default0"/>
                    <w:rPr>
                      <w:sz w:val="18"/>
                      <w:szCs w:val="18"/>
                    </w:rPr>
                  </w:pPr>
                  <w:r>
                    <w:rPr>
                      <w:sz w:val="18"/>
                      <w:szCs w:val="18"/>
                    </w:rPr>
                    <w:t>For frequency range 1, the reference point for T</w:t>
                  </w:r>
                  <w:r>
                    <w:rPr>
                      <w:sz w:val="12"/>
                      <w:szCs w:val="12"/>
                    </w:rPr>
                    <w:t xml:space="preserve">UE-RX </w:t>
                  </w:r>
                  <w:r>
                    <w:rPr>
                      <w:sz w:val="18"/>
                      <w:szCs w:val="18"/>
                    </w:rPr>
                    <w:t>measurement shall be the Rx antenna connector of the UE and the reference point for T</w:t>
                  </w:r>
                  <w:r>
                    <w:rPr>
                      <w:sz w:val="12"/>
                      <w:szCs w:val="12"/>
                    </w:rPr>
                    <w:t xml:space="preserve">UE-TX </w:t>
                  </w:r>
                  <w:r>
                    <w:rPr>
                      <w:sz w:val="18"/>
                      <w:szCs w:val="18"/>
                    </w:rPr>
                    <w:t>measurement shall be the Tx antenna connector of the UE. For frequency range 2, the reference point for T</w:t>
                  </w:r>
                  <w:r>
                    <w:rPr>
                      <w:sz w:val="12"/>
                      <w:szCs w:val="12"/>
                    </w:rPr>
                    <w:t xml:space="preserve">UE-RX </w:t>
                  </w:r>
                  <w:r>
                    <w:rPr>
                      <w:sz w:val="18"/>
                      <w:szCs w:val="18"/>
                    </w:rPr>
                    <w:t>measurement shall be the Rx antenna of the UE and the reference point for T</w:t>
                  </w:r>
                  <w:r>
                    <w:rPr>
                      <w:sz w:val="12"/>
                      <w:szCs w:val="12"/>
                    </w:rPr>
                    <w:t xml:space="preserve">UE-TX </w:t>
                  </w:r>
                  <w:r>
                    <w:rPr>
                      <w:sz w:val="18"/>
                      <w:szCs w:val="18"/>
                    </w:rPr>
                    <w:t xml:space="preserve">measurement shall be the Tx antenna of the UE. </w:t>
                  </w:r>
                </w:p>
              </w:tc>
            </w:tr>
            <w:tr w:rsidR="00196577" w14:paraId="75CCD304" w14:textId="77777777" w:rsidTr="00196577">
              <w:trPr>
                <w:trHeight w:val="187"/>
              </w:trPr>
              <w:tc>
                <w:tcPr>
                  <w:tcW w:w="1526" w:type="dxa"/>
                  <w:tcMar>
                    <w:top w:w="0" w:type="dxa"/>
                    <w:left w:w="108" w:type="dxa"/>
                    <w:bottom w:w="0" w:type="dxa"/>
                    <w:right w:w="108" w:type="dxa"/>
                  </w:tcMar>
                  <w:hideMark/>
                </w:tcPr>
                <w:p w14:paraId="1C4FED68" w14:textId="77777777" w:rsidR="00196577" w:rsidRDefault="00196577" w:rsidP="00196577">
                  <w:pPr>
                    <w:pStyle w:val="Default0"/>
                    <w:rPr>
                      <w:sz w:val="18"/>
                      <w:szCs w:val="18"/>
                    </w:rPr>
                  </w:pPr>
                  <w:r>
                    <w:rPr>
                      <w:b/>
                      <w:bCs/>
                      <w:sz w:val="18"/>
                      <w:szCs w:val="18"/>
                    </w:rPr>
                    <w:t xml:space="preserve">Applicable for </w:t>
                  </w:r>
                </w:p>
              </w:tc>
              <w:tc>
                <w:tcPr>
                  <w:tcW w:w="7796" w:type="dxa"/>
                  <w:tcMar>
                    <w:top w:w="0" w:type="dxa"/>
                    <w:left w:w="108" w:type="dxa"/>
                    <w:bottom w:w="0" w:type="dxa"/>
                    <w:right w:w="108" w:type="dxa"/>
                  </w:tcMar>
                  <w:hideMark/>
                </w:tcPr>
                <w:p w14:paraId="41537956" w14:textId="77777777" w:rsidR="00196577" w:rsidRDefault="00196577" w:rsidP="00196577">
                  <w:pPr>
                    <w:pStyle w:val="Default0"/>
                    <w:rPr>
                      <w:sz w:val="18"/>
                      <w:szCs w:val="18"/>
                    </w:rPr>
                  </w:pPr>
                  <w:r>
                    <w:rPr>
                      <w:sz w:val="18"/>
                      <w:szCs w:val="18"/>
                    </w:rPr>
                    <w:t xml:space="preserve">RRC_CONNECTED, </w:t>
                  </w:r>
                </w:p>
                <w:p w14:paraId="3A62A7D1" w14:textId="77777777" w:rsidR="00196577" w:rsidRDefault="00196577" w:rsidP="00196577">
                  <w:pPr>
                    <w:pStyle w:val="Default0"/>
                    <w:rPr>
                      <w:sz w:val="18"/>
                      <w:szCs w:val="18"/>
                    </w:rPr>
                  </w:pPr>
                  <w:r>
                    <w:rPr>
                      <w:sz w:val="18"/>
                      <w:szCs w:val="18"/>
                    </w:rPr>
                    <w:t xml:space="preserve">RRC_INACTIVE </w:t>
                  </w:r>
                </w:p>
              </w:tc>
            </w:tr>
          </w:tbl>
          <w:p w14:paraId="4DC83557" w14:textId="77777777" w:rsidR="00196577" w:rsidRDefault="00196577" w:rsidP="00196577">
            <w:pPr>
              <w:rPr>
                <w:rFonts w:ascii="Calibri" w:eastAsiaTheme="minorEastAsia" w:hAnsi="Calibri" w:cs="Calibri"/>
                <w:sz w:val="22"/>
                <w:szCs w:val="22"/>
                <w14:ligatures w14:val="standardContextual"/>
              </w:rPr>
            </w:pPr>
          </w:p>
          <w:p w14:paraId="14B3323C" w14:textId="77777777" w:rsidR="00196577" w:rsidRDefault="00196577" w:rsidP="00196577">
            <w:pPr>
              <w:rPr>
                <w:sz w:val="22"/>
                <w:szCs w:val="22"/>
              </w:rPr>
            </w:pPr>
          </w:p>
          <w:p w14:paraId="399AE34A" w14:textId="77777777" w:rsidR="00196577" w:rsidRDefault="00196577" w:rsidP="00196577">
            <w:pPr>
              <w:rPr>
                <w:sz w:val="22"/>
                <w:szCs w:val="22"/>
              </w:rPr>
            </w:pPr>
            <w:r>
              <w:rPr>
                <w:sz w:val="22"/>
                <w:szCs w:val="22"/>
              </w:rPr>
              <w:t xml:space="preserve">I think the proposed CR will change the understanding in RAN1 and may lead to some confusion. The simplest way to fix this is to capture the RAN1 agreement in the CR. </w:t>
            </w:r>
          </w:p>
          <w:p w14:paraId="060E7044" w14:textId="77777777" w:rsidR="00196577" w:rsidRDefault="00196577" w:rsidP="00196577">
            <w:pPr>
              <w:rPr>
                <w:sz w:val="22"/>
                <w:szCs w:val="22"/>
              </w:rPr>
            </w:pPr>
          </w:p>
          <w:p w14:paraId="4DBC66C1" w14:textId="336878C6" w:rsidR="00882F92" w:rsidRPr="00196577" w:rsidRDefault="00196577" w:rsidP="002D56BB">
            <w:pPr>
              <w:rPr>
                <w:color w:val="000000"/>
                <w:lang w:val="en-US"/>
              </w:rPr>
            </w:pPr>
            <w:r>
              <w:rPr>
                <w:color w:val="000000"/>
                <w:sz w:val="22"/>
                <w:szCs w:val="22"/>
                <w:lang w:val="en-US"/>
              </w:rPr>
              <w:t xml:space="preserve">The UE may be configured to measure and report, via higher layer parameter [undetermined NTN related parameter] subject to UE capability, </w:t>
            </w:r>
            <w:r>
              <w:rPr>
                <w:sz w:val="22"/>
                <w:szCs w:val="22"/>
                <w:lang w:val="en-US"/>
              </w:rPr>
              <w:t xml:space="preserve">UE Rx-Tx time difference measurements on a PRS resource associated with a </w:t>
            </w:r>
            <w:r>
              <w:rPr>
                <w:i/>
                <w:iCs/>
                <w:color w:val="000000"/>
                <w:sz w:val="22"/>
                <w:szCs w:val="22"/>
                <w:lang w:val="en-US"/>
              </w:rPr>
              <w:t>dl-PRS-ID</w:t>
            </w:r>
            <w:r>
              <w:rPr>
                <w:color w:val="000000"/>
                <w:sz w:val="22"/>
                <w:szCs w:val="22"/>
                <w:lang w:val="en-US"/>
              </w:rPr>
              <w:t xml:space="preserve">. The UE shall report the actual </w:t>
            </w:r>
            <w:r>
              <w:rPr>
                <w:strike/>
                <w:color w:val="FF0000"/>
                <w:sz w:val="22"/>
                <w:szCs w:val="22"/>
                <w:lang w:val="en-US"/>
              </w:rPr>
              <w:t>UE Rx-Tx time difference offset</w:t>
            </w:r>
            <w:r>
              <w:rPr>
                <w:color w:val="FF0000"/>
                <w:sz w:val="22"/>
                <w:szCs w:val="22"/>
                <w:lang w:val="en-US"/>
              </w:rPr>
              <w:t xml:space="preserve"> index difference between subframe j and subframe </w:t>
            </w:r>
            <w:proofErr w:type="spellStart"/>
            <w:r>
              <w:rPr>
                <w:color w:val="FF0000"/>
                <w:sz w:val="22"/>
                <w:szCs w:val="22"/>
                <w:lang w:val="en-US"/>
              </w:rPr>
              <w:t>i</w:t>
            </w:r>
            <w:proofErr w:type="spellEnd"/>
            <w:r>
              <w:rPr>
                <w:color w:val="FF0000"/>
                <w:sz w:val="22"/>
                <w:szCs w:val="22"/>
                <w:lang w:val="en-US"/>
              </w:rPr>
              <w:t xml:space="preserve">,  where the uplink subframe j is closest in time to the DL subframe </w:t>
            </w:r>
            <w:proofErr w:type="spellStart"/>
            <w:r>
              <w:rPr>
                <w:color w:val="FF0000"/>
                <w:sz w:val="22"/>
                <w:szCs w:val="22"/>
                <w:lang w:val="en-US"/>
              </w:rPr>
              <w:t>i</w:t>
            </w:r>
            <w:proofErr w:type="spellEnd"/>
            <w:r>
              <w:rPr>
                <w:color w:val="FF0000"/>
                <w:sz w:val="22"/>
                <w:szCs w:val="22"/>
                <w:lang w:val="en-US"/>
              </w:rPr>
              <w:t>,  </w:t>
            </w:r>
            <w:r>
              <w:rPr>
                <w:color w:val="000000"/>
                <w:sz w:val="22"/>
                <w:szCs w:val="22"/>
                <w:lang w:val="en-US"/>
              </w:rPr>
              <w:t>and the DL timing drift due to Doppler over the radio link associated with the UE RX-TX time difference measurement period as described in [7, TS 38.215].</w:t>
            </w:r>
          </w:p>
        </w:tc>
        <w:tc>
          <w:tcPr>
            <w:tcW w:w="1837" w:type="dxa"/>
          </w:tcPr>
          <w:p w14:paraId="4FBED513" w14:textId="77777777" w:rsidR="00882F92" w:rsidRDefault="00882F92" w:rsidP="002D56BB"/>
        </w:tc>
      </w:tr>
      <w:tr w:rsidR="00882F92" w14:paraId="1683497F" w14:textId="77777777" w:rsidTr="00196577">
        <w:trPr>
          <w:trHeight w:val="53"/>
          <w:jc w:val="center"/>
        </w:trPr>
        <w:tc>
          <w:tcPr>
            <w:tcW w:w="1405" w:type="dxa"/>
          </w:tcPr>
          <w:p w14:paraId="32504FD0" w14:textId="41F8BC7B" w:rsidR="00882F92" w:rsidRDefault="00F93420" w:rsidP="002D56BB">
            <w:pPr>
              <w:rPr>
                <w:lang w:eastAsia="zh-CN"/>
              </w:rPr>
            </w:pPr>
            <w:r>
              <w:rPr>
                <w:lang w:eastAsia="zh-CN"/>
              </w:rPr>
              <w:t xml:space="preserve">vivo  </w:t>
            </w:r>
          </w:p>
        </w:tc>
        <w:tc>
          <w:tcPr>
            <w:tcW w:w="5820" w:type="dxa"/>
          </w:tcPr>
          <w:p w14:paraId="428C88D1" w14:textId="3FCDE873" w:rsidR="00F93420" w:rsidRDefault="00E644A9" w:rsidP="002D56BB">
            <w:pPr>
              <w:rPr>
                <w:lang w:eastAsia="zh-CN"/>
              </w:rPr>
            </w:pPr>
            <w:r>
              <w:rPr>
                <w:lang w:eastAsia="zh-CN"/>
              </w:rPr>
              <w:t xml:space="preserve">For following updates, we </w:t>
            </w:r>
            <w:r w:rsidR="003B457D">
              <w:rPr>
                <w:lang w:eastAsia="zh-CN"/>
              </w:rPr>
              <w:t>think the text “</w:t>
            </w:r>
            <w:r w:rsidR="003B457D" w:rsidRPr="00A65B09">
              <w:rPr>
                <w:color w:val="FF0000"/>
                <w:lang w:eastAsia="zh-CN"/>
              </w:rPr>
              <w:t>due to Doppler over the radio link</w:t>
            </w:r>
            <w:r w:rsidR="00A65B09" w:rsidRPr="00A65B09">
              <w:rPr>
                <w:iCs/>
                <w:color w:val="FF0000"/>
              </w:rPr>
              <w:t xml:space="preserve"> associated with the UE RX-TX time difference measurement period</w:t>
            </w:r>
            <w:r w:rsidR="003B457D">
              <w:rPr>
                <w:lang w:eastAsia="zh-CN"/>
              </w:rPr>
              <w:t>” is not needed in 38.214.</w:t>
            </w:r>
          </w:p>
          <w:tbl>
            <w:tblPr>
              <w:tblStyle w:val="ae"/>
              <w:tblW w:w="0" w:type="auto"/>
              <w:tblLook w:val="04A0" w:firstRow="1" w:lastRow="0" w:firstColumn="1" w:lastColumn="0" w:noHBand="0" w:noVBand="1"/>
            </w:tblPr>
            <w:tblGrid>
              <w:gridCol w:w="5594"/>
            </w:tblGrid>
            <w:tr w:rsidR="00F93420" w14:paraId="07359D00" w14:textId="77777777" w:rsidTr="00F93420">
              <w:tc>
                <w:tcPr>
                  <w:tcW w:w="5594" w:type="dxa"/>
                </w:tcPr>
                <w:p w14:paraId="7D92E3AF" w14:textId="7F508362" w:rsidR="00F93420" w:rsidRPr="00F93420" w:rsidRDefault="00F93420" w:rsidP="002D56BB">
                  <w:pPr>
                    <w:rPr>
                      <w:iCs/>
                      <w:color w:val="000000" w:themeColor="text1"/>
                    </w:rPr>
                  </w:pPr>
                  <w:r>
                    <w:rPr>
                      <w:color w:val="000000" w:themeColor="text1"/>
                    </w:rPr>
                    <w:t xml:space="preserve">The UE may be configured to measure and report, via higher layer parameter [undetermined NTN related parameter] subject to UE capability, </w:t>
                  </w:r>
                  <w:r w:rsidRPr="00FA4F64">
                    <w:t xml:space="preserve">UE Rx-Tx </w:t>
                  </w:r>
                  <w:bookmarkStart w:id="2" w:name="_GoBack"/>
                  <w:bookmarkEnd w:id="2"/>
                  <w:r w:rsidRPr="00FA4F64">
                    <w:t>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rPr>
                    <w:t>UE Rx-Tx time difference offset and t</w:t>
                  </w:r>
                  <w:r w:rsidRPr="00B3463D">
                    <w:rPr>
                      <w:iCs/>
                      <w:color w:val="000000" w:themeColor="text1"/>
                    </w:rPr>
                    <w:t>he DL timing</w:t>
                  </w:r>
                  <w:r>
                    <w:rPr>
                      <w:iCs/>
                      <w:color w:val="000000" w:themeColor="text1"/>
                    </w:rPr>
                    <w:t xml:space="preserve"> drift </w:t>
                  </w:r>
                  <w:r w:rsidRPr="00A65B09">
                    <w:rPr>
                      <w:iCs/>
                      <w:strike/>
                      <w:color w:val="FF0000"/>
                    </w:rPr>
                    <w:t>due to Doppler over the radio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r>
          </w:tbl>
          <w:p w14:paraId="014B1865" w14:textId="77777777" w:rsidR="00F93420" w:rsidRDefault="00F93420" w:rsidP="002D56BB">
            <w:pPr>
              <w:rPr>
                <w:lang w:eastAsia="zh-CN"/>
              </w:rPr>
            </w:pPr>
          </w:p>
          <w:p w14:paraId="54A25C04" w14:textId="6FA16828" w:rsidR="000618AA" w:rsidRDefault="005F0ACD" w:rsidP="002D56BB">
            <w:r>
              <w:rPr>
                <w:lang w:eastAsia="zh-CN"/>
              </w:rPr>
              <w:t>For “</w:t>
            </w:r>
            <w:r w:rsidRPr="00B17B97">
              <w:t>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w:t>
            </w:r>
            <w:r>
              <w:t>”</w:t>
            </w:r>
            <w:r w:rsidR="00B7456C">
              <w:t xml:space="preserve"> part</w:t>
            </w:r>
            <w:r w:rsidRPr="00B17B97">
              <w:t>,</w:t>
            </w:r>
            <w:r>
              <w:t xml:space="preserve"> in our view, in NTN, a separate parameter is needed since the capability is different considering pre-compensation may happen in NTN.</w:t>
            </w:r>
            <w:r w:rsidR="00121889">
              <w:t xml:space="preserve"> </w:t>
            </w:r>
            <w:r w:rsidR="000618AA">
              <w:t xml:space="preserve">In some scenarios, </w:t>
            </w:r>
            <w:r w:rsidR="000618AA">
              <w:lastRenderedPageBreak/>
              <w:t>e.g. in ATG case, TN and NTN may co-exist in same cell as well, therefore some updates here are necessary.</w:t>
            </w:r>
          </w:p>
          <w:p w14:paraId="4E12B268" w14:textId="44E1FDFA" w:rsidR="00F93420" w:rsidRDefault="00121889" w:rsidP="002D56BB">
            <w:pPr>
              <w:rPr>
                <w:lang w:eastAsia="zh-CN"/>
              </w:rPr>
            </w:pPr>
            <w:r>
              <w:t>Is the intention to treat this in next draft after October RAN1 meeting</w:t>
            </w:r>
            <w:r w:rsidR="00020E13">
              <w:t xml:space="preserve"> when RRC </w:t>
            </w:r>
            <w:proofErr w:type="spellStart"/>
            <w:r w:rsidR="00020E13">
              <w:t>signaling</w:t>
            </w:r>
            <w:proofErr w:type="spellEnd"/>
            <w:r w:rsidR="00020E13">
              <w:t xml:space="preserve"> is more stable</w:t>
            </w:r>
            <w:r>
              <w:t>?</w:t>
            </w:r>
          </w:p>
        </w:tc>
        <w:tc>
          <w:tcPr>
            <w:tcW w:w="1837" w:type="dxa"/>
          </w:tcPr>
          <w:p w14:paraId="3E532370" w14:textId="77777777" w:rsidR="00882F92" w:rsidRDefault="00882F92" w:rsidP="002D56BB"/>
        </w:tc>
      </w:tr>
      <w:tr w:rsidR="00882F92" w14:paraId="6C81ADF2" w14:textId="77777777" w:rsidTr="00196577">
        <w:trPr>
          <w:trHeight w:val="53"/>
          <w:jc w:val="center"/>
        </w:trPr>
        <w:tc>
          <w:tcPr>
            <w:tcW w:w="1405" w:type="dxa"/>
          </w:tcPr>
          <w:p w14:paraId="45A73D64" w14:textId="01CA3CAC" w:rsidR="00882F92" w:rsidRPr="004B0BE1" w:rsidRDefault="00882F92" w:rsidP="002D56BB">
            <w:pPr>
              <w:rPr>
                <w:color w:val="0000FF"/>
              </w:rPr>
            </w:pPr>
          </w:p>
        </w:tc>
        <w:tc>
          <w:tcPr>
            <w:tcW w:w="5820" w:type="dxa"/>
          </w:tcPr>
          <w:p w14:paraId="3BEAFE45" w14:textId="38A08990" w:rsidR="00882F92" w:rsidRPr="004B0BE1" w:rsidRDefault="00882F92" w:rsidP="002D56BB">
            <w:pPr>
              <w:rPr>
                <w:color w:val="0000FF"/>
              </w:rPr>
            </w:pPr>
          </w:p>
        </w:tc>
        <w:tc>
          <w:tcPr>
            <w:tcW w:w="1837" w:type="dxa"/>
          </w:tcPr>
          <w:p w14:paraId="412967D8" w14:textId="77777777" w:rsidR="00882F92" w:rsidRDefault="00882F92" w:rsidP="002D56BB"/>
        </w:tc>
      </w:tr>
      <w:tr w:rsidR="00C57F6B" w14:paraId="6DD5AC93" w14:textId="77777777" w:rsidTr="00196577">
        <w:trPr>
          <w:trHeight w:val="53"/>
          <w:jc w:val="center"/>
        </w:trPr>
        <w:tc>
          <w:tcPr>
            <w:tcW w:w="1405" w:type="dxa"/>
          </w:tcPr>
          <w:p w14:paraId="6BB821F6" w14:textId="77777777" w:rsidR="00C57F6B" w:rsidRPr="004B0BE1" w:rsidRDefault="00C57F6B" w:rsidP="002D56BB">
            <w:pPr>
              <w:rPr>
                <w:color w:val="0000FF"/>
              </w:rPr>
            </w:pPr>
          </w:p>
        </w:tc>
        <w:tc>
          <w:tcPr>
            <w:tcW w:w="5820" w:type="dxa"/>
          </w:tcPr>
          <w:p w14:paraId="11FBCAC3" w14:textId="77777777" w:rsidR="00C57F6B" w:rsidRPr="004B0BE1" w:rsidRDefault="00C57F6B" w:rsidP="002D56BB">
            <w:pPr>
              <w:rPr>
                <w:color w:val="0000FF"/>
              </w:rPr>
            </w:pPr>
          </w:p>
        </w:tc>
        <w:tc>
          <w:tcPr>
            <w:tcW w:w="1837" w:type="dxa"/>
          </w:tcPr>
          <w:p w14:paraId="039E6001" w14:textId="77777777" w:rsidR="00C57F6B" w:rsidRDefault="00C57F6B" w:rsidP="002D56BB"/>
        </w:tc>
      </w:tr>
      <w:tr w:rsidR="00C57F6B" w14:paraId="710809CD" w14:textId="77777777" w:rsidTr="00196577">
        <w:trPr>
          <w:trHeight w:val="53"/>
          <w:jc w:val="center"/>
        </w:trPr>
        <w:tc>
          <w:tcPr>
            <w:tcW w:w="1405" w:type="dxa"/>
          </w:tcPr>
          <w:p w14:paraId="394A75AB" w14:textId="77777777" w:rsidR="00C57F6B" w:rsidRPr="004B0BE1" w:rsidRDefault="00C57F6B" w:rsidP="002D56BB">
            <w:pPr>
              <w:rPr>
                <w:color w:val="0000FF"/>
              </w:rPr>
            </w:pPr>
          </w:p>
        </w:tc>
        <w:tc>
          <w:tcPr>
            <w:tcW w:w="5820" w:type="dxa"/>
          </w:tcPr>
          <w:p w14:paraId="7890FB1B" w14:textId="77777777" w:rsidR="00C57F6B" w:rsidRPr="004B0BE1" w:rsidRDefault="00C57F6B" w:rsidP="002D56BB">
            <w:pPr>
              <w:rPr>
                <w:color w:val="0000FF"/>
              </w:rPr>
            </w:pPr>
          </w:p>
        </w:tc>
        <w:tc>
          <w:tcPr>
            <w:tcW w:w="1837" w:type="dxa"/>
          </w:tcPr>
          <w:p w14:paraId="6CFE40C7" w14:textId="77777777" w:rsidR="00C57F6B" w:rsidRDefault="00C57F6B" w:rsidP="002D56BB"/>
        </w:tc>
      </w:tr>
      <w:tr w:rsidR="00C57F6B" w14:paraId="0F6DA4AD" w14:textId="77777777" w:rsidTr="00196577">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6FB4" w16cex:dateUtc="2023-09-01T11: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DF0C9" w14:textId="77777777" w:rsidR="00924BD7" w:rsidRDefault="00924BD7" w:rsidP="00D872F1">
      <w:pPr>
        <w:spacing w:after="0"/>
      </w:pPr>
      <w:r>
        <w:separator/>
      </w:r>
    </w:p>
  </w:endnote>
  <w:endnote w:type="continuationSeparator" w:id="0">
    <w:p w14:paraId="6EBC9D1E" w14:textId="77777777" w:rsidR="00924BD7" w:rsidRDefault="00924BD7" w:rsidP="00D872F1">
      <w:pPr>
        <w:spacing w:after="0"/>
      </w:pPr>
      <w:r>
        <w:continuationSeparator/>
      </w:r>
    </w:p>
  </w:endnote>
  <w:endnote w:type="continuationNotice" w:id="1">
    <w:p w14:paraId="5CADF18E" w14:textId="77777777" w:rsidR="00924BD7" w:rsidRDefault="00924B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E77AB" w14:textId="77777777" w:rsidR="00924BD7" w:rsidRDefault="00924BD7" w:rsidP="00D872F1">
      <w:pPr>
        <w:spacing w:after="0"/>
      </w:pPr>
      <w:r>
        <w:separator/>
      </w:r>
    </w:p>
  </w:footnote>
  <w:footnote w:type="continuationSeparator" w:id="0">
    <w:p w14:paraId="42D8E670" w14:textId="77777777" w:rsidR="00924BD7" w:rsidRDefault="00924BD7" w:rsidP="00D872F1">
      <w:pPr>
        <w:spacing w:after="0"/>
      </w:pPr>
      <w:r>
        <w:continuationSeparator/>
      </w:r>
    </w:p>
  </w:footnote>
  <w:footnote w:type="continuationNotice" w:id="1">
    <w:p w14:paraId="13A0F5FE" w14:textId="77777777" w:rsidR="00924BD7" w:rsidRDefault="00924B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25A8B"/>
    <w:multiLevelType w:val="hybridMultilevel"/>
    <w:tmpl w:val="C3E00B16"/>
    <w:lvl w:ilvl="0" w:tplc="B01A6344">
      <w:start w:val="1"/>
      <w:numFmt w:val="bullet"/>
      <w:lvlText w:val=""/>
      <w:lvlJc w:val="left"/>
      <w:pPr>
        <w:ind w:left="720" w:hanging="360"/>
      </w:pPr>
      <w:rPr>
        <w:rFonts w:ascii="Symbol" w:hAnsi="Symbol"/>
      </w:rPr>
    </w:lvl>
    <w:lvl w:ilvl="1" w:tplc="9D263126">
      <w:start w:val="1"/>
      <w:numFmt w:val="bullet"/>
      <w:lvlText w:val=""/>
      <w:lvlJc w:val="left"/>
      <w:pPr>
        <w:ind w:left="720" w:hanging="360"/>
      </w:pPr>
      <w:rPr>
        <w:rFonts w:ascii="Symbol" w:hAnsi="Symbol"/>
      </w:rPr>
    </w:lvl>
    <w:lvl w:ilvl="2" w:tplc="0546C378">
      <w:start w:val="1"/>
      <w:numFmt w:val="bullet"/>
      <w:lvlText w:val=""/>
      <w:lvlJc w:val="left"/>
      <w:pPr>
        <w:ind w:left="720" w:hanging="360"/>
      </w:pPr>
      <w:rPr>
        <w:rFonts w:ascii="Symbol" w:hAnsi="Symbol"/>
      </w:rPr>
    </w:lvl>
    <w:lvl w:ilvl="3" w:tplc="4C723B8E">
      <w:start w:val="1"/>
      <w:numFmt w:val="bullet"/>
      <w:lvlText w:val=""/>
      <w:lvlJc w:val="left"/>
      <w:pPr>
        <w:ind w:left="720" w:hanging="360"/>
      </w:pPr>
      <w:rPr>
        <w:rFonts w:ascii="Symbol" w:hAnsi="Symbol"/>
      </w:rPr>
    </w:lvl>
    <w:lvl w:ilvl="4" w:tplc="24C04EC2">
      <w:start w:val="1"/>
      <w:numFmt w:val="bullet"/>
      <w:lvlText w:val=""/>
      <w:lvlJc w:val="left"/>
      <w:pPr>
        <w:ind w:left="720" w:hanging="360"/>
      </w:pPr>
      <w:rPr>
        <w:rFonts w:ascii="Symbol" w:hAnsi="Symbol"/>
      </w:rPr>
    </w:lvl>
    <w:lvl w:ilvl="5" w:tplc="F1726166">
      <w:start w:val="1"/>
      <w:numFmt w:val="bullet"/>
      <w:lvlText w:val=""/>
      <w:lvlJc w:val="left"/>
      <w:pPr>
        <w:ind w:left="720" w:hanging="360"/>
      </w:pPr>
      <w:rPr>
        <w:rFonts w:ascii="Symbol" w:hAnsi="Symbol"/>
      </w:rPr>
    </w:lvl>
    <w:lvl w:ilvl="6" w:tplc="1E10BB32">
      <w:start w:val="1"/>
      <w:numFmt w:val="bullet"/>
      <w:lvlText w:val=""/>
      <w:lvlJc w:val="left"/>
      <w:pPr>
        <w:ind w:left="720" w:hanging="360"/>
      </w:pPr>
      <w:rPr>
        <w:rFonts w:ascii="Symbol" w:hAnsi="Symbol"/>
      </w:rPr>
    </w:lvl>
    <w:lvl w:ilvl="7" w:tplc="FB8E0CE4">
      <w:start w:val="1"/>
      <w:numFmt w:val="bullet"/>
      <w:lvlText w:val=""/>
      <w:lvlJc w:val="left"/>
      <w:pPr>
        <w:ind w:left="720" w:hanging="360"/>
      </w:pPr>
      <w:rPr>
        <w:rFonts w:ascii="Symbol" w:hAnsi="Symbol"/>
      </w:rPr>
    </w:lvl>
    <w:lvl w:ilvl="8" w:tplc="F496E0F0">
      <w:start w:val="1"/>
      <w:numFmt w:val="bullet"/>
      <w:lvlText w:val=""/>
      <w:lvlJc w:val="left"/>
      <w:pPr>
        <w:ind w:left="720" w:hanging="360"/>
      </w:pPr>
      <w:rPr>
        <w:rFonts w:ascii="Symbol" w:hAnsi="Symbol"/>
      </w:rPr>
    </w:lvl>
  </w:abstractNum>
  <w:abstractNum w:abstractNumId="9"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475745"/>
    <w:multiLevelType w:val="hybridMultilevel"/>
    <w:tmpl w:val="B3A41282"/>
    <w:lvl w:ilvl="0" w:tplc="5EAC73D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042F56"/>
    <w:multiLevelType w:val="hybridMultilevel"/>
    <w:tmpl w:val="0220CF6A"/>
    <w:lvl w:ilvl="0" w:tplc="A202C912">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A91114"/>
    <w:multiLevelType w:val="multilevel"/>
    <w:tmpl w:val="CD586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2"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4430764"/>
    <w:multiLevelType w:val="hybridMultilevel"/>
    <w:tmpl w:val="822081A6"/>
    <w:lvl w:ilvl="0" w:tplc="3DF2F1DE">
      <w:start w:val="1"/>
      <w:numFmt w:val="bullet"/>
      <w:lvlText w:val=""/>
      <w:lvlJc w:val="left"/>
      <w:pPr>
        <w:ind w:left="720" w:hanging="360"/>
      </w:pPr>
      <w:rPr>
        <w:rFonts w:ascii="Symbol" w:hAnsi="Symbol"/>
      </w:rPr>
    </w:lvl>
    <w:lvl w:ilvl="1" w:tplc="7A42BDDE">
      <w:start w:val="1"/>
      <w:numFmt w:val="bullet"/>
      <w:lvlText w:val=""/>
      <w:lvlJc w:val="left"/>
      <w:pPr>
        <w:ind w:left="720" w:hanging="360"/>
      </w:pPr>
      <w:rPr>
        <w:rFonts w:ascii="Symbol" w:hAnsi="Symbol"/>
      </w:rPr>
    </w:lvl>
    <w:lvl w:ilvl="2" w:tplc="6F54437E">
      <w:start w:val="1"/>
      <w:numFmt w:val="bullet"/>
      <w:lvlText w:val=""/>
      <w:lvlJc w:val="left"/>
      <w:pPr>
        <w:ind w:left="720" w:hanging="360"/>
      </w:pPr>
      <w:rPr>
        <w:rFonts w:ascii="Symbol" w:hAnsi="Symbol"/>
      </w:rPr>
    </w:lvl>
    <w:lvl w:ilvl="3" w:tplc="C740936C">
      <w:start w:val="1"/>
      <w:numFmt w:val="bullet"/>
      <w:lvlText w:val=""/>
      <w:lvlJc w:val="left"/>
      <w:pPr>
        <w:ind w:left="720" w:hanging="360"/>
      </w:pPr>
      <w:rPr>
        <w:rFonts w:ascii="Symbol" w:hAnsi="Symbol"/>
      </w:rPr>
    </w:lvl>
    <w:lvl w:ilvl="4" w:tplc="06AAECEE">
      <w:start w:val="1"/>
      <w:numFmt w:val="bullet"/>
      <w:lvlText w:val=""/>
      <w:lvlJc w:val="left"/>
      <w:pPr>
        <w:ind w:left="720" w:hanging="360"/>
      </w:pPr>
      <w:rPr>
        <w:rFonts w:ascii="Symbol" w:hAnsi="Symbol"/>
      </w:rPr>
    </w:lvl>
    <w:lvl w:ilvl="5" w:tplc="F24E42AA">
      <w:start w:val="1"/>
      <w:numFmt w:val="bullet"/>
      <w:lvlText w:val=""/>
      <w:lvlJc w:val="left"/>
      <w:pPr>
        <w:ind w:left="720" w:hanging="360"/>
      </w:pPr>
      <w:rPr>
        <w:rFonts w:ascii="Symbol" w:hAnsi="Symbol"/>
      </w:rPr>
    </w:lvl>
    <w:lvl w:ilvl="6" w:tplc="06AC3D98">
      <w:start w:val="1"/>
      <w:numFmt w:val="bullet"/>
      <w:lvlText w:val=""/>
      <w:lvlJc w:val="left"/>
      <w:pPr>
        <w:ind w:left="720" w:hanging="360"/>
      </w:pPr>
      <w:rPr>
        <w:rFonts w:ascii="Symbol" w:hAnsi="Symbol"/>
      </w:rPr>
    </w:lvl>
    <w:lvl w:ilvl="7" w:tplc="4202916A">
      <w:start w:val="1"/>
      <w:numFmt w:val="bullet"/>
      <w:lvlText w:val=""/>
      <w:lvlJc w:val="left"/>
      <w:pPr>
        <w:ind w:left="720" w:hanging="360"/>
      </w:pPr>
      <w:rPr>
        <w:rFonts w:ascii="Symbol" w:hAnsi="Symbol"/>
      </w:rPr>
    </w:lvl>
    <w:lvl w:ilvl="8" w:tplc="1034E8EE">
      <w:start w:val="1"/>
      <w:numFmt w:val="bullet"/>
      <w:lvlText w:val=""/>
      <w:lvlJc w:val="left"/>
      <w:pPr>
        <w:ind w:left="720" w:hanging="360"/>
      </w:pPr>
      <w:rPr>
        <w:rFonts w:ascii="Symbol" w:hAnsi="Symbol"/>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3381B"/>
    <w:multiLevelType w:val="hybridMultilevel"/>
    <w:tmpl w:val="60946E40"/>
    <w:lvl w:ilvl="0" w:tplc="E620FC86">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572C0"/>
    <w:multiLevelType w:val="hybridMultilevel"/>
    <w:tmpl w:val="66FC27AE"/>
    <w:lvl w:ilvl="0" w:tplc="6C3A83E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17"/>
  </w:num>
  <w:num w:numId="3">
    <w:abstractNumId w:val="25"/>
  </w:num>
  <w:num w:numId="4">
    <w:abstractNumId w:val="14"/>
  </w:num>
  <w:num w:numId="5">
    <w:abstractNumId w:val="31"/>
  </w:num>
  <w:num w:numId="6">
    <w:abstractNumId w:val="9"/>
  </w:num>
  <w:num w:numId="7">
    <w:abstractNumId w:val="2"/>
  </w:num>
  <w:num w:numId="8">
    <w:abstractNumId w:val="12"/>
  </w:num>
  <w:num w:numId="9">
    <w:abstractNumId w:val="16"/>
  </w:num>
  <w:num w:numId="10">
    <w:abstractNumId w:val="0"/>
  </w:num>
  <w:num w:numId="11">
    <w:abstractNumId w:val="4"/>
  </w:num>
  <w:num w:numId="12">
    <w:abstractNumId w:val="7"/>
  </w:num>
  <w:num w:numId="1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8"/>
  </w:num>
  <w:num w:numId="17">
    <w:abstractNumId w:val="33"/>
  </w:num>
  <w:num w:numId="1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26"/>
  </w:num>
  <w:num w:numId="22">
    <w:abstractNumId w:val="3"/>
  </w:num>
  <w:num w:numId="23">
    <w:abstractNumId w:val="6"/>
  </w:num>
  <w:num w:numId="24">
    <w:abstractNumId w:val="28"/>
  </w:num>
  <w:num w:numId="25">
    <w:abstractNumId w:val="19"/>
  </w:num>
  <w:num w:numId="26">
    <w:abstractNumId w:val="29"/>
  </w:num>
  <w:num w:numId="27">
    <w:abstractNumId w:val="30"/>
  </w:num>
  <w:num w:numId="28">
    <w:abstractNumId w:val="11"/>
  </w:num>
  <w:num w:numId="29">
    <w:abstractNumId w:val="5"/>
  </w:num>
  <w:num w:numId="30">
    <w:abstractNumId w:val="34"/>
  </w:num>
  <w:num w:numId="31">
    <w:abstractNumId w:val="15"/>
  </w:num>
  <w:num w:numId="32">
    <w:abstractNumId w:val="1"/>
  </w:num>
  <w:num w:numId="33">
    <w:abstractNumId w:val="32"/>
  </w:num>
  <w:num w:numId="34">
    <w:abstractNumId w:val="13"/>
  </w:num>
  <w:num w:numId="35">
    <w:abstractNumId w:val="20"/>
  </w:num>
  <w:num w:numId="36">
    <w:abstractNumId w:val="8"/>
  </w:num>
  <w:num w:numId="3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0E13"/>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8AA"/>
    <w:rsid w:val="00062272"/>
    <w:rsid w:val="00062BF3"/>
    <w:rsid w:val="00063557"/>
    <w:rsid w:val="000635D4"/>
    <w:rsid w:val="000636F0"/>
    <w:rsid w:val="00064D24"/>
    <w:rsid w:val="000657FD"/>
    <w:rsid w:val="00065EAF"/>
    <w:rsid w:val="000660DA"/>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481C"/>
    <w:rsid w:val="000B53E6"/>
    <w:rsid w:val="000B7A26"/>
    <w:rsid w:val="000C0508"/>
    <w:rsid w:val="000C07B2"/>
    <w:rsid w:val="000C0CC2"/>
    <w:rsid w:val="000C2156"/>
    <w:rsid w:val="000C3176"/>
    <w:rsid w:val="000C31C6"/>
    <w:rsid w:val="000C363F"/>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889"/>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577"/>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04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38E"/>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2D65"/>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179F0"/>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01B"/>
    <w:rsid w:val="003B3132"/>
    <w:rsid w:val="003B32ED"/>
    <w:rsid w:val="003B3D2B"/>
    <w:rsid w:val="003B3F2F"/>
    <w:rsid w:val="003B4098"/>
    <w:rsid w:val="003B4117"/>
    <w:rsid w:val="003B457D"/>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762"/>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8AB"/>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ACD"/>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023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737"/>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41E"/>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B6F2A"/>
    <w:rsid w:val="008B775B"/>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4BD7"/>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B0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56C"/>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0B8"/>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3B4"/>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4A9"/>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449"/>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3420"/>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513"/>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1">
    <w:name w:val="heading 1"/>
    <w:aliases w:val="H1,h1,Heading 1 3GPP"/>
    <w:next w:val="a"/>
    <w:link w:val="10"/>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2">
    <w:name w:val="heading 2"/>
    <w:aliases w:val="H2,h2,DO NOT USE_h2,h21,Heading 2 3GPP"/>
    <w:basedOn w:val="1"/>
    <w:next w:val="a"/>
    <w:link w:val="20"/>
    <w:qFormat/>
    <w:rsid w:val="00230221"/>
    <w:pPr>
      <w:pBdr>
        <w:top w:val="none" w:sz="0" w:space="0" w:color="auto"/>
      </w:pBdr>
      <w:spacing w:before="180"/>
      <w:outlineLvl w:val="1"/>
    </w:pPr>
    <w:rPr>
      <w:sz w:val="28"/>
    </w:rPr>
  </w:style>
  <w:style w:type="paragraph" w:styleId="3">
    <w:name w:val="heading 3"/>
    <w:aliases w:val="Heading 3 3GPP"/>
    <w:basedOn w:val="2"/>
    <w:next w:val="a"/>
    <w:link w:val="30"/>
    <w:qFormat/>
    <w:rsid w:val="00D872F1"/>
    <w:pPr>
      <w:spacing w:before="120"/>
      <w:outlineLvl w:val="2"/>
    </w:pPr>
  </w:style>
  <w:style w:type="paragraph" w:styleId="4">
    <w:name w:val="heading 4"/>
    <w:basedOn w:val="a"/>
    <w:next w:val="a"/>
    <w:link w:val="40"/>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230221"/>
    <w:rPr>
      <w:rFonts w:ascii="Arial" w:eastAsia="宋体" w:hAnsi="Arial" w:cs="Times New Roman"/>
      <w:sz w:val="32"/>
      <w:szCs w:val="20"/>
      <w:lang w:val="en-GB"/>
    </w:rPr>
  </w:style>
  <w:style w:type="character" w:customStyle="1" w:styleId="20">
    <w:name w:val="标题 2 字符"/>
    <w:aliases w:val="H2 字符,h2 字符,DO NOT USE_h2 字符,h21 字符,Heading 2 3GPP 字符"/>
    <w:basedOn w:val="a0"/>
    <w:link w:val="2"/>
    <w:rsid w:val="00230221"/>
    <w:rPr>
      <w:rFonts w:ascii="Arial" w:eastAsia="宋体" w:hAnsi="Arial" w:cs="Times New Roman"/>
      <w:sz w:val="28"/>
      <w:szCs w:val="20"/>
      <w:lang w:val="en-GB"/>
    </w:rPr>
  </w:style>
  <w:style w:type="character" w:customStyle="1" w:styleId="30">
    <w:name w:val="标题 3 字符"/>
    <w:aliases w:val="Heading 3 3GPP 字符"/>
    <w:basedOn w:val="a0"/>
    <w:link w:val="3"/>
    <w:rsid w:val="00D872F1"/>
    <w:rPr>
      <w:rFonts w:ascii="Arial" w:eastAsia="宋体" w:hAnsi="Arial" w:cs="Times New Roman"/>
      <w:sz w:val="28"/>
      <w:szCs w:val="20"/>
      <w:lang w:val="en-GB"/>
    </w:rPr>
  </w:style>
  <w:style w:type="paragraph" w:styleId="a3">
    <w:name w:val="header"/>
    <w:aliases w:val="header odd"/>
    <w:link w:val="a4"/>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a4">
    <w:name w:val="页眉 字符"/>
    <w:aliases w:val="header odd 字符"/>
    <w:basedOn w:val="a0"/>
    <w:link w:val="a3"/>
    <w:rsid w:val="00D872F1"/>
    <w:rPr>
      <w:rFonts w:ascii="Arial" w:eastAsia="宋体" w:hAnsi="Arial" w:cs="Times New Roman"/>
      <w:b/>
      <w:noProof/>
      <w:sz w:val="18"/>
      <w:szCs w:val="20"/>
      <w:lang w:val="en-US"/>
    </w:rPr>
  </w:style>
  <w:style w:type="paragraph" w:styleId="a5">
    <w:name w:val="footer"/>
    <w:basedOn w:val="a3"/>
    <w:link w:val="a6"/>
    <w:rsid w:val="00D872F1"/>
    <w:pPr>
      <w:jc w:val="center"/>
    </w:pPr>
    <w:rPr>
      <w:i/>
    </w:rPr>
  </w:style>
  <w:style w:type="character" w:customStyle="1" w:styleId="a6">
    <w:name w:val="页脚 字符"/>
    <w:basedOn w:val="a0"/>
    <w:link w:val="a5"/>
    <w:rsid w:val="00D872F1"/>
    <w:rPr>
      <w:rFonts w:ascii="Arial" w:eastAsia="宋体"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a7">
    <w:name w:val="annotation reference"/>
    <w:qFormat/>
    <w:rsid w:val="00D872F1"/>
    <w:rPr>
      <w:sz w:val="16"/>
    </w:rPr>
  </w:style>
  <w:style w:type="paragraph" w:styleId="a8">
    <w:name w:val="annotation text"/>
    <w:basedOn w:val="a"/>
    <w:link w:val="a9"/>
    <w:uiPriority w:val="99"/>
    <w:qFormat/>
    <w:rsid w:val="00D872F1"/>
    <w:pPr>
      <w:overflowPunct/>
      <w:autoSpaceDE/>
      <w:autoSpaceDN/>
      <w:adjustRightInd/>
      <w:textAlignment w:val="auto"/>
    </w:pPr>
    <w:rPr>
      <w:rFonts w:eastAsia="MS Mincho"/>
    </w:rPr>
  </w:style>
  <w:style w:type="character" w:customStyle="1" w:styleId="a9">
    <w:name w:val="批注文字 字符"/>
    <w:basedOn w:val="a0"/>
    <w:link w:val="a8"/>
    <w:uiPriority w:val="99"/>
    <w:qFormat/>
    <w:rsid w:val="00D872F1"/>
    <w:rPr>
      <w:rFonts w:ascii="Times New Roman" w:eastAsia="MS Mincho" w:hAnsi="Times New Roman" w:cs="Times New Roman"/>
      <w:sz w:val="20"/>
      <w:szCs w:val="20"/>
      <w:lang w:val="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ab"/>
    <w:uiPriority w:val="99"/>
    <w:qFormat/>
    <w:rsid w:val="00D872F1"/>
    <w:pPr>
      <w:spacing w:before="120" w:after="120"/>
    </w:pPr>
    <w:rPr>
      <w:b/>
    </w:rPr>
  </w:style>
  <w:style w:type="character" w:customStyle="1" w:styleId="ab">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a"/>
    <w:uiPriority w:val="99"/>
    <w:qFormat/>
    <w:rsid w:val="00D872F1"/>
    <w:rPr>
      <w:rFonts w:ascii="Times New Roman" w:eastAsia="宋体" w:hAnsi="Times New Roman" w:cs="Times New Roman"/>
      <w:b/>
      <w:sz w:val="20"/>
      <w:szCs w:val="20"/>
      <w:lang w:val="en-GB"/>
    </w:rPr>
  </w:style>
  <w:style w:type="paragraph" w:styleId="ac">
    <w:name w:val="List Paragraph"/>
    <w:aliases w:val="- Bullets,목록 단락,?? ??,?????,????,Lista1,列出段落,中等深浅网格 1 - 着色 21,リスト段落,列出段落1,¥¡¡¡¡ì¬º¥¹¥È¶ÎÂä,ÁÐ³ö¶ÎÂä,列表段落1,—ño’i—Ž,¥ê¥¹¥È¶ÎÂä,1st level - Bullet List Paragraph,Lettre d'introduction,Paragrafo elenco,Normal bullet 2,Bullet list,목록단락,列"/>
    <w:basedOn w:val="a"/>
    <w:link w:val="ad"/>
    <w:uiPriority w:val="34"/>
    <w:qFormat/>
    <w:rsid w:val="00752E25"/>
    <w:pPr>
      <w:overflowPunct/>
      <w:autoSpaceDE/>
      <w:autoSpaceDN/>
      <w:adjustRightInd/>
      <w:spacing w:after="0"/>
      <w:ind w:left="720"/>
      <w:contextualSpacing/>
      <w:textAlignment w:val="auto"/>
    </w:pPr>
    <w:rPr>
      <w:szCs w:val="24"/>
      <w:lang w:eastAsia="zh-CN"/>
    </w:rPr>
  </w:style>
  <w:style w:type="table" w:styleId="ae">
    <w:name w:val="Table Grid"/>
    <w:aliases w:val="TableGrid"/>
    <w:basedOn w:val="a1"/>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列表段落 字符"/>
    <w:aliases w:val="- Bullets 字符,목록 단락 字符,?? ?? 字符,????? 字符,???? 字符,Lista1 字符,列出段落 字符,中等深浅网格 1 - 着色 21 字符,リスト段落 字符,列出段落1 字符,¥¡¡¡¡ì¬º¥¹¥È¶ÎÂä 字符,ÁÐ³ö¶ÎÂä 字符,列表段落1 字符,—ño’i—Ž 字符,¥ê¥¹¥È¶ÎÂä 字符,1st level - Bullet List Paragraph 字符,Lettre d'introduction 字符,목록단락 字符,列 字符"/>
    <w:link w:val="ac"/>
    <w:uiPriority w:val="34"/>
    <w:qFormat/>
    <w:locked/>
    <w:rsid w:val="00752E25"/>
    <w:rPr>
      <w:rFonts w:ascii="Times New Roman" w:eastAsia="宋体" w:hAnsi="Times New Roman" w:cs="Times New Roman"/>
      <w:sz w:val="20"/>
      <w:szCs w:val="24"/>
      <w:lang w:val="en-GB" w:eastAsia="zh-CN"/>
    </w:rPr>
  </w:style>
  <w:style w:type="paragraph" w:styleId="af">
    <w:name w:val="Bibliography"/>
    <w:basedOn w:val="a"/>
    <w:next w:val="a"/>
    <w:uiPriority w:val="37"/>
    <w:unhideWhenUsed/>
    <w:rsid w:val="00D872F1"/>
  </w:style>
  <w:style w:type="paragraph" w:styleId="af0">
    <w:name w:val="Balloon Text"/>
    <w:basedOn w:val="a"/>
    <w:link w:val="af1"/>
    <w:uiPriority w:val="99"/>
    <w:semiHidden/>
    <w:unhideWhenUsed/>
    <w:rsid w:val="00D872F1"/>
    <w:pPr>
      <w:spacing w:after="0"/>
    </w:pPr>
    <w:rPr>
      <w:rFonts w:ascii="Segoe UI" w:hAnsi="Segoe UI" w:cs="Segoe UI"/>
      <w:sz w:val="18"/>
      <w:szCs w:val="18"/>
    </w:rPr>
  </w:style>
  <w:style w:type="character" w:customStyle="1" w:styleId="af1">
    <w:name w:val="批注框文本 字符"/>
    <w:basedOn w:val="a0"/>
    <w:link w:val="af0"/>
    <w:uiPriority w:val="99"/>
    <w:semiHidden/>
    <w:rsid w:val="00D872F1"/>
    <w:rPr>
      <w:rFonts w:ascii="Segoe UI" w:eastAsia="宋体" w:hAnsi="Segoe UI" w:cs="Segoe UI"/>
      <w:sz w:val="18"/>
      <w:szCs w:val="18"/>
      <w:lang w:val="en-GB"/>
    </w:rPr>
  </w:style>
  <w:style w:type="paragraph" w:styleId="af2">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af3">
    <w:name w:val="annotation subject"/>
    <w:basedOn w:val="a8"/>
    <w:next w:val="a8"/>
    <w:link w:val="af4"/>
    <w:uiPriority w:val="99"/>
    <w:semiHidden/>
    <w:unhideWhenUsed/>
    <w:rsid w:val="00D872F1"/>
    <w:pPr>
      <w:overflowPunct w:val="0"/>
      <w:autoSpaceDE w:val="0"/>
      <w:autoSpaceDN w:val="0"/>
      <w:adjustRightInd w:val="0"/>
      <w:textAlignment w:val="baseline"/>
    </w:pPr>
    <w:rPr>
      <w:rFonts w:eastAsia="宋体"/>
      <w:b/>
      <w:bCs/>
    </w:rPr>
  </w:style>
  <w:style w:type="character" w:customStyle="1" w:styleId="af4">
    <w:name w:val="批注主题 字符"/>
    <w:basedOn w:val="a9"/>
    <w:link w:val="af3"/>
    <w:uiPriority w:val="99"/>
    <w:semiHidden/>
    <w:rsid w:val="00D872F1"/>
    <w:rPr>
      <w:rFonts w:ascii="Times New Roman" w:eastAsia="宋体" w:hAnsi="Times New Roman" w:cs="Times New Roman"/>
      <w:b/>
      <w:bCs/>
      <w:sz w:val="20"/>
      <w:szCs w:val="20"/>
      <w:lang w:val="en-GB"/>
    </w:rPr>
  </w:style>
  <w:style w:type="character" w:styleId="af5">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af6">
    <w:name w:val="Hyperlink"/>
    <w:uiPriority w:val="99"/>
    <w:qFormat/>
    <w:rsid w:val="00D872F1"/>
    <w:rPr>
      <w:color w:val="0000FF"/>
      <w:u w:val="single"/>
    </w:rPr>
  </w:style>
  <w:style w:type="character" w:styleId="af7">
    <w:name w:val="Unresolved Mention"/>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af8">
    <w:name w:val="Strong"/>
    <w:basedOn w:val="a0"/>
    <w:uiPriority w:val="22"/>
    <w:qFormat/>
    <w:rsid w:val="00D872F1"/>
    <w:rPr>
      <w:b/>
      <w:bCs/>
    </w:rPr>
  </w:style>
  <w:style w:type="character" w:styleId="af9">
    <w:name w:val="Emphasis"/>
    <w:basedOn w:val="a0"/>
    <w:qFormat/>
    <w:rsid w:val="00D872F1"/>
    <w:rPr>
      <w:i/>
      <w:iCs/>
    </w:rPr>
  </w:style>
  <w:style w:type="paragraph" w:styleId="afa">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Malgun Gothic" w:eastAsia="Malgun Gothic" w:hAnsi="Malgun Gothic"/>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next w:val="ae"/>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Document Map"/>
    <w:basedOn w:val="a"/>
    <w:link w:val="afc"/>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afc">
    <w:name w:val="文档结构图 字符"/>
    <w:basedOn w:val="a0"/>
    <w:link w:val="afb"/>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e"/>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Mention"/>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e">
    <w:name w:val="Body Text"/>
    <w:basedOn w:val="a"/>
    <w:link w:val="aff"/>
    <w:rsid w:val="00E445DF"/>
    <w:pPr>
      <w:overflowPunct/>
      <w:autoSpaceDE/>
      <w:autoSpaceDN/>
      <w:adjustRightInd/>
      <w:jc w:val="left"/>
      <w:textAlignment w:val="auto"/>
    </w:pPr>
    <w:rPr>
      <w:rFonts w:asciiTheme="minorHAnsi" w:eastAsia="Times New Roman" w:hAnsiTheme="minorHAnsi"/>
    </w:rPr>
  </w:style>
  <w:style w:type="character" w:customStyle="1" w:styleId="aff">
    <w:name w:val="正文文本 字符"/>
    <w:basedOn w:val="a0"/>
    <w:link w:val="afe"/>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f0">
    <w:name w:val="footnote text"/>
    <w:basedOn w:val="a"/>
    <w:link w:val="aff1"/>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aff1">
    <w:name w:val="脚注文本 字符"/>
    <w:basedOn w:val="a0"/>
    <w:link w:val="aff0"/>
    <w:uiPriority w:val="99"/>
    <w:rsid w:val="00696E61"/>
    <w:rPr>
      <w:rFonts w:eastAsiaTheme="minorEastAsia" w:cs="Times New Roman"/>
      <w:sz w:val="20"/>
      <w:szCs w:val="20"/>
      <w:lang w:val="en-US"/>
    </w:rPr>
  </w:style>
  <w:style w:type="character" w:styleId="aff2">
    <w:name w:val="Subtle Emphasis"/>
    <w:basedOn w:val="a0"/>
    <w:uiPriority w:val="19"/>
    <w:qFormat/>
    <w:rsid w:val="00696E61"/>
    <w:rPr>
      <w:i/>
      <w:iCs/>
    </w:rPr>
  </w:style>
  <w:style w:type="table" w:styleId="2-5">
    <w:name w:val="Medium Shading 2 Accent 5"/>
    <w:basedOn w:val="a1"/>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5">
    <w:name w:val="Grid Table 4 Accent 5"/>
    <w:basedOn w:val="a1"/>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Default0">
    <w:name w:val="Default"/>
    <w:basedOn w:val="a"/>
    <w:rsid w:val="00196577"/>
    <w:pPr>
      <w:overflowPunct/>
      <w:adjustRightInd/>
      <w:spacing w:after="0"/>
      <w:jc w:val="left"/>
      <w:textAlignment w:val="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37760854">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4EB0C6-9D69-440B-977C-F96983B3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vivo-Yong Wang</cp:lastModifiedBy>
  <cp:revision>3</cp:revision>
  <dcterms:created xsi:type="dcterms:W3CDTF">2023-09-04T09:02:00Z</dcterms:created>
  <dcterms:modified xsi:type="dcterms:W3CDTF">2023-09-04T09:15:00Z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2023-09-04T08:05:08Z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0ffa98a7-c8a8-4beb-b742-01d6ec0b3d3e</vt:lpwstr>
  </property>
  <property fmtid="{D5CDD505-2E9C-101B-9397-08002B2CF9AE}" pid="11" name="MSIP_Label_83bcef13-7cac-433f-ba1d-47a323951816_ContentBits">
    <vt:lpwstr>0</vt:lpwstr>
  </property>
</Properties>
</file>