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5333" w14:textId="50457071" w:rsidR="00C0354B" w:rsidRPr="009852CA" w:rsidRDefault="003F522D" w:rsidP="00C0354B">
      <w:pPr>
        <w:widowControl w:val="0"/>
        <w:tabs>
          <w:tab w:val="left" w:pos="6521"/>
        </w:tabs>
        <w:spacing w:before="100" w:beforeAutospacing="1" w:after="0"/>
        <w:rPr>
          <w:rFonts w:ascii="Arial" w:hAnsi="Arial" w:cs="Arial"/>
          <w:i/>
          <w:sz w:val="24"/>
          <w:szCs w:val="24"/>
        </w:rPr>
      </w:pPr>
      <w:bookmarkStart w:id="0" w:name="_Hlk91681971"/>
      <w:bookmarkStart w:id="1" w:name="_Ref124589705"/>
      <w:bookmarkStart w:id="2" w:name="_Ref129681862"/>
      <w:r>
        <w:rPr>
          <w:rFonts w:ascii="Arial" w:hAnsi="Arial" w:cs="Arial"/>
          <w:b/>
          <w:bCs/>
          <w:sz w:val="24"/>
          <w:szCs w:val="24"/>
        </w:rPr>
        <w:t>3GPP TSG RAN WG1 #11</w:t>
      </w:r>
      <w:r w:rsidR="00664CB5">
        <w:rPr>
          <w:rFonts w:ascii="Arial" w:hAnsi="Arial" w:cs="Arial"/>
          <w:b/>
          <w:bCs/>
          <w:sz w:val="24"/>
          <w:szCs w:val="24"/>
        </w:rPr>
        <w:t>4</w:t>
      </w:r>
      <w:r w:rsidR="00C0354B" w:rsidRPr="009852CA">
        <w:rPr>
          <w:rFonts w:ascii="Arial" w:hAnsi="Arial" w:cs="Arial"/>
          <w:sz w:val="24"/>
          <w:szCs w:val="24"/>
        </w:rPr>
        <w:tab/>
        <w:t xml:space="preserve">        </w:t>
      </w:r>
      <w:r w:rsidR="00C0354B" w:rsidRPr="009852CA">
        <w:rPr>
          <w:rFonts w:ascii="Arial" w:hAnsi="Arial" w:cs="Arial"/>
          <w:sz w:val="24"/>
          <w:szCs w:val="24"/>
        </w:rPr>
        <w:tab/>
        <w:t xml:space="preserve">      </w:t>
      </w:r>
      <w:r w:rsidR="00C0354B">
        <w:rPr>
          <w:rFonts w:ascii="Arial" w:hAnsi="Arial" w:cs="Arial"/>
          <w:sz w:val="24"/>
          <w:szCs w:val="24"/>
        </w:rPr>
        <w:t xml:space="preserve">   </w:t>
      </w:r>
      <w:r w:rsidR="00876064">
        <w:rPr>
          <w:rFonts w:ascii="Arial" w:hAnsi="Arial" w:cs="Arial"/>
          <w:sz w:val="24"/>
          <w:szCs w:val="24"/>
        </w:rPr>
        <w:t xml:space="preserve">      </w:t>
      </w:r>
      <w:r w:rsidR="00C0354B">
        <w:rPr>
          <w:rFonts w:ascii="Arial" w:hAnsi="Arial" w:cs="Arial"/>
          <w:sz w:val="24"/>
          <w:szCs w:val="24"/>
        </w:rPr>
        <w:t xml:space="preserve">  </w:t>
      </w:r>
      <w:r w:rsidR="00C0354B" w:rsidRPr="009852CA">
        <w:rPr>
          <w:rFonts w:ascii="Arial" w:hAnsi="Arial" w:cs="Arial"/>
          <w:b/>
          <w:sz w:val="24"/>
          <w:szCs w:val="24"/>
        </w:rPr>
        <w:t>R1-230</w:t>
      </w:r>
      <w:r w:rsidR="00C0354B">
        <w:rPr>
          <w:rFonts w:ascii="Arial" w:hAnsi="Arial" w:cs="Arial"/>
          <w:b/>
          <w:sz w:val="24"/>
          <w:szCs w:val="24"/>
        </w:rPr>
        <w:t>xxxx</w:t>
      </w:r>
    </w:p>
    <w:p w14:paraId="3897AC43" w14:textId="3D409AFE" w:rsidR="00C0354B" w:rsidRPr="009852CA" w:rsidRDefault="00664CB5" w:rsidP="00876064">
      <w:pPr>
        <w:pStyle w:val="a5"/>
        <w:tabs>
          <w:tab w:val="clear" w:pos="9360"/>
        </w:tabs>
        <w:spacing w:after="240"/>
        <w:rPr>
          <w:rFonts w:ascii="Arial" w:hAnsi="Arial" w:cs="Arial"/>
          <w:b/>
          <w:sz w:val="24"/>
          <w:szCs w:val="24"/>
        </w:rPr>
      </w:pPr>
      <w:r>
        <w:rPr>
          <w:rFonts w:ascii="Arial" w:hAnsi="Arial" w:cs="Arial"/>
          <w:b/>
          <w:bCs/>
          <w:sz w:val="24"/>
          <w:szCs w:val="24"/>
          <w:lang w:eastAsia="ja-JP"/>
        </w:rPr>
        <w:t>Toulouse</w:t>
      </w:r>
      <w:r w:rsidR="00C0354B" w:rsidRPr="009852CA">
        <w:rPr>
          <w:rFonts w:ascii="Arial" w:hAnsi="Arial" w:cs="Arial"/>
          <w:b/>
          <w:bCs/>
          <w:sz w:val="24"/>
          <w:szCs w:val="24"/>
          <w:lang w:eastAsia="ja-JP"/>
        </w:rPr>
        <w:t>,</w:t>
      </w:r>
      <w:r w:rsidR="00C0354B" w:rsidRPr="009852CA">
        <w:rPr>
          <w:rFonts w:ascii="Arial" w:hAnsi="Arial" w:cs="Arial"/>
          <w:b/>
          <w:bCs/>
          <w:sz w:val="24"/>
          <w:szCs w:val="24"/>
        </w:rPr>
        <w:t xml:space="preserve"> </w:t>
      </w:r>
      <w:bookmarkEnd w:id="0"/>
      <w:r>
        <w:rPr>
          <w:rFonts w:ascii="Arial" w:hAnsi="Arial" w:cs="Arial"/>
          <w:b/>
          <w:bCs/>
          <w:sz w:val="24"/>
          <w:szCs w:val="24"/>
        </w:rPr>
        <w:t>France</w:t>
      </w:r>
      <w:r w:rsidR="003F522D">
        <w:rPr>
          <w:rFonts w:ascii="Arial" w:hAnsi="Arial" w:cs="Arial"/>
          <w:b/>
          <w:bCs/>
          <w:sz w:val="24"/>
          <w:szCs w:val="24"/>
        </w:rPr>
        <w:t xml:space="preserve">, </w:t>
      </w:r>
      <w:r>
        <w:rPr>
          <w:rFonts w:ascii="Arial" w:hAnsi="Arial" w:cs="Arial"/>
          <w:b/>
          <w:bCs/>
          <w:sz w:val="24"/>
          <w:szCs w:val="24"/>
          <w:lang w:eastAsia="ja-JP"/>
        </w:rPr>
        <w:t>August</w:t>
      </w:r>
      <w:r w:rsidR="003F522D">
        <w:rPr>
          <w:rFonts w:ascii="Arial" w:hAnsi="Arial" w:cs="Arial"/>
          <w:b/>
          <w:bCs/>
          <w:sz w:val="24"/>
          <w:szCs w:val="24"/>
          <w:lang w:eastAsia="ja-JP"/>
        </w:rPr>
        <w:t xml:space="preserve"> 2</w:t>
      </w:r>
      <w:r>
        <w:rPr>
          <w:rFonts w:ascii="Arial" w:hAnsi="Arial" w:cs="Arial"/>
          <w:b/>
          <w:bCs/>
          <w:sz w:val="24"/>
          <w:szCs w:val="24"/>
          <w:lang w:eastAsia="ja-JP"/>
        </w:rPr>
        <w:t>1</w:t>
      </w:r>
      <w:r>
        <w:rPr>
          <w:rFonts w:ascii="Arial" w:hAnsi="Arial" w:cs="Arial"/>
          <w:b/>
          <w:bCs/>
          <w:sz w:val="24"/>
          <w:szCs w:val="24"/>
          <w:vertAlign w:val="superscript"/>
          <w:lang w:eastAsia="ja-JP"/>
        </w:rPr>
        <w:t>st</w:t>
      </w:r>
      <w:r w:rsidR="00C0354B" w:rsidRPr="009852CA">
        <w:rPr>
          <w:rFonts w:ascii="Arial" w:hAnsi="Arial" w:cs="Arial"/>
          <w:b/>
          <w:bCs/>
          <w:sz w:val="24"/>
          <w:szCs w:val="24"/>
          <w:lang w:eastAsia="ja-JP"/>
        </w:rPr>
        <w:t xml:space="preserve"> – 2</w:t>
      </w:r>
      <w:r>
        <w:rPr>
          <w:rFonts w:ascii="Arial" w:hAnsi="Arial" w:cs="Arial"/>
          <w:b/>
          <w:bCs/>
          <w:sz w:val="24"/>
          <w:szCs w:val="24"/>
          <w:lang w:eastAsia="ja-JP"/>
        </w:rPr>
        <w:t>5</w:t>
      </w:r>
      <w:r w:rsidR="00C0354B" w:rsidRPr="009852CA">
        <w:rPr>
          <w:rFonts w:ascii="Arial" w:hAnsi="Arial" w:cs="Arial"/>
          <w:b/>
          <w:bCs/>
          <w:sz w:val="24"/>
          <w:szCs w:val="24"/>
          <w:vertAlign w:val="superscript"/>
          <w:lang w:eastAsia="ja-JP"/>
        </w:rPr>
        <w:t>th</w:t>
      </w:r>
      <w:r w:rsidR="00C0354B" w:rsidRPr="009852CA">
        <w:rPr>
          <w:rFonts w:ascii="Arial" w:hAnsi="Arial" w:cs="Arial"/>
          <w:b/>
          <w:bCs/>
          <w:sz w:val="24"/>
          <w:szCs w:val="24"/>
        </w:rPr>
        <w:t>, 2023</w:t>
      </w:r>
    </w:p>
    <w:bookmarkEnd w:id="1"/>
    <w:bookmarkEnd w:id="2"/>
    <w:p w14:paraId="2DB84CEC" w14:textId="77777777" w:rsidR="00CD55AD" w:rsidRPr="009852CA" w:rsidRDefault="00CD55AD" w:rsidP="00CD55AD">
      <w:pPr>
        <w:tabs>
          <w:tab w:val="left" w:pos="1500"/>
        </w:tabs>
        <w:overflowPunct w:val="0"/>
        <w:spacing w:after="60"/>
        <w:textAlignment w:val="baseline"/>
        <w:rPr>
          <w:rFonts w:ascii="Arial" w:eastAsia="Malgun Gothic" w:hAnsi="Arial" w:cs="Arial"/>
          <w:b/>
          <w:sz w:val="24"/>
          <w:lang w:eastAsia="ko-KR"/>
        </w:rPr>
      </w:pPr>
      <w:r w:rsidRPr="009852CA">
        <w:rPr>
          <w:rFonts w:ascii="Arial" w:hAnsi="Arial" w:cs="Arial"/>
          <w:b/>
          <w:sz w:val="24"/>
          <w:szCs w:val="24"/>
        </w:rPr>
        <w:t>Agenda item:</w:t>
      </w:r>
      <w:r w:rsidRPr="009852CA">
        <w:rPr>
          <w:rFonts w:ascii="Arial" w:hAnsi="Arial" w:cs="Arial"/>
          <w:sz w:val="24"/>
          <w:szCs w:val="24"/>
        </w:rPr>
        <w:tab/>
      </w:r>
      <w:bookmarkStart w:id="3" w:name="Source"/>
      <w:bookmarkEnd w:id="3"/>
      <w:r w:rsidRPr="009852CA">
        <w:rPr>
          <w:rFonts w:ascii="Arial" w:eastAsia="Malgun Gothic" w:hAnsi="Arial" w:cs="Arial"/>
          <w:sz w:val="24"/>
          <w:szCs w:val="24"/>
          <w:lang w:eastAsia="ko-KR"/>
        </w:rPr>
        <w:t>9.</w:t>
      </w:r>
      <w:r>
        <w:rPr>
          <w:rFonts w:ascii="Arial" w:eastAsia="Malgun Gothic" w:hAnsi="Arial" w:cs="Arial"/>
          <w:sz w:val="24"/>
          <w:szCs w:val="24"/>
          <w:lang w:eastAsia="ko-KR"/>
        </w:rPr>
        <w:t>1</w:t>
      </w:r>
      <w:r w:rsidR="00295FFC">
        <w:rPr>
          <w:rFonts w:ascii="Arial" w:eastAsia="Malgun Gothic" w:hAnsi="Arial" w:cs="Arial"/>
          <w:sz w:val="24"/>
          <w:szCs w:val="24"/>
          <w:lang w:eastAsia="ko-KR"/>
        </w:rPr>
        <w:t>7</w:t>
      </w:r>
    </w:p>
    <w:p w14:paraId="126BD79F" w14:textId="77777777" w:rsidR="00CD55AD" w:rsidRPr="009852CA" w:rsidRDefault="00CD55AD" w:rsidP="00CD55AD">
      <w:pPr>
        <w:tabs>
          <w:tab w:val="left" w:pos="1500"/>
        </w:tabs>
        <w:overflowPunct w:val="0"/>
        <w:spacing w:after="60"/>
        <w:textAlignment w:val="baseline"/>
        <w:rPr>
          <w:rFonts w:ascii="Arial" w:eastAsia="MS Mincho" w:hAnsi="Arial" w:cs="Arial"/>
          <w:b/>
          <w:sz w:val="24"/>
          <w:lang w:eastAsia="zh-CN"/>
        </w:rPr>
      </w:pPr>
      <w:r>
        <w:rPr>
          <w:rFonts w:ascii="Arial" w:eastAsia="MS Mincho" w:hAnsi="Arial" w:cs="Arial"/>
          <w:b/>
          <w:sz w:val="24"/>
          <w:lang w:eastAsia="zh-CN"/>
        </w:rPr>
        <w:t>Source:</w:t>
      </w:r>
      <w:r>
        <w:rPr>
          <w:rFonts w:ascii="Arial" w:eastAsia="MS Mincho" w:hAnsi="Arial" w:cs="Arial"/>
          <w:b/>
          <w:sz w:val="24"/>
          <w:lang w:eastAsia="zh-CN"/>
        </w:rPr>
        <w:tab/>
      </w:r>
      <w:r>
        <w:rPr>
          <w:rFonts w:ascii="Arial" w:eastAsia="MS Mincho" w:hAnsi="Arial" w:cs="Arial"/>
          <w:b/>
          <w:sz w:val="24"/>
          <w:lang w:eastAsia="zh-CN"/>
        </w:rPr>
        <w:tab/>
      </w:r>
      <w:r w:rsidRPr="009852CA">
        <w:rPr>
          <w:rFonts w:ascii="Arial" w:eastAsia="MS Mincho" w:hAnsi="Arial" w:cs="Arial"/>
          <w:sz w:val="24"/>
          <w:lang w:eastAsia="zh-CN"/>
        </w:rPr>
        <w:t>Samsung</w:t>
      </w:r>
    </w:p>
    <w:p w14:paraId="4E3BB917" w14:textId="16A36FBF" w:rsidR="00CD55AD" w:rsidRPr="009852CA" w:rsidRDefault="003F522D" w:rsidP="003F522D">
      <w:pPr>
        <w:spacing w:after="60"/>
        <w:ind w:left="2160" w:hanging="2185"/>
        <w:jc w:val="left"/>
        <w:rPr>
          <w:b/>
          <w:kern w:val="2"/>
          <w:lang w:eastAsia="zh-CN"/>
        </w:rPr>
      </w:pPr>
      <w:r>
        <w:rPr>
          <w:rFonts w:ascii="Arial" w:eastAsia="MS Mincho" w:hAnsi="Arial" w:cs="Arial"/>
          <w:b/>
          <w:sz w:val="24"/>
          <w:lang w:eastAsia="zh-CN"/>
        </w:rPr>
        <w:t>Title:</w:t>
      </w:r>
      <w:r>
        <w:rPr>
          <w:rFonts w:ascii="Arial" w:eastAsia="MS Mincho" w:hAnsi="Arial" w:cs="Arial"/>
          <w:b/>
          <w:sz w:val="24"/>
          <w:lang w:eastAsia="zh-CN"/>
        </w:rPr>
        <w:tab/>
      </w:r>
      <w:r w:rsidR="00CD55AD" w:rsidRPr="009852CA">
        <w:rPr>
          <w:rFonts w:ascii="Arial" w:hAnsi="Arial" w:cs="Arial"/>
          <w:kern w:val="2"/>
          <w:sz w:val="24"/>
          <w:szCs w:val="24"/>
          <w:lang w:eastAsia="zh-CN"/>
        </w:rPr>
        <w:t>Summary of email discussion</w:t>
      </w:r>
      <w:r w:rsidR="00CD55AD">
        <w:rPr>
          <w:rFonts w:ascii="Arial" w:hAnsi="Arial" w:cs="Arial"/>
          <w:kern w:val="2"/>
          <w:sz w:val="24"/>
          <w:szCs w:val="24"/>
          <w:lang w:eastAsia="zh-CN"/>
        </w:rPr>
        <w:t>s</w:t>
      </w:r>
      <w:r w:rsidR="00CD55AD" w:rsidRPr="009852CA">
        <w:rPr>
          <w:rFonts w:ascii="Arial" w:hAnsi="Arial" w:cs="Arial"/>
          <w:kern w:val="2"/>
          <w:sz w:val="24"/>
          <w:szCs w:val="24"/>
          <w:lang w:eastAsia="zh-CN"/>
        </w:rPr>
        <w:t xml:space="preserve"> </w:t>
      </w:r>
      <w:r>
        <w:rPr>
          <w:rFonts w:ascii="Arial" w:hAnsi="Arial" w:cs="Arial"/>
          <w:kern w:val="2"/>
          <w:sz w:val="24"/>
          <w:szCs w:val="24"/>
          <w:lang w:eastAsia="zh-CN"/>
        </w:rPr>
        <w:t>[11</w:t>
      </w:r>
      <w:r w:rsidR="00664CB5">
        <w:rPr>
          <w:rFonts w:ascii="Arial" w:hAnsi="Arial" w:cs="Arial"/>
          <w:kern w:val="2"/>
          <w:sz w:val="24"/>
          <w:szCs w:val="24"/>
          <w:lang w:eastAsia="zh-CN"/>
        </w:rPr>
        <w:t>4</w:t>
      </w:r>
      <w:r w:rsidR="00CD55AD">
        <w:rPr>
          <w:rFonts w:ascii="Arial" w:hAnsi="Arial" w:cs="Arial"/>
          <w:kern w:val="2"/>
          <w:sz w:val="24"/>
          <w:szCs w:val="24"/>
          <w:lang w:eastAsia="zh-CN"/>
        </w:rPr>
        <w:t>-R18-38.213</w:t>
      </w:r>
      <w:r>
        <w:rPr>
          <w:rFonts w:ascii="Arial" w:hAnsi="Arial" w:cs="Arial"/>
          <w:kern w:val="2"/>
          <w:sz w:val="24"/>
          <w:szCs w:val="24"/>
          <w:lang w:eastAsia="zh-CN"/>
        </w:rPr>
        <w:t>-</w:t>
      </w:r>
      <w:r w:rsidR="005C1C82">
        <w:rPr>
          <w:rFonts w:ascii="Arial" w:hAnsi="Arial" w:cs="Arial"/>
          <w:kern w:val="2"/>
          <w:sz w:val="24"/>
          <w:szCs w:val="24"/>
          <w:lang w:eastAsia="zh-CN"/>
        </w:rPr>
        <w:t>NR_redcap_enh</w:t>
      </w:r>
      <w:r w:rsidR="00CD55AD" w:rsidRPr="009852CA">
        <w:rPr>
          <w:rFonts w:ascii="Arial" w:hAnsi="Arial" w:cs="Arial"/>
          <w:kern w:val="2"/>
          <w:sz w:val="24"/>
          <w:szCs w:val="24"/>
          <w:lang w:eastAsia="zh-CN"/>
        </w:rPr>
        <w:t>]</w:t>
      </w:r>
    </w:p>
    <w:p w14:paraId="64388863" w14:textId="77777777" w:rsidR="00CD55AD" w:rsidRPr="009852CA" w:rsidRDefault="00CD55AD" w:rsidP="00CD55AD">
      <w:pPr>
        <w:tabs>
          <w:tab w:val="left" w:pos="1500"/>
        </w:tabs>
        <w:overflowPunct w:val="0"/>
        <w:spacing w:after="60"/>
        <w:textAlignment w:val="baseline"/>
        <w:rPr>
          <w:rFonts w:ascii="Arial" w:eastAsia="MS Mincho" w:hAnsi="Arial" w:cs="Arial"/>
          <w:sz w:val="24"/>
          <w:lang w:eastAsia="zh-CN"/>
        </w:rPr>
      </w:pPr>
      <w:r w:rsidRPr="009852CA">
        <w:rPr>
          <w:rFonts w:ascii="Arial" w:eastAsia="MS Mincho" w:hAnsi="Arial" w:cs="Arial"/>
          <w:b/>
          <w:sz w:val="24"/>
          <w:lang w:eastAsia="zh-CN"/>
        </w:rPr>
        <w:t>Document for:</w:t>
      </w:r>
      <w:r>
        <w:rPr>
          <w:rFonts w:ascii="Arial" w:eastAsia="Malgun Gothic" w:hAnsi="Arial" w:cs="Arial"/>
          <w:b/>
          <w:sz w:val="24"/>
          <w:lang w:eastAsia="ko-KR"/>
        </w:rPr>
        <w:tab/>
      </w:r>
      <w:r w:rsidRPr="009852CA">
        <w:rPr>
          <w:rFonts w:ascii="Arial" w:eastAsia="MS Mincho" w:hAnsi="Arial" w:cs="Arial"/>
          <w:sz w:val="24"/>
          <w:lang w:eastAsia="zh-CN"/>
        </w:rPr>
        <w:t>Discussion and decision</w:t>
      </w:r>
    </w:p>
    <w:p w14:paraId="67D5206B" w14:textId="77777777" w:rsidR="00CD55AD" w:rsidRPr="00955133" w:rsidRDefault="00CD55AD" w:rsidP="00CD55AD">
      <w:pPr>
        <w:tabs>
          <w:tab w:val="left" w:pos="1500"/>
        </w:tabs>
        <w:overflowPunct w:val="0"/>
        <w:spacing w:after="60"/>
        <w:textAlignment w:val="baseline"/>
        <w:rPr>
          <w:rFonts w:ascii="Arial" w:eastAsia="MS Mincho" w:hAnsi="Arial" w:cs="Arial"/>
          <w:sz w:val="24"/>
          <w:lang w:eastAsia="zh-CN"/>
        </w:rPr>
      </w:pPr>
    </w:p>
    <w:p w14:paraId="76499CA2" w14:textId="77777777" w:rsidR="00CD55AD" w:rsidRPr="00095F3C" w:rsidRDefault="00CD55AD" w:rsidP="00CD55AD">
      <w:pPr>
        <w:pStyle w:val="1"/>
        <w:keepLines/>
        <w:pBdr>
          <w:top w:val="single" w:sz="12" w:space="3" w:color="auto"/>
        </w:pBdr>
        <w:autoSpaceDE/>
        <w:autoSpaceDN/>
        <w:adjustRightInd/>
        <w:snapToGrid/>
        <w:spacing w:before="0" w:after="60" w:line="276" w:lineRule="auto"/>
        <w:ind w:left="432" w:hanging="403"/>
        <w:rPr>
          <w:rFonts w:cs="Arial"/>
          <w:sz w:val="32"/>
          <w:szCs w:val="18"/>
          <w:lang w:eastAsia="ko-KR"/>
        </w:rPr>
      </w:pPr>
      <w:bookmarkStart w:id="4" w:name="OLE_LINK36"/>
      <w:bookmarkStart w:id="5" w:name="OLE_LINK5"/>
      <w:bookmarkStart w:id="6" w:name="_Ref129681832"/>
      <w:r w:rsidRPr="00095F3C">
        <w:rPr>
          <w:rFonts w:cs="Arial"/>
          <w:sz w:val="32"/>
          <w:szCs w:val="18"/>
          <w:lang w:eastAsia="ko-KR"/>
        </w:rPr>
        <w:t>Introduction</w:t>
      </w:r>
    </w:p>
    <w:p w14:paraId="010AE50C" w14:textId="74AF06D6" w:rsidR="00CD55AD" w:rsidRDefault="00CD55AD" w:rsidP="00CD55AD">
      <w:pPr>
        <w:rPr>
          <w:rFonts w:eastAsiaTheme="minorEastAsia"/>
          <w:lang w:eastAsia="zh-CN"/>
        </w:rPr>
      </w:pPr>
      <w:r w:rsidRPr="004E36EB">
        <w:rPr>
          <w:rFonts w:eastAsiaTheme="minorEastAsia"/>
          <w:lang w:eastAsia="zh-CN"/>
        </w:rPr>
        <w:t>Th</w:t>
      </w:r>
      <w:r>
        <w:rPr>
          <w:rFonts w:eastAsiaTheme="minorEastAsia"/>
          <w:lang w:eastAsia="zh-CN"/>
        </w:rPr>
        <w:t>e purpose of th</w:t>
      </w:r>
      <w:r w:rsidRPr="004E36EB">
        <w:rPr>
          <w:rFonts w:eastAsiaTheme="minorEastAsia"/>
          <w:lang w:eastAsia="zh-CN"/>
        </w:rPr>
        <w:t xml:space="preserve">is document </w:t>
      </w:r>
      <w:r>
        <w:rPr>
          <w:rFonts w:eastAsiaTheme="minorEastAsia"/>
          <w:lang w:eastAsia="zh-CN"/>
        </w:rPr>
        <w:t>is to collect inp</w:t>
      </w:r>
      <w:r w:rsidR="003F522D">
        <w:rPr>
          <w:rFonts w:eastAsiaTheme="minorEastAsia"/>
          <w:lang w:eastAsia="zh-CN"/>
        </w:rPr>
        <w:t xml:space="preserve">uts/comments on the draft CR for TS 38.213 </w:t>
      </w:r>
      <w:hyperlink r:id="rId7" w:history="1">
        <w:r w:rsidR="00E46CD3">
          <w:rPr>
            <w:rStyle w:val="a3"/>
            <w:rFonts w:eastAsiaTheme="minorEastAsia"/>
            <w:lang w:eastAsia="zh-CN"/>
          </w:rPr>
          <w:t>draftCR_38213 eRedCap</w:t>
        </w:r>
      </w:hyperlink>
      <w:r>
        <w:rPr>
          <w:rFonts w:eastAsiaTheme="minorEastAsia"/>
          <w:lang w:eastAsia="zh-CN"/>
        </w:rPr>
        <w:t xml:space="preserve"> on the introduction o</w:t>
      </w:r>
      <w:r w:rsidR="003F522D">
        <w:rPr>
          <w:rFonts w:eastAsiaTheme="minorEastAsia"/>
          <w:lang w:eastAsia="zh-CN"/>
        </w:rPr>
        <w:t>f</w:t>
      </w:r>
      <w:r>
        <w:rPr>
          <w:rFonts w:eastAsiaTheme="minorEastAsia"/>
          <w:lang w:eastAsia="zh-CN"/>
        </w:rPr>
        <w:t xml:space="preserve"> </w:t>
      </w:r>
      <w:r w:rsidR="00DD176B">
        <w:rPr>
          <w:rFonts w:eastAsiaTheme="minorEastAsia"/>
          <w:lang w:eastAsia="zh-CN"/>
        </w:rPr>
        <w:t xml:space="preserve">support for </w:t>
      </w:r>
      <w:r w:rsidR="005C1C82">
        <w:rPr>
          <w:rFonts w:eastAsiaTheme="minorEastAsia"/>
          <w:lang w:eastAsia="zh-CN"/>
        </w:rPr>
        <w:t>enhanced reduced capability NR devices</w:t>
      </w:r>
      <w:r>
        <w:rPr>
          <w:rFonts w:eastAsiaTheme="minorEastAsia"/>
          <w:lang w:eastAsia="zh-CN"/>
        </w:rPr>
        <w:t>.</w:t>
      </w:r>
      <w:r w:rsidR="00A62F4B">
        <w:rPr>
          <w:rFonts w:eastAsiaTheme="minorEastAsia"/>
          <w:lang w:eastAsia="zh-CN"/>
        </w:rPr>
        <w:t xml:space="preserve"> If a comment on a particular aspect has been made</w:t>
      </w:r>
      <w:r w:rsidR="00E00426">
        <w:rPr>
          <w:rFonts w:eastAsiaTheme="minorEastAsia"/>
          <w:lang w:eastAsia="zh-CN"/>
        </w:rPr>
        <w:t xml:space="preserve"> by another company</w:t>
      </w:r>
      <w:r w:rsidR="00A62F4B">
        <w:rPr>
          <w:rFonts w:eastAsiaTheme="minorEastAsia"/>
          <w:lang w:eastAsia="zh-CN"/>
        </w:rPr>
        <w:t>, please do not repeat it until, if needed, after a response.</w:t>
      </w:r>
    </w:p>
    <w:p w14:paraId="1A01A9F2" w14:textId="6EE194D0" w:rsidR="00CD55AD" w:rsidRDefault="00CD55AD" w:rsidP="00CD55AD">
      <w:pPr>
        <w:spacing w:after="0"/>
        <w:rPr>
          <w:rFonts w:eastAsiaTheme="minorEastAsia"/>
          <w:lang w:eastAsia="zh-CN"/>
        </w:rPr>
      </w:pPr>
      <w:r w:rsidRPr="00A312EF">
        <w:rPr>
          <w:rFonts w:eastAsiaTheme="minorEastAsia"/>
          <w:highlight w:val="yellow"/>
          <w:lang w:eastAsia="zh-CN"/>
        </w:rPr>
        <w:t>The first c</w:t>
      </w:r>
      <w:r w:rsidR="003F522D">
        <w:rPr>
          <w:rFonts w:eastAsiaTheme="minorEastAsia"/>
          <w:highlight w:val="yellow"/>
          <w:lang w:eastAsia="zh-CN"/>
        </w:rPr>
        <w:t xml:space="preserve">heckpoint is on </w:t>
      </w:r>
      <w:r w:rsidR="00664CB5">
        <w:rPr>
          <w:rFonts w:eastAsiaTheme="minorEastAsia"/>
          <w:highlight w:val="yellow"/>
          <w:lang w:eastAsia="zh-CN"/>
        </w:rPr>
        <w:t>September</w:t>
      </w:r>
      <w:r w:rsidR="003F522D">
        <w:rPr>
          <w:rFonts w:eastAsiaTheme="minorEastAsia"/>
          <w:highlight w:val="yellow"/>
          <w:lang w:eastAsia="zh-CN"/>
        </w:rPr>
        <w:t xml:space="preserve"> </w:t>
      </w:r>
      <w:r w:rsidR="00664CB5">
        <w:rPr>
          <w:rFonts w:eastAsiaTheme="minorEastAsia"/>
          <w:highlight w:val="yellow"/>
          <w:lang w:eastAsia="zh-CN"/>
        </w:rPr>
        <w:t>5</w:t>
      </w:r>
      <w:r w:rsidR="003F522D">
        <w:rPr>
          <w:rFonts w:eastAsiaTheme="minorEastAsia"/>
          <w:highlight w:val="yellow"/>
          <w:lang w:eastAsia="zh-CN"/>
        </w:rPr>
        <w:t>, UTC 1</w:t>
      </w:r>
      <w:r w:rsidR="00B80025">
        <w:rPr>
          <w:rFonts w:eastAsiaTheme="minorEastAsia"/>
          <w:highlight w:val="yellow"/>
          <w:lang w:eastAsia="zh-CN"/>
        </w:rPr>
        <w:t>3</w:t>
      </w:r>
      <w:r w:rsidRPr="00A312EF">
        <w:rPr>
          <w:rFonts w:eastAsiaTheme="minorEastAsia"/>
          <w:highlight w:val="yellow"/>
          <w:lang w:eastAsia="zh-CN"/>
        </w:rPr>
        <w:t>:00.</w:t>
      </w:r>
      <w:r>
        <w:rPr>
          <w:rFonts w:eastAsiaTheme="minorEastAsia"/>
          <w:lang w:eastAsia="zh-CN"/>
        </w:rPr>
        <w:t xml:space="preserve"> </w:t>
      </w:r>
    </w:p>
    <w:p w14:paraId="4CE15F50" w14:textId="77777777" w:rsidR="00CD55AD" w:rsidRDefault="00CD55AD" w:rsidP="00CD55AD">
      <w:pPr>
        <w:spacing w:after="0"/>
        <w:rPr>
          <w:rFonts w:eastAsiaTheme="minorEastAsia"/>
          <w:lang w:eastAsia="zh-CN"/>
        </w:rPr>
      </w:pPr>
    </w:p>
    <w:p w14:paraId="7D126074" w14:textId="77777777" w:rsidR="00CD55AD" w:rsidRPr="001120A9" w:rsidRDefault="00CD55AD" w:rsidP="00CD55AD">
      <w:pPr>
        <w:spacing w:after="0"/>
        <w:rPr>
          <w:lang w:eastAsia="ko-KR"/>
        </w:rPr>
      </w:pPr>
    </w:p>
    <w:p w14:paraId="450B4950" w14:textId="77777777" w:rsidR="00CD55AD" w:rsidRPr="00D314EF" w:rsidRDefault="00CD55AD" w:rsidP="00CD55AD">
      <w:pPr>
        <w:pStyle w:val="1"/>
        <w:keepLines/>
        <w:pBdr>
          <w:top w:val="single" w:sz="12" w:space="2" w:color="auto"/>
        </w:pBdr>
        <w:autoSpaceDE/>
        <w:autoSpaceDN/>
        <w:adjustRightInd/>
        <w:snapToGrid/>
        <w:spacing w:before="0" w:after="60" w:line="276" w:lineRule="auto"/>
        <w:ind w:left="432" w:hanging="432"/>
        <w:rPr>
          <w:rFonts w:cs="Arial"/>
          <w:sz w:val="32"/>
          <w:szCs w:val="18"/>
          <w:lang w:eastAsia="zh-CN"/>
        </w:rPr>
      </w:pPr>
      <w:r>
        <w:rPr>
          <w:rFonts w:cs="Arial"/>
          <w:sz w:val="32"/>
          <w:szCs w:val="18"/>
          <w:lang w:eastAsia="zh-CN"/>
        </w:rPr>
        <w:t xml:space="preserve">First Round </w:t>
      </w:r>
      <w:r w:rsidRPr="00095F3C">
        <w:rPr>
          <w:rFonts w:cs="Arial"/>
          <w:sz w:val="32"/>
          <w:szCs w:val="18"/>
          <w:lang w:eastAsia="zh-CN"/>
        </w:rPr>
        <w:t>Discussion</w:t>
      </w:r>
    </w:p>
    <w:p w14:paraId="5D084F9D" w14:textId="4FAB36F8" w:rsidR="00CD55AD" w:rsidRPr="00AC4BBE" w:rsidRDefault="00CD55AD" w:rsidP="00CD55AD">
      <w:pPr>
        <w:spacing w:after="240"/>
        <w:rPr>
          <w:lang w:eastAsia="zh-CN"/>
        </w:rPr>
      </w:pPr>
      <w:r>
        <w:rPr>
          <w:lang w:eastAsia="zh-CN"/>
        </w:rPr>
        <w:t xml:space="preserve">Please provide your comments </w:t>
      </w:r>
      <w:r w:rsidR="003F522D">
        <w:rPr>
          <w:rFonts w:eastAsiaTheme="minorEastAsia"/>
          <w:lang w:eastAsia="zh-CN"/>
        </w:rPr>
        <w:t xml:space="preserve">on the draft CR for TS 38.213 </w:t>
      </w:r>
      <w:hyperlink r:id="rId8" w:history="1">
        <w:r w:rsidR="00E46CD3">
          <w:rPr>
            <w:rStyle w:val="a3"/>
            <w:rFonts w:eastAsiaTheme="minorEastAsia"/>
            <w:lang w:eastAsia="zh-CN"/>
          </w:rPr>
          <w:t>draftCR_38213 eRedCap</w:t>
        </w:r>
      </w:hyperlink>
      <w:r>
        <w:rPr>
          <w:rFonts w:eastAsiaTheme="minorEastAsia"/>
          <w:lang w:eastAsia="zh-CN"/>
        </w:rPr>
        <w:t>.</w:t>
      </w:r>
      <w:r>
        <w:rPr>
          <w:lang w:eastAsia="zh-CN"/>
        </w:rPr>
        <w:t xml:space="preserve"> </w:t>
      </w:r>
      <w:bookmarkStart w:id="7" w:name="OLE_LINK27"/>
      <w:bookmarkStart w:id="8" w:name="OLE_LINK19"/>
      <w:bookmarkEnd w:id="4"/>
    </w:p>
    <w:tbl>
      <w:tblPr>
        <w:tblStyle w:val="a4"/>
        <w:tblW w:w="0" w:type="auto"/>
        <w:tblLook w:val="04A0" w:firstRow="1" w:lastRow="0" w:firstColumn="1" w:lastColumn="0" w:noHBand="0" w:noVBand="1"/>
      </w:tblPr>
      <w:tblGrid>
        <w:gridCol w:w="2113"/>
        <w:gridCol w:w="7194"/>
      </w:tblGrid>
      <w:tr w:rsidR="00CD55AD" w:rsidRPr="00004C3F" w14:paraId="25A51DDC" w14:textId="77777777" w:rsidTr="009E28FF">
        <w:tc>
          <w:tcPr>
            <w:tcW w:w="2113"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2E313CD" w14:textId="77777777" w:rsidR="00CD55AD" w:rsidRPr="00AC4BBE" w:rsidRDefault="00CD55AD" w:rsidP="009E28FF">
            <w:pPr>
              <w:spacing w:beforeLines="50" w:before="120"/>
              <w:rPr>
                <w:kern w:val="2"/>
                <w:lang w:eastAsia="zh-CN"/>
              </w:rPr>
            </w:pPr>
            <w:r w:rsidRPr="00AC4BBE">
              <w:rPr>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C7B6A2C" w14:textId="77777777" w:rsidR="00CD55AD" w:rsidRPr="00AC4BBE" w:rsidRDefault="00CD55AD" w:rsidP="009E28FF">
            <w:pPr>
              <w:spacing w:beforeLines="50" w:before="120"/>
              <w:rPr>
                <w:kern w:val="2"/>
                <w:lang w:eastAsia="zh-CN"/>
              </w:rPr>
            </w:pPr>
            <w:r>
              <w:rPr>
                <w:kern w:val="2"/>
                <w:lang w:eastAsia="zh-CN"/>
              </w:rPr>
              <w:t>Comments</w:t>
            </w:r>
          </w:p>
        </w:tc>
      </w:tr>
      <w:tr w:rsidR="00CD55AD" w:rsidRPr="00626CE3" w14:paraId="0607987A" w14:textId="77777777" w:rsidTr="009E28FF">
        <w:tc>
          <w:tcPr>
            <w:tcW w:w="2113" w:type="dxa"/>
            <w:tcBorders>
              <w:top w:val="single" w:sz="4" w:space="0" w:color="auto"/>
              <w:left w:val="single" w:sz="4" w:space="0" w:color="auto"/>
              <w:bottom w:val="single" w:sz="4" w:space="0" w:color="auto"/>
              <w:right w:val="single" w:sz="4" w:space="0" w:color="auto"/>
            </w:tcBorders>
          </w:tcPr>
          <w:p w14:paraId="4A774EC6" w14:textId="78E9AD6D" w:rsidR="00CD55AD" w:rsidRPr="001A3E65" w:rsidRDefault="001A3E65" w:rsidP="009E28FF">
            <w:pPr>
              <w:spacing w:beforeLines="50" w:before="120"/>
              <w:rPr>
                <w:rFonts w:eastAsia="PMingLiU"/>
                <w:kern w:val="2"/>
                <w:lang w:eastAsia="zh-TW"/>
              </w:rPr>
            </w:pPr>
            <w:r>
              <w:rPr>
                <w:rFonts w:eastAsia="PMingLiU" w:hint="eastAsia"/>
                <w:kern w:val="2"/>
                <w:lang w:eastAsia="zh-TW"/>
              </w:rPr>
              <w:t>M</w:t>
            </w:r>
            <w:r>
              <w:rPr>
                <w:rFonts w:eastAsia="PMingLiU"/>
                <w:kern w:val="2"/>
                <w:lang w:eastAsia="zh-TW"/>
              </w:rPr>
              <w:t>ediaTek</w:t>
            </w:r>
          </w:p>
        </w:tc>
        <w:tc>
          <w:tcPr>
            <w:tcW w:w="7194" w:type="dxa"/>
            <w:tcBorders>
              <w:top w:val="single" w:sz="4" w:space="0" w:color="auto"/>
              <w:left w:val="single" w:sz="4" w:space="0" w:color="auto"/>
              <w:bottom w:val="single" w:sz="4" w:space="0" w:color="auto"/>
              <w:right w:val="single" w:sz="4" w:space="0" w:color="auto"/>
            </w:tcBorders>
          </w:tcPr>
          <w:p w14:paraId="7EE99705" w14:textId="638F9769" w:rsidR="00CD55AD" w:rsidRDefault="001A3E65" w:rsidP="009E28FF">
            <w:pPr>
              <w:spacing w:beforeLines="50" w:before="120"/>
              <w:rPr>
                <w:rFonts w:eastAsia="PMingLiU"/>
                <w:kern w:val="2"/>
                <w:lang w:eastAsia="zh-TW"/>
              </w:rPr>
            </w:pPr>
            <w:r>
              <w:rPr>
                <w:rFonts w:eastAsia="PMingLiU" w:hint="eastAsia"/>
                <w:kern w:val="2"/>
                <w:lang w:eastAsia="zh-TW"/>
              </w:rPr>
              <w:t>A</w:t>
            </w:r>
            <w:r>
              <w:rPr>
                <w:rFonts w:eastAsia="PMingLiU"/>
                <w:kern w:val="2"/>
                <w:lang w:eastAsia="zh-TW"/>
              </w:rPr>
              <w:t xml:space="preserve">s we commented last time, like FG 48-1 UE, FG 48-2 UE does not expect Msg3 PUSCH, Msg A PUSCH, and Msg4 with TC-RNTI to be larger than 25/12 PRBs for 15/30 kHz SCS. For Msg4 with TC-RNTI, it has been captured in the current CR draft. But for Msg3 and </w:t>
            </w:r>
            <w:proofErr w:type="spellStart"/>
            <w:r>
              <w:rPr>
                <w:rFonts w:eastAsia="PMingLiU"/>
                <w:kern w:val="2"/>
                <w:lang w:eastAsia="zh-TW"/>
              </w:rPr>
              <w:t>MsgA</w:t>
            </w:r>
            <w:proofErr w:type="spellEnd"/>
            <w:r>
              <w:rPr>
                <w:rFonts w:eastAsia="PMingLiU"/>
                <w:kern w:val="2"/>
                <w:lang w:eastAsia="zh-TW"/>
              </w:rPr>
              <w:t xml:space="preserve"> PUSCH, it is missing. Hence, we suggest add the following paragraph to Clause 17.1A. </w:t>
            </w:r>
          </w:p>
          <w:p w14:paraId="21C80ABB" w14:textId="26D9EBB0" w:rsidR="001A3E65" w:rsidRPr="001A3E65" w:rsidRDefault="001A3E65" w:rsidP="001A3E65">
            <w:pPr>
              <w:pStyle w:val="aa"/>
              <w:numPr>
                <w:ilvl w:val="0"/>
                <w:numId w:val="3"/>
              </w:numPr>
              <w:spacing w:beforeLines="50" w:before="120"/>
              <w:ind w:leftChars="0"/>
              <w:rPr>
                <w:rFonts w:eastAsia="PMingLiU"/>
                <w:kern w:val="2"/>
                <w:u w:val="single"/>
                <w:lang w:eastAsia="zh-TW"/>
              </w:rPr>
            </w:pPr>
            <w:r w:rsidRPr="001A3E65">
              <w:rPr>
                <w:rFonts w:eastAsia="PMingLiU"/>
                <w:color w:val="C00000"/>
                <w:kern w:val="2"/>
                <w:u w:val="single"/>
                <w:lang w:eastAsia="zh-TW"/>
              </w:rPr>
              <w:t>A UE that indicates FG</w:t>
            </w:r>
            <w:r w:rsidR="009F3CC2">
              <w:rPr>
                <w:rFonts w:eastAsia="PMingLiU"/>
                <w:color w:val="C00000"/>
                <w:kern w:val="2"/>
                <w:u w:val="single"/>
                <w:lang w:eastAsia="zh-TW"/>
              </w:rPr>
              <w:t xml:space="preserve"> </w:t>
            </w:r>
            <w:r w:rsidRPr="001A3E65">
              <w:rPr>
                <w:rFonts w:eastAsia="PMingLiU"/>
                <w:color w:val="C00000"/>
                <w:kern w:val="2"/>
                <w:u w:val="single"/>
                <w:lang w:eastAsia="zh-TW"/>
              </w:rPr>
              <w:t>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03CEC4FC" w14:textId="77777777" w:rsidR="001A3E65" w:rsidRDefault="001A3E65" w:rsidP="001A3E65">
            <w:pPr>
              <w:spacing w:beforeLines="50" w:before="120"/>
              <w:rPr>
                <w:rFonts w:eastAsia="PMingLiU"/>
                <w:kern w:val="2"/>
                <w:u w:val="single"/>
                <w:lang w:eastAsia="zh-TW"/>
              </w:rPr>
            </w:pPr>
          </w:p>
          <w:p w14:paraId="0F528A06" w14:textId="77777777" w:rsidR="001A3E65" w:rsidRDefault="00BF1A51" w:rsidP="001A3E65">
            <w:pPr>
              <w:spacing w:beforeLines="50" w:before="120"/>
              <w:rPr>
                <w:rFonts w:eastAsia="PMingLiU"/>
                <w:kern w:val="2"/>
                <w:lang w:eastAsia="zh-TW"/>
              </w:rPr>
            </w:pPr>
            <w:r>
              <w:rPr>
                <w:rFonts w:eastAsia="PMingLiU" w:hint="eastAsia"/>
                <w:kern w:val="2"/>
                <w:lang w:eastAsia="zh-TW"/>
              </w:rPr>
              <w:t>T</w:t>
            </w:r>
            <w:r>
              <w:rPr>
                <w:rFonts w:eastAsia="PMingLiU"/>
                <w:kern w:val="2"/>
                <w:lang w:eastAsia="zh-TW"/>
              </w:rPr>
              <w:t>he reasons behind the above proposal are listed below:</w:t>
            </w:r>
          </w:p>
          <w:p w14:paraId="5CA759E9" w14:textId="77777777" w:rsidR="00BF1A51" w:rsidRDefault="00BF1A51" w:rsidP="00BF1A51">
            <w:pPr>
              <w:pStyle w:val="aa"/>
              <w:numPr>
                <w:ilvl w:val="0"/>
                <w:numId w:val="4"/>
              </w:numPr>
              <w:spacing w:beforeLines="50" w:before="120"/>
              <w:ind w:leftChars="0"/>
              <w:rPr>
                <w:rFonts w:eastAsia="PMingLiU"/>
                <w:kern w:val="2"/>
                <w:lang w:eastAsia="zh-TW"/>
              </w:rPr>
            </w:pPr>
            <w:r>
              <w:rPr>
                <w:rFonts w:eastAsia="PMingLiU"/>
                <w:kern w:val="2"/>
                <w:lang w:eastAsia="zh-TW"/>
              </w:rPr>
              <w:t xml:space="preserve">At </w:t>
            </w:r>
            <w:r>
              <w:rPr>
                <w:rFonts w:eastAsia="PMingLiU" w:hint="eastAsia"/>
                <w:kern w:val="2"/>
                <w:lang w:eastAsia="zh-TW"/>
              </w:rPr>
              <w:t>R</w:t>
            </w:r>
            <w:r>
              <w:rPr>
                <w:rFonts w:eastAsia="PMingLiU"/>
                <w:kern w:val="2"/>
                <w:lang w:eastAsia="zh-TW"/>
              </w:rPr>
              <w:t xml:space="preserve">AN#99, it was agreed that FG 48-2 UE should follow the same initial access procedure as FG 48-1 UE. </w:t>
            </w:r>
          </w:p>
          <w:p w14:paraId="15D379BD" w14:textId="77777777" w:rsidR="00BF1A51" w:rsidRDefault="00BF1A51" w:rsidP="00BF1A51">
            <w:pPr>
              <w:pStyle w:val="aa"/>
              <w:numPr>
                <w:ilvl w:val="0"/>
                <w:numId w:val="4"/>
              </w:numPr>
              <w:spacing w:beforeLines="50" w:before="120"/>
              <w:ind w:leftChars="0"/>
              <w:rPr>
                <w:rFonts w:eastAsia="PMingLiU"/>
                <w:kern w:val="2"/>
                <w:lang w:eastAsia="zh-TW"/>
              </w:rPr>
            </w:pPr>
            <w:r>
              <w:rPr>
                <w:rFonts w:eastAsia="PMingLiU" w:hint="eastAsia"/>
                <w:kern w:val="2"/>
                <w:lang w:eastAsia="zh-TW"/>
              </w:rPr>
              <w:t>R</w:t>
            </w:r>
            <w:r>
              <w:rPr>
                <w:rFonts w:eastAsia="PMingLiU"/>
                <w:kern w:val="2"/>
                <w:lang w:eastAsia="zh-TW"/>
              </w:rPr>
              <w:t>AN1 and RAN2 have both agreed that FG 48-2 UE shares the same early indication in Msg1/Msg3/</w:t>
            </w:r>
            <w:proofErr w:type="spellStart"/>
            <w:r>
              <w:rPr>
                <w:rFonts w:eastAsia="PMingLiU"/>
                <w:kern w:val="2"/>
                <w:lang w:eastAsia="zh-TW"/>
              </w:rPr>
              <w:t>MsgA</w:t>
            </w:r>
            <w:proofErr w:type="spellEnd"/>
            <w:r>
              <w:rPr>
                <w:rFonts w:eastAsia="PMingLiU"/>
                <w:kern w:val="2"/>
                <w:lang w:eastAsia="zh-TW"/>
              </w:rPr>
              <w:t xml:space="preserve"> PUSCH. </w:t>
            </w:r>
          </w:p>
          <w:p w14:paraId="55AB5025" w14:textId="77777777" w:rsidR="00BF1A51" w:rsidRDefault="00BF1A51" w:rsidP="006A7257">
            <w:pPr>
              <w:pStyle w:val="aa"/>
              <w:numPr>
                <w:ilvl w:val="2"/>
                <w:numId w:val="4"/>
              </w:numPr>
              <w:spacing w:beforeLines="50" w:before="120"/>
              <w:ind w:leftChars="0"/>
              <w:rPr>
                <w:rFonts w:eastAsia="PMingLiU"/>
                <w:kern w:val="2"/>
                <w:lang w:eastAsia="zh-TW"/>
              </w:rPr>
            </w:pPr>
            <w:r>
              <w:rPr>
                <w:rFonts w:eastAsia="PMingLiU"/>
                <w:kern w:val="2"/>
                <w:lang w:eastAsia="zh-TW"/>
              </w:rPr>
              <w:t xml:space="preserve">NW hence cannot distinguish FG 48-2 UE from FG 48-1 until it receives UE capability reporting. </w:t>
            </w:r>
          </w:p>
          <w:p w14:paraId="5E15D134" w14:textId="42AD9E3F" w:rsidR="00BF1A51" w:rsidRPr="00BF1A51" w:rsidRDefault="00BF1A51" w:rsidP="006A7257">
            <w:pPr>
              <w:pStyle w:val="aa"/>
              <w:numPr>
                <w:ilvl w:val="2"/>
                <w:numId w:val="4"/>
              </w:numPr>
              <w:spacing w:beforeLines="50" w:before="120"/>
              <w:ind w:leftChars="0"/>
              <w:rPr>
                <w:rFonts w:eastAsia="PMingLiU"/>
                <w:kern w:val="2"/>
                <w:lang w:eastAsia="zh-TW"/>
              </w:rPr>
            </w:pPr>
            <w:r>
              <w:rPr>
                <w:rFonts w:eastAsia="PMingLiU"/>
                <w:kern w:val="2"/>
                <w:lang w:eastAsia="zh-TW"/>
              </w:rPr>
              <w:t xml:space="preserve">In other words, the scheduling restriction during a RACH procedure should apply to both UEs except for Msg4 with C-RNTI. </w:t>
            </w:r>
          </w:p>
        </w:tc>
      </w:tr>
      <w:tr w:rsidR="00CD55AD" w:rsidRPr="00004C3F" w14:paraId="68225E93" w14:textId="77777777" w:rsidTr="009E28FF">
        <w:tc>
          <w:tcPr>
            <w:tcW w:w="2113" w:type="dxa"/>
            <w:tcBorders>
              <w:top w:val="single" w:sz="4" w:space="0" w:color="auto"/>
              <w:left w:val="single" w:sz="4" w:space="0" w:color="auto"/>
              <w:bottom w:val="single" w:sz="4" w:space="0" w:color="auto"/>
              <w:right w:val="single" w:sz="4" w:space="0" w:color="auto"/>
            </w:tcBorders>
          </w:tcPr>
          <w:p w14:paraId="6C7138F7" w14:textId="793E278D" w:rsidR="00CD55AD" w:rsidRPr="00AC4BBE" w:rsidRDefault="00F62AF4" w:rsidP="009E28FF">
            <w:pPr>
              <w:spacing w:beforeLines="50" w:before="120"/>
              <w:rPr>
                <w:kern w:val="2"/>
                <w:lang w:eastAsia="zh-CN"/>
              </w:rPr>
            </w:pPr>
            <w:r>
              <w:rPr>
                <w:rFonts w:hint="eastAsia"/>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38861BF" w14:textId="6D489E3A" w:rsidR="0065266C" w:rsidRPr="0065266C" w:rsidRDefault="0065266C" w:rsidP="009E28FF">
            <w:pPr>
              <w:spacing w:beforeLines="50" w:before="120"/>
              <w:rPr>
                <w:rFonts w:hint="eastAsia"/>
                <w:b/>
                <w:kern w:val="2"/>
                <w:lang w:eastAsia="zh-CN"/>
              </w:rPr>
            </w:pPr>
            <w:r w:rsidRPr="0065266C">
              <w:rPr>
                <w:rFonts w:hint="eastAsia"/>
                <w:b/>
                <w:kern w:val="2"/>
                <w:lang w:eastAsia="zh-CN"/>
              </w:rPr>
              <w:t>C</w:t>
            </w:r>
            <w:r w:rsidRPr="0065266C">
              <w:rPr>
                <w:b/>
                <w:kern w:val="2"/>
                <w:lang w:eastAsia="zh-CN"/>
              </w:rPr>
              <w:t>omment</w:t>
            </w:r>
            <w:r w:rsidRPr="0065266C">
              <w:rPr>
                <w:rFonts w:hint="eastAsia"/>
                <w:b/>
                <w:kern w:val="2"/>
                <w:lang w:eastAsia="zh-CN"/>
              </w:rPr>
              <w:t>:</w:t>
            </w:r>
            <w:r w:rsidRPr="0065266C">
              <w:rPr>
                <w:b/>
                <w:kern w:val="2"/>
                <w:lang w:eastAsia="zh-CN"/>
              </w:rPr>
              <w:t xml:space="preserve"> </w:t>
            </w:r>
          </w:p>
          <w:p w14:paraId="28E896FC" w14:textId="6DC4D644" w:rsidR="00CD55AD" w:rsidRDefault="00F62AF4" w:rsidP="009E28FF">
            <w:pPr>
              <w:spacing w:beforeLines="50" w:before="120"/>
              <w:rPr>
                <w:rFonts w:eastAsia="Microsoft YaHei UI"/>
                <w:lang w:eastAsia="zh-CN"/>
              </w:rPr>
            </w:pPr>
            <w:r>
              <w:rPr>
                <w:kern w:val="2"/>
                <w:lang w:eastAsia="zh-CN"/>
              </w:rPr>
              <w:t xml:space="preserve">For the newly added description for </w:t>
            </w:r>
            <w:r w:rsidR="0065266C">
              <w:rPr>
                <w:kern w:val="2"/>
                <w:lang w:eastAsia="zh-CN"/>
              </w:rPr>
              <w:t xml:space="preserve">handling the </w:t>
            </w:r>
            <w:r w:rsidR="0065266C" w:rsidRPr="00595B8F">
              <w:rPr>
                <w:rFonts w:eastAsia="Microsoft YaHei UI"/>
                <w:lang w:eastAsia="zh-CN"/>
              </w:rPr>
              <w:t>Broadcast MBS PDSCH</w:t>
            </w:r>
            <w:r w:rsidR="0065266C">
              <w:rPr>
                <w:rFonts w:eastAsia="Microsoft YaHei UI"/>
                <w:lang w:eastAsia="zh-CN"/>
              </w:rPr>
              <w:t>, we think it is based on the following agreements</w:t>
            </w:r>
          </w:p>
          <w:p w14:paraId="4E6657E0" w14:textId="6F0208D5" w:rsidR="0065266C" w:rsidRPr="00595B8F" w:rsidRDefault="0065266C" w:rsidP="0065266C">
            <w:pPr>
              <w:rPr>
                <w:rFonts w:eastAsia="等线"/>
                <w:highlight w:val="green"/>
                <w:lang w:eastAsia="zh-CN"/>
              </w:rPr>
            </w:pPr>
            <w:r w:rsidRPr="00595B8F">
              <w:rPr>
                <w:rFonts w:eastAsia="等线"/>
                <w:highlight w:val="green"/>
                <w:lang w:eastAsia="zh-CN"/>
              </w:rPr>
              <w:t>Agreement:</w:t>
            </w:r>
            <w:r>
              <w:t xml:space="preserve"> </w:t>
            </w:r>
          </w:p>
          <w:p w14:paraId="4745FBE0" w14:textId="77777777" w:rsidR="0065266C" w:rsidRPr="00595B8F" w:rsidRDefault="0065266C" w:rsidP="0065266C">
            <w:pPr>
              <w:numPr>
                <w:ilvl w:val="0"/>
                <w:numId w:val="5"/>
              </w:numPr>
              <w:tabs>
                <w:tab w:val="left" w:pos="720"/>
              </w:tabs>
              <w:autoSpaceDE/>
              <w:autoSpaceDN/>
              <w:adjustRightInd/>
              <w:snapToGrid/>
              <w:spacing w:after="0"/>
              <w:jc w:val="left"/>
              <w:rPr>
                <w:lang w:eastAsia="x-none"/>
              </w:rPr>
            </w:pPr>
            <w:r w:rsidRPr="00713DF0">
              <w:rPr>
                <w:highlight w:val="cyan"/>
                <w:lang w:eastAsia="x-none"/>
              </w:rPr>
              <w:t>For UE BB bandwidth reduction</w:t>
            </w:r>
            <w:r w:rsidRPr="0065266C">
              <w:rPr>
                <w:lang w:eastAsia="x-none"/>
              </w:rPr>
              <w:t>,</w:t>
            </w:r>
            <w:r w:rsidRPr="00595B8F">
              <w:rPr>
                <w:lang w:eastAsia="x-none"/>
              </w:rPr>
              <w:t xml:space="preserve"> the number of PRBs scheduled in DCI </w:t>
            </w:r>
            <w:r w:rsidRPr="00595B8F">
              <w:rPr>
                <w:u w:val="single"/>
                <w:lang w:eastAsia="x-none"/>
              </w:rPr>
              <w:t>can be larger</w:t>
            </w:r>
            <w:r w:rsidRPr="00595B8F">
              <w:rPr>
                <w:lang w:eastAsia="x-none"/>
              </w:rPr>
              <w:t xml:space="preserve"> than 25 PRBs for 15 kHz SCS and 12 PRBs for 30 kHz SCS for:</w:t>
            </w:r>
          </w:p>
          <w:p w14:paraId="62DC8F7F" w14:textId="77777777" w:rsidR="0065266C" w:rsidRPr="00595B8F"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t>Broadcast MBS PDSCH without any PDSCH in next slot</w:t>
            </w:r>
          </w:p>
          <w:p w14:paraId="4279F425" w14:textId="77777777" w:rsidR="0065266C" w:rsidRDefault="0065266C" w:rsidP="0065266C">
            <w:pPr>
              <w:numPr>
                <w:ilvl w:val="1"/>
                <w:numId w:val="6"/>
              </w:numPr>
              <w:autoSpaceDE/>
              <w:autoSpaceDN/>
              <w:adjustRightInd/>
              <w:snapToGrid/>
              <w:spacing w:after="0"/>
              <w:jc w:val="left"/>
              <w:rPr>
                <w:rFonts w:eastAsia="Microsoft YaHei UI"/>
                <w:lang w:eastAsia="zh-CN"/>
              </w:rPr>
            </w:pPr>
            <w:r w:rsidRPr="00595B8F">
              <w:rPr>
                <w:rFonts w:eastAsia="Microsoft YaHei UI"/>
                <w:lang w:eastAsia="zh-CN"/>
              </w:rPr>
              <w:lastRenderedPageBreak/>
              <w:t>Broadcast MBS PDSCH without MBS PDSCH repetition</w:t>
            </w:r>
          </w:p>
          <w:p w14:paraId="7A3CFC32" w14:textId="2B3E7F5D" w:rsidR="0065266C" w:rsidRDefault="0065266C" w:rsidP="0065266C">
            <w:pPr>
              <w:spacing w:beforeLines="50" w:before="120"/>
              <w:rPr>
                <w:kern w:val="2"/>
                <w:lang w:eastAsia="zh-CN"/>
              </w:rPr>
            </w:pPr>
            <w:r>
              <w:rPr>
                <w:kern w:val="2"/>
                <w:lang w:eastAsia="zh-CN"/>
              </w:rPr>
              <w:t>Although no explicit agreements for the cases of “</w:t>
            </w:r>
            <w:r w:rsidRPr="0065266C">
              <w:rPr>
                <w:kern w:val="2"/>
                <w:lang w:eastAsia="zh-CN"/>
              </w:rPr>
              <w:t>Broadcast MBS PDSCH with</w:t>
            </w:r>
            <w:r>
              <w:rPr>
                <w:kern w:val="2"/>
                <w:lang w:eastAsia="zh-CN"/>
              </w:rPr>
              <w:t xml:space="preserve"> another</w:t>
            </w:r>
            <w:r w:rsidRPr="0065266C">
              <w:rPr>
                <w:kern w:val="2"/>
                <w:lang w:eastAsia="zh-CN"/>
              </w:rPr>
              <w:t xml:space="preserve"> PDSCH in next slot</w:t>
            </w:r>
            <w:r>
              <w:rPr>
                <w:kern w:val="2"/>
                <w:lang w:eastAsia="zh-CN"/>
              </w:rPr>
              <w:t>” and “</w:t>
            </w:r>
            <w:r w:rsidRPr="0065266C">
              <w:rPr>
                <w:kern w:val="2"/>
                <w:lang w:eastAsia="zh-CN"/>
              </w:rPr>
              <w:t>Broadcast MBS PDSCH with</w:t>
            </w:r>
            <w:r>
              <w:rPr>
                <w:kern w:val="2"/>
                <w:lang w:eastAsia="zh-CN"/>
              </w:rPr>
              <w:t xml:space="preserve"> </w:t>
            </w:r>
            <w:r w:rsidRPr="0065266C">
              <w:rPr>
                <w:kern w:val="2"/>
                <w:lang w:eastAsia="zh-CN"/>
              </w:rPr>
              <w:t>MBS PDSCH repetition</w:t>
            </w:r>
            <w:r w:rsidR="00713DF0">
              <w:rPr>
                <w:kern w:val="2"/>
                <w:lang w:eastAsia="zh-CN"/>
              </w:rPr>
              <w:t xml:space="preserve">”, we are fine with the current </w:t>
            </w:r>
            <w:r w:rsidR="00521E7A">
              <w:rPr>
                <w:kern w:val="2"/>
                <w:lang w:eastAsia="zh-CN"/>
              </w:rPr>
              <w:t>description used</w:t>
            </w:r>
            <w:r w:rsidR="00713DF0">
              <w:rPr>
                <w:kern w:val="2"/>
                <w:lang w:eastAsia="zh-CN"/>
              </w:rPr>
              <w:t xml:space="preserve"> by editor</w:t>
            </w:r>
            <w:r w:rsidR="00521E7A">
              <w:rPr>
                <w:kern w:val="2"/>
                <w:lang w:eastAsia="zh-CN"/>
              </w:rPr>
              <w:t xml:space="preserve"> for handling above cases</w:t>
            </w:r>
            <w:r w:rsidR="00713DF0">
              <w:rPr>
                <w:kern w:val="2"/>
                <w:lang w:eastAsia="zh-CN"/>
              </w:rPr>
              <w:t xml:space="preserve">. But it should be applied for </w:t>
            </w:r>
            <w:r w:rsidR="00713DF0" w:rsidRPr="00713DF0">
              <w:rPr>
                <w:kern w:val="2"/>
                <w:highlight w:val="cyan"/>
                <w:lang w:eastAsia="zh-CN"/>
              </w:rPr>
              <w:t>a UE that has not indicated FG48-2.</w:t>
            </w:r>
            <w:r w:rsidR="00713DF0">
              <w:rPr>
                <w:kern w:val="2"/>
                <w:lang w:eastAsia="zh-CN"/>
              </w:rPr>
              <w:t xml:space="preserve">  Proposed </w:t>
            </w:r>
            <w:r w:rsidR="00713DF0" w:rsidRPr="00521E7A">
              <w:rPr>
                <w:color w:val="FF0000"/>
                <w:kern w:val="2"/>
                <w:u w:val="single"/>
                <w:lang w:eastAsia="zh-CN"/>
              </w:rPr>
              <w:t>Modification</w:t>
            </w:r>
            <w:r w:rsidR="00713DF0">
              <w:rPr>
                <w:kern w:val="2"/>
                <w:lang w:eastAsia="zh-CN"/>
              </w:rPr>
              <w:t>:</w:t>
            </w:r>
          </w:p>
          <w:p w14:paraId="2074C057" w14:textId="77777777" w:rsidR="00713DF0" w:rsidRDefault="00713DF0" w:rsidP="0065266C">
            <w:pPr>
              <w:spacing w:beforeLines="50" w:before="120"/>
              <w:rPr>
                <w:kern w:val="2"/>
                <w:lang w:eastAsia="zh-CN"/>
              </w:rPr>
            </w:pPr>
          </w:p>
          <w:p w14:paraId="09173554" w14:textId="77777777" w:rsidR="00713DF0" w:rsidRDefault="00713DF0" w:rsidP="0065266C">
            <w:pPr>
              <w:spacing w:beforeLines="50" w:before="120"/>
              <w:rPr>
                <w:kern w:val="2"/>
                <w:lang w:eastAsia="zh-CN"/>
              </w:rPr>
            </w:pPr>
            <w:r>
              <w:rPr>
                <w:kern w:val="2"/>
                <w:lang w:eastAsia="zh-CN"/>
              </w:rPr>
              <w:t>“</w:t>
            </w:r>
            <w:r w:rsidRPr="00713DF0">
              <w:rPr>
                <w:kern w:val="2"/>
                <w:lang w:eastAsia="zh-CN"/>
              </w:rPr>
              <w:t xml:space="preserve">A UE </w:t>
            </w:r>
            <w:r w:rsidRPr="00713DF0">
              <w:rPr>
                <w:color w:val="FF0000"/>
                <w:kern w:val="2"/>
                <w:u w:val="single"/>
                <w:lang w:eastAsia="zh-CN"/>
              </w:rPr>
              <w:t>that has not indicated FG 48-2</w:t>
            </w:r>
            <w:r w:rsidRPr="00713DF0">
              <w:rPr>
                <w:kern w:val="2"/>
                <w:lang w:eastAsia="zh-CN"/>
              </w:rPr>
              <w:t xml:space="preserve"> is not required to process a PDSCH reception in slot n that is scheduled by a DCI format with CRC scrambled by a G-RNTI for broadcast over a number of PRBs that is larger than 25 PRBs for 15 kHz SCS, or larger than 12 PRBs for 30 kHz SCS, when the PDSCH reception is with repetitions or when the UE receives another PDSCH in slot n+1.</w:t>
            </w:r>
            <w:r>
              <w:rPr>
                <w:kern w:val="2"/>
                <w:lang w:eastAsia="zh-CN"/>
              </w:rPr>
              <w:t>”</w:t>
            </w:r>
          </w:p>
          <w:p w14:paraId="4EA341DB" w14:textId="15EAF8A1" w:rsidR="00713DF0" w:rsidRPr="00713DF0" w:rsidRDefault="00713DF0" w:rsidP="0065266C">
            <w:pPr>
              <w:spacing w:beforeLines="50" w:before="120"/>
              <w:rPr>
                <w:rFonts w:hint="eastAsia"/>
                <w:b/>
                <w:kern w:val="2"/>
                <w:lang w:eastAsia="zh-CN"/>
              </w:rPr>
            </w:pPr>
            <w:r>
              <w:rPr>
                <w:kern w:val="2"/>
                <w:lang w:eastAsia="zh-CN"/>
              </w:rPr>
              <w:t xml:space="preserve"> </w:t>
            </w:r>
          </w:p>
        </w:tc>
        <w:bookmarkStart w:id="9" w:name="_GoBack"/>
        <w:bookmarkEnd w:id="9"/>
      </w:tr>
      <w:tr w:rsidR="00CD55AD" w:rsidRPr="00004C3F" w14:paraId="6BB7119C" w14:textId="77777777" w:rsidTr="009E28FF">
        <w:tc>
          <w:tcPr>
            <w:tcW w:w="2113" w:type="dxa"/>
            <w:tcBorders>
              <w:top w:val="single" w:sz="4" w:space="0" w:color="auto"/>
              <w:left w:val="single" w:sz="4" w:space="0" w:color="auto"/>
              <w:bottom w:val="single" w:sz="4" w:space="0" w:color="auto"/>
              <w:right w:val="single" w:sz="4" w:space="0" w:color="auto"/>
            </w:tcBorders>
          </w:tcPr>
          <w:p w14:paraId="09931C73"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72298" w14:textId="77777777" w:rsidR="00CD55AD" w:rsidRPr="00AC4BBE" w:rsidRDefault="00CD55AD" w:rsidP="009E28FF">
            <w:pPr>
              <w:spacing w:beforeLines="50" w:before="120"/>
              <w:rPr>
                <w:kern w:val="2"/>
                <w:lang w:eastAsia="zh-CN"/>
              </w:rPr>
            </w:pPr>
          </w:p>
        </w:tc>
      </w:tr>
      <w:tr w:rsidR="00CD55AD" w:rsidRPr="00004C3F" w14:paraId="66FE07CB" w14:textId="77777777" w:rsidTr="009E28FF">
        <w:tc>
          <w:tcPr>
            <w:tcW w:w="2113" w:type="dxa"/>
            <w:tcBorders>
              <w:top w:val="single" w:sz="4" w:space="0" w:color="auto"/>
              <w:left w:val="single" w:sz="4" w:space="0" w:color="auto"/>
              <w:bottom w:val="single" w:sz="4" w:space="0" w:color="auto"/>
              <w:right w:val="single" w:sz="4" w:space="0" w:color="auto"/>
            </w:tcBorders>
          </w:tcPr>
          <w:p w14:paraId="692B7931"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D53FD1" w14:textId="77777777" w:rsidR="00CD55AD" w:rsidRPr="00AC4BBE" w:rsidRDefault="00CD55AD" w:rsidP="009E28FF">
            <w:pPr>
              <w:spacing w:beforeLines="50" w:before="120"/>
              <w:rPr>
                <w:kern w:val="2"/>
                <w:lang w:eastAsia="zh-CN"/>
              </w:rPr>
            </w:pPr>
          </w:p>
        </w:tc>
      </w:tr>
      <w:tr w:rsidR="00CD55AD" w:rsidRPr="00004C3F" w14:paraId="7D7F8291" w14:textId="77777777" w:rsidTr="009E28FF">
        <w:tc>
          <w:tcPr>
            <w:tcW w:w="2113" w:type="dxa"/>
            <w:tcBorders>
              <w:top w:val="single" w:sz="4" w:space="0" w:color="auto"/>
              <w:left w:val="single" w:sz="4" w:space="0" w:color="auto"/>
              <w:bottom w:val="single" w:sz="4" w:space="0" w:color="auto"/>
              <w:right w:val="single" w:sz="4" w:space="0" w:color="auto"/>
            </w:tcBorders>
          </w:tcPr>
          <w:p w14:paraId="3A7DF2E7"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DC60F0" w14:textId="77777777" w:rsidR="00CD55AD" w:rsidRPr="00AC4BBE" w:rsidRDefault="00CD55AD" w:rsidP="009E28FF">
            <w:pPr>
              <w:spacing w:beforeLines="50" w:before="120"/>
              <w:rPr>
                <w:kern w:val="2"/>
                <w:lang w:eastAsia="zh-CN"/>
              </w:rPr>
            </w:pPr>
          </w:p>
        </w:tc>
      </w:tr>
      <w:tr w:rsidR="00CD55AD" w:rsidRPr="00004C3F" w14:paraId="4BF1AAC3" w14:textId="77777777" w:rsidTr="009E28FF">
        <w:tc>
          <w:tcPr>
            <w:tcW w:w="2113" w:type="dxa"/>
            <w:tcBorders>
              <w:top w:val="single" w:sz="4" w:space="0" w:color="auto"/>
              <w:left w:val="single" w:sz="4" w:space="0" w:color="auto"/>
              <w:bottom w:val="single" w:sz="4" w:space="0" w:color="auto"/>
              <w:right w:val="single" w:sz="4" w:space="0" w:color="auto"/>
            </w:tcBorders>
          </w:tcPr>
          <w:p w14:paraId="1FC0FB66" w14:textId="77777777" w:rsidR="00CD55AD" w:rsidRPr="00AC4BBE" w:rsidRDefault="00CD55AD" w:rsidP="009E28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79424F" w14:textId="77777777" w:rsidR="00CD55AD" w:rsidRPr="00AC4BBE" w:rsidRDefault="00CD55AD" w:rsidP="009E28FF">
            <w:pPr>
              <w:spacing w:beforeLines="50" w:before="120"/>
              <w:rPr>
                <w:kern w:val="2"/>
                <w:lang w:eastAsia="zh-CN"/>
              </w:rPr>
            </w:pPr>
          </w:p>
        </w:tc>
      </w:tr>
      <w:bookmarkEnd w:id="5"/>
    </w:tbl>
    <w:p w14:paraId="1130E16B" w14:textId="77777777" w:rsidR="00CD55AD" w:rsidRPr="00AC4BBE" w:rsidRDefault="00CD55AD" w:rsidP="00CD55AD">
      <w:pPr>
        <w:adjustRightInd/>
        <w:spacing w:after="0"/>
        <w:rPr>
          <w:color w:val="000000"/>
          <w:sz w:val="20"/>
          <w:lang w:val="en-GB" w:eastAsia="zh-CN"/>
        </w:rPr>
      </w:pPr>
    </w:p>
    <w:bookmarkEnd w:id="6"/>
    <w:bookmarkEnd w:id="7"/>
    <w:bookmarkEnd w:id="8"/>
    <w:p w14:paraId="0B62F590" w14:textId="77777777" w:rsidR="009074B8" w:rsidRDefault="009074B8" w:rsidP="009074B8">
      <w:pPr>
        <w:spacing w:after="0"/>
        <w:rPr>
          <w:lang w:eastAsia="ko-KR"/>
        </w:rPr>
      </w:pPr>
    </w:p>
    <w:p w14:paraId="01C398A2" w14:textId="77777777" w:rsidR="009074B8" w:rsidRPr="00AC4BBE" w:rsidRDefault="009074B8" w:rsidP="009074B8">
      <w:pPr>
        <w:adjustRightInd/>
        <w:spacing w:after="0"/>
        <w:rPr>
          <w:color w:val="000000"/>
          <w:sz w:val="20"/>
          <w:lang w:val="en-GB" w:eastAsia="zh-CN"/>
        </w:rPr>
      </w:pPr>
    </w:p>
    <w:p w14:paraId="1B4492E6" w14:textId="77777777" w:rsidR="00CD55AD" w:rsidRDefault="00CD55AD" w:rsidP="00CD55AD">
      <w:pPr>
        <w:adjustRightInd/>
        <w:spacing w:after="0"/>
        <w:rPr>
          <w:color w:val="000000"/>
          <w:sz w:val="20"/>
          <w:lang w:val="en-GB" w:eastAsia="zh-CN"/>
        </w:rPr>
      </w:pPr>
    </w:p>
    <w:sectPr w:rsidR="00CD55AD" w:rsidSect="006F363E">
      <w:pgSz w:w="11909" w:h="16834" w:code="9"/>
      <w:pgMar w:top="1170" w:right="929" w:bottom="162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CF610" w14:textId="77777777" w:rsidR="00B4662B" w:rsidRDefault="00B4662B" w:rsidP="001A3E65">
      <w:pPr>
        <w:spacing w:after="0"/>
      </w:pPr>
      <w:r>
        <w:separator/>
      </w:r>
    </w:p>
  </w:endnote>
  <w:endnote w:type="continuationSeparator" w:id="0">
    <w:p w14:paraId="2422E12C" w14:textId="77777777" w:rsidR="00B4662B" w:rsidRDefault="00B4662B" w:rsidP="001A3E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A4B3E" w14:textId="77777777" w:rsidR="00B4662B" w:rsidRDefault="00B4662B" w:rsidP="001A3E65">
      <w:pPr>
        <w:spacing w:after="0"/>
      </w:pPr>
      <w:r>
        <w:separator/>
      </w:r>
    </w:p>
  </w:footnote>
  <w:footnote w:type="continuationSeparator" w:id="0">
    <w:p w14:paraId="73CA4783" w14:textId="77777777" w:rsidR="00B4662B" w:rsidRDefault="00B4662B" w:rsidP="001A3E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4D2873F8"/>
    <w:lvl w:ilvl="0">
      <w:start w:val="1"/>
      <w:numFmt w:val="decimal"/>
      <w:pStyle w:val="1"/>
      <w:lvlText w:val="%1"/>
      <w:lvlJc w:val="left"/>
      <w:pPr>
        <w:ind w:left="1251" w:hanging="400"/>
      </w:pPr>
      <w:rPr>
        <w:rFonts w:hint="eastAsia"/>
      </w:rPr>
    </w:lvl>
    <w:lvl w:ilvl="1">
      <w:start w:val="1"/>
      <w:numFmt w:val="decimal"/>
      <w:isLgl/>
      <w:lvlText w:val="%1.%2"/>
      <w:lvlJc w:val="left"/>
      <w:pPr>
        <w:ind w:left="-839" w:hanging="720"/>
      </w:pPr>
      <w:rPr>
        <w:rFonts w:hint="default"/>
      </w:rPr>
    </w:lvl>
    <w:lvl w:ilvl="2">
      <w:start w:val="1"/>
      <w:numFmt w:val="decimal"/>
      <w:isLgl/>
      <w:lvlText w:val="%1.%2.%3"/>
      <w:lvlJc w:val="left"/>
      <w:pPr>
        <w:ind w:left="-839" w:hanging="720"/>
      </w:pPr>
      <w:rPr>
        <w:rFonts w:hint="default"/>
      </w:rPr>
    </w:lvl>
    <w:lvl w:ilvl="3">
      <w:start w:val="1"/>
      <w:numFmt w:val="decimal"/>
      <w:isLgl/>
      <w:lvlText w:val="%1.%2.%3.%4"/>
      <w:lvlJc w:val="left"/>
      <w:pPr>
        <w:ind w:left="-479" w:hanging="1080"/>
      </w:pPr>
      <w:rPr>
        <w:rFonts w:hint="default"/>
      </w:rPr>
    </w:lvl>
    <w:lvl w:ilvl="4">
      <w:start w:val="1"/>
      <w:numFmt w:val="decimal"/>
      <w:isLgl/>
      <w:lvlText w:val="%1.%2.%3.%4.%5"/>
      <w:lvlJc w:val="left"/>
      <w:pPr>
        <w:ind w:left="-119" w:hanging="1440"/>
      </w:pPr>
      <w:rPr>
        <w:rFonts w:hint="default"/>
      </w:rPr>
    </w:lvl>
    <w:lvl w:ilvl="5">
      <w:start w:val="1"/>
      <w:numFmt w:val="decimal"/>
      <w:isLgl/>
      <w:lvlText w:val="%1.%2.%3.%4.%5.%6"/>
      <w:lvlJc w:val="left"/>
      <w:pPr>
        <w:ind w:left="241" w:hanging="1800"/>
      </w:pPr>
      <w:rPr>
        <w:rFonts w:hint="default"/>
      </w:rPr>
    </w:lvl>
    <w:lvl w:ilvl="6">
      <w:start w:val="1"/>
      <w:numFmt w:val="decimal"/>
      <w:isLgl/>
      <w:lvlText w:val="%1.%2.%3.%4.%5.%6.%7"/>
      <w:lvlJc w:val="left"/>
      <w:pPr>
        <w:ind w:left="241" w:hanging="1800"/>
      </w:pPr>
      <w:rPr>
        <w:rFonts w:hint="default"/>
      </w:rPr>
    </w:lvl>
    <w:lvl w:ilvl="7">
      <w:start w:val="1"/>
      <w:numFmt w:val="decimal"/>
      <w:isLgl/>
      <w:lvlText w:val="%1.%2.%3.%4.%5.%6.%7.%8"/>
      <w:lvlJc w:val="left"/>
      <w:pPr>
        <w:ind w:left="601" w:hanging="2160"/>
      </w:pPr>
      <w:rPr>
        <w:rFonts w:hint="default"/>
      </w:rPr>
    </w:lvl>
    <w:lvl w:ilvl="8">
      <w:start w:val="1"/>
      <w:numFmt w:val="decimal"/>
      <w:isLgl/>
      <w:lvlText w:val="%1.%2.%3.%4.%5.%6.%7.%8.%9"/>
      <w:lvlJc w:val="left"/>
      <w:pPr>
        <w:ind w:left="961" w:hanging="2520"/>
      </w:pPr>
      <w:rPr>
        <w:rFonts w:hint="default"/>
      </w:rPr>
    </w:lvl>
  </w:abstractNum>
  <w:abstractNum w:abstractNumId="3" w15:restartNumberingAfterBreak="0">
    <w:nsid w:val="30FE2B6F"/>
    <w:multiLevelType w:val="hybridMultilevel"/>
    <w:tmpl w:val="BF00165A"/>
    <w:lvl w:ilvl="0" w:tplc="0C14BBD8">
      <w:start w:val="1"/>
      <w:numFmt w:val="decimal"/>
      <w:lvlText w:val="%1."/>
      <w:lvlJc w:val="left"/>
      <w:pPr>
        <w:ind w:left="360" w:hanging="360"/>
      </w:pPr>
      <w:rPr>
        <w:rFonts w:hint="default"/>
      </w:rPr>
    </w:lvl>
    <w:lvl w:ilvl="1" w:tplc="847C0AB8">
      <w:start w:val="1"/>
      <w:numFmt w:val="bullet"/>
      <w:lvlText w:val=""/>
      <w:lvlJc w:val="left"/>
      <w:pPr>
        <w:ind w:left="48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5E1337EA"/>
    <w:multiLevelType w:val="hybridMultilevel"/>
    <w:tmpl w:val="9B463B8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54B"/>
    <w:rsid w:val="001A3E65"/>
    <w:rsid w:val="0027157C"/>
    <w:rsid w:val="00295FFC"/>
    <w:rsid w:val="002C711B"/>
    <w:rsid w:val="003435F1"/>
    <w:rsid w:val="003C7FC9"/>
    <w:rsid w:val="003F522D"/>
    <w:rsid w:val="00416C34"/>
    <w:rsid w:val="0044308F"/>
    <w:rsid w:val="00521E7A"/>
    <w:rsid w:val="005C1C82"/>
    <w:rsid w:val="0065266C"/>
    <w:rsid w:val="00664CB5"/>
    <w:rsid w:val="006A7257"/>
    <w:rsid w:val="006F363E"/>
    <w:rsid w:val="00713DF0"/>
    <w:rsid w:val="00793C93"/>
    <w:rsid w:val="00876064"/>
    <w:rsid w:val="009074B8"/>
    <w:rsid w:val="009F3CC2"/>
    <w:rsid w:val="00A62F4B"/>
    <w:rsid w:val="00B4662B"/>
    <w:rsid w:val="00B62E4F"/>
    <w:rsid w:val="00B80025"/>
    <w:rsid w:val="00BF1A51"/>
    <w:rsid w:val="00C0354B"/>
    <w:rsid w:val="00CD55AD"/>
    <w:rsid w:val="00D17E4A"/>
    <w:rsid w:val="00DD176B"/>
    <w:rsid w:val="00E00426"/>
    <w:rsid w:val="00E46CD3"/>
    <w:rsid w:val="00F62A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9577"/>
  <w15:chartTrackingRefBased/>
  <w15:docId w15:val="{321DE5FC-DFDC-48D4-B5BC-A596E34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54B"/>
    <w:pPr>
      <w:autoSpaceDE w:val="0"/>
      <w:autoSpaceDN w:val="0"/>
      <w:adjustRightInd w:val="0"/>
      <w:snapToGrid w:val="0"/>
      <w:spacing w:after="120" w:line="240" w:lineRule="auto"/>
      <w:jc w:val="both"/>
    </w:pPr>
    <w:rPr>
      <w:rFonts w:ascii="Times New Roman" w:eastAsia="宋体" w:hAnsi="Times New Roman" w:cs="Times New Roman"/>
    </w:rPr>
  </w:style>
  <w:style w:type="paragraph" w:styleId="1">
    <w:name w:val="heading 1"/>
    <w:aliases w:val="H1,h1,app heading 1,l1,Memo Heading 1,h11,h12,h13,h14,h15,h16,NMP Heading 1,Heading 1_a,heading 1,h17,h111,h121,h131,h141,h151,h161,h18,h112,h122,h132,h142,h152,h162,h19,h113,h123,h133,h143,h153,h163,Alt+1,Alt+11,Alt+12,Alt+13"/>
    <w:basedOn w:val="a"/>
    <w:next w:val="a"/>
    <w:link w:val="10"/>
    <w:uiPriority w:val="9"/>
    <w:qFormat/>
    <w:rsid w:val="00C0354B"/>
    <w:pPr>
      <w:keepNext/>
      <w:numPr>
        <w:numId w:val="1"/>
      </w:numPr>
      <w:spacing w:before="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C0354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qFormat/>
    <w:rsid w:val="00C0354B"/>
    <w:rPr>
      <w:color w:val="0000FF"/>
      <w:u w:val="single"/>
    </w:rPr>
  </w:style>
  <w:style w:type="table" w:styleId="a4">
    <w:name w:val="Table Grid"/>
    <w:aliases w:val="TableGrid"/>
    <w:basedOn w:val="a1"/>
    <w:uiPriority w:val="59"/>
    <w:qFormat/>
    <w:rsid w:val="00C0354B"/>
    <w:pPr>
      <w:widowControl w:val="0"/>
      <w:autoSpaceDE w:val="0"/>
      <w:autoSpaceDN w:val="0"/>
      <w:adjustRightInd w:val="0"/>
      <w:spacing w:after="12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basedOn w:val="a"/>
    <w:link w:val="a6"/>
    <w:rsid w:val="00C0354B"/>
    <w:pPr>
      <w:tabs>
        <w:tab w:val="center" w:pos="4680"/>
        <w:tab w:val="right" w:pos="9360"/>
      </w:tabs>
    </w:p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0"/>
    <w:link w:val="a5"/>
    <w:rsid w:val="00C0354B"/>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NMP Heading 1 字符,Heading 1_a 字符,heading 1 字符,h17 字符,h111 字符,h121 字符,h131 字符,h141 字符,h151 字符,h161 字符,h18 字符,h112 字符,h122 字符,h132 字符,h142 字符,h152 字符"/>
    <w:basedOn w:val="a0"/>
    <w:link w:val="1"/>
    <w:uiPriority w:val="9"/>
    <w:rsid w:val="00C0354B"/>
    <w:rPr>
      <w:rFonts w:ascii="Times New Roman" w:eastAsia="宋体" w:hAnsi="Times New Roman" w:cs="Times New Roman"/>
      <w:b/>
      <w:bCs/>
      <w:sz w:val="28"/>
      <w:szCs w:val="28"/>
    </w:rPr>
  </w:style>
  <w:style w:type="paragraph" w:customStyle="1" w:styleId="References">
    <w:name w:val="References"/>
    <w:basedOn w:val="a"/>
    <w:rsid w:val="00CD55AD"/>
    <w:pPr>
      <w:numPr>
        <w:numId w:val="2"/>
      </w:numPr>
      <w:adjustRightInd/>
      <w:spacing w:after="60"/>
    </w:pPr>
    <w:rPr>
      <w:sz w:val="20"/>
      <w:szCs w:val="16"/>
    </w:rPr>
  </w:style>
  <w:style w:type="character" w:styleId="a7">
    <w:name w:val="Unresolved Mention"/>
    <w:basedOn w:val="a0"/>
    <w:uiPriority w:val="99"/>
    <w:semiHidden/>
    <w:unhideWhenUsed/>
    <w:rsid w:val="00E46CD3"/>
    <w:rPr>
      <w:color w:val="605E5C"/>
      <w:shd w:val="clear" w:color="auto" w:fill="E1DFDD"/>
    </w:rPr>
  </w:style>
  <w:style w:type="paragraph" w:styleId="a8">
    <w:name w:val="footer"/>
    <w:basedOn w:val="a"/>
    <w:link w:val="a9"/>
    <w:uiPriority w:val="99"/>
    <w:unhideWhenUsed/>
    <w:rsid w:val="001A3E65"/>
    <w:pPr>
      <w:tabs>
        <w:tab w:val="center" w:pos="4153"/>
        <w:tab w:val="right" w:pos="8306"/>
      </w:tabs>
    </w:pPr>
    <w:rPr>
      <w:sz w:val="20"/>
      <w:szCs w:val="20"/>
    </w:rPr>
  </w:style>
  <w:style w:type="character" w:customStyle="1" w:styleId="a9">
    <w:name w:val="页脚 字符"/>
    <w:basedOn w:val="a0"/>
    <w:link w:val="a8"/>
    <w:uiPriority w:val="99"/>
    <w:rsid w:val="001A3E65"/>
    <w:rPr>
      <w:rFonts w:ascii="Times New Roman" w:eastAsia="宋体" w:hAnsi="Times New Roman" w:cs="Times New Roman"/>
      <w:sz w:val="20"/>
      <w:szCs w:val="20"/>
    </w:rPr>
  </w:style>
  <w:style w:type="paragraph" w:styleId="aa">
    <w:name w:val="List Paragraph"/>
    <w:basedOn w:val="a"/>
    <w:uiPriority w:val="34"/>
    <w:qFormat/>
    <w:rsid w:val="001A3E6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14/Inbox/drafts/9.17(Other)/%5B38.213%20draft%20CRs%5D/NR_redcap_enh/R1-230xxxx%20draftCR_38213%20eRedCap.docx" TargetMode="External"/><Relationship Id="rId3" Type="http://schemas.openxmlformats.org/officeDocument/2006/relationships/settings" Target="settings.xml"/><Relationship Id="rId7" Type="http://schemas.openxmlformats.org/officeDocument/2006/relationships/hyperlink" Target="https://www.3gpp.org/ftp/tsg_ran/WG1_RL1/TSGR1_114/Inbox/drafts/9.17(Other)/%5B38.213%20draft%20CRs%5D/NR_redcap_enh/R1-230xxxx%20draftCR_38213%20eRedCap.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Papasakellariou</dc:creator>
  <cp:keywords/>
  <dc:description/>
  <cp:lastModifiedBy>vivo</cp:lastModifiedBy>
  <cp:revision>22</cp:revision>
  <dcterms:created xsi:type="dcterms:W3CDTF">2023-04-17T13:37:00Z</dcterms:created>
  <dcterms:modified xsi:type="dcterms:W3CDTF">2023-09-01T10:13:00Z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2023-09-01T07:59:45Z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7b6f7fbc-082e-4a62-9ac4-4610fd3e4543</vt:lpwstr>
  </property>
  <property fmtid="{D5CDD505-2E9C-101B-9397-08002B2CF9AE}" pid="8" name="MSIP_Label_83bcef13-7cac-433f-ba1d-47a323951816_ContentBits">
    <vt:lpwstr>0</vt:lpwstr>
  </property>
</Properties>
</file>