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000000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000000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000000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000000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00000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000000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000000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000000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8602"/>
      </w:tblGrid>
      <w:tr w:rsidR="00C46981" w14:paraId="39685416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C46981" w14:paraId="6C7074E7" w14:textId="77777777">
              <w:tc>
                <w:tcPr>
                  <w:tcW w:w="6968" w:type="dxa"/>
                </w:tcPr>
                <w:p w14:paraId="202BB7AD" w14:textId="77777777" w:rsidR="00C46981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000000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000000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000000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>
              <w:tc>
                <w:tcPr>
                  <w:tcW w:w="6968" w:type="dxa"/>
                </w:tcPr>
                <w:p w14:paraId="31419FF4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or </w:t>
                  </w:r>
                  <w:r>
                    <w:rPr>
                      <w:lang w:eastAsia="zh-CN"/>
                    </w:rPr>
                    <w:t>”</w:t>
                  </w:r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>
              <w:tc>
                <w:tcPr>
                  <w:tcW w:w="6968" w:type="dxa"/>
                </w:tcPr>
                <w:p w14:paraId="225719BD" w14:textId="77777777" w:rsidR="00C46981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or </w:t>
                  </w:r>
                  <w:r>
                    <w:rPr>
                      <w:lang w:eastAsia="zh-CN"/>
                    </w:rPr>
                    <w:t>”</w:t>
                  </w:r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4EA49E6" w14:textId="77777777" w:rsidR="00C46981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</w:tc>
            </w:tr>
            <w:tr w:rsidR="00C46981" w14:paraId="7A4D23EB" w14:textId="77777777">
              <w:tc>
                <w:tcPr>
                  <w:tcW w:w="6968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Based on the following agreements, the function of DCI format 2_X is to activation or de-activation of cell DTX/DRX. Furthermore, based on RAN2 agreements, the cell DTX/DRX is determined by the configuration of  periodicity, start slot/offset, on duration, and the design in RAN2 focuses on one single configuration.</w:t>
                  </w:r>
                </w:p>
                <w:p w14:paraId="775AE731" w14:textId="77777777" w:rsidR="00C46981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000000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000000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000000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000000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000000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000000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000000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000000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000000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000000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000000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000000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configuration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>
              <w:tc>
                <w:tcPr>
                  <w:tcW w:w="6968" w:type="dxa"/>
                </w:tcPr>
                <w:p w14:paraId="7C67EE0C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</w:t>
                  </w:r>
                  <w:r>
                    <w:rPr>
                      <w:highlight w:val="yellow"/>
                    </w:rPr>
                    <w:lastRenderedPageBreak/>
                    <w:t>Active Time or of DRX Active Time</w:t>
                  </w:r>
                </w:p>
                <w:p w14:paraId="66AD6AEC" w14:textId="77777777" w:rsidR="00C46981" w:rsidRDefault="00000000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00000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>
              <w:trPr>
                <w:trHeight w:val="724"/>
              </w:trPr>
              <w:tc>
                <w:tcPr>
                  <w:tcW w:w="6968" w:type="dxa"/>
                </w:tcPr>
                <w:p w14:paraId="5C23470D" w14:textId="77777777" w:rsidR="00C46981" w:rsidRDefault="00000000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00000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00000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5C8D3153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6B54EC07" w14:textId="77777777">
              <w:tc>
                <w:tcPr>
                  <w:tcW w:w="6968" w:type="dxa"/>
                </w:tcPr>
                <w:p w14:paraId="2BA57B6C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>
              <w:tc>
                <w:tcPr>
                  <w:tcW w:w="6968" w:type="dxa"/>
                </w:tcPr>
                <w:p w14:paraId="33EFAC33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000000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</w:t>
                  </w:r>
                  <w:r>
                    <w:lastRenderedPageBreak/>
                    <w:t xml:space="preserve">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>
              <w:tc>
                <w:tcPr>
                  <w:tcW w:w="6968" w:type="dxa"/>
                </w:tcPr>
                <w:p w14:paraId="09742474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Suggested text #3</w:t>
                  </w:r>
                </w:p>
                <w:p w14:paraId="47A72D36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6B5686B9" w14:textId="77777777">
              <w:tc>
                <w:tcPr>
                  <w:tcW w:w="6968" w:type="dxa"/>
                </w:tcPr>
                <w:p w14:paraId="51E3BAAE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000000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same or different UE behavior is applicable with or without C-DRX</w:t>
                  </w:r>
                </w:p>
                <w:p w14:paraId="21F3EE2F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>
              <w:tc>
                <w:tcPr>
                  <w:tcW w:w="6968" w:type="dxa"/>
                </w:tcPr>
                <w:p w14:paraId="717B46D0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#4</w:t>
                  </w:r>
                </w:p>
                <w:p w14:paraId="21589113" w14:textId="77777777" w:rsidR="00C46981" w:rsidRDefault="0000000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000000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>
              <w:tc>
                <w:tcPr>
                  <w:tcW w:w="6968" w:type="dxa"/>
                </w:tcPr>
                <w:p w14:paraId="7C726D1D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00000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lastRenderedPageBreak/>
                    <w:t>Outside DRX Active Time of a serving cell, the UE does not transmit on the serving cell</w:t>
                  </w:r>
                </w:p>
                <w:p w14:paraId="03AEF5D4" w14:textId="77777777" w:rsidR="00C46981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6A1967BB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1ADACE31" w14:textId="77777777">
              <w:tc>
                <w:tcPr>
                  <w:tcW w:w="6968" w:type="dxa"/>
                </w:tcPr>
                <w:p w14:paraId="7658EEB7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Comment  #5</w:t>
                  </w:r>
                </w:p>
                <w:p w14:paraId="4CCACB01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cell DTX or cell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 #6</w:t>
                  </w:r>
                </w:p>
                <w:p w14:paraId="3D8CCAD6" w14:textId="77777777" w:rsidR="00C46981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 ?</w:t>
                  </w: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2122014B" w14:textId="77777777">
              <w:tc>
                <w:tcPr>
                  <w:tcW w:w="0" w:type="auto"/>
                </w:tcPr>
                <w:p w14:paraId="74C41336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62685026" w14:textId="77777777">
              <w:tc>
                <w:tcPr>
                  <w:tcW w:w="0" w:type="auto"/>
                </w:tcPr>
                <w:p w14:paraId="30986BB2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28979952" w14:textId="77777777">
              <w:tc>
                <w:tcPr>
                  <w:tcW w:w="0" w:type="auto"/>
                </w:tcPr>
                <w:p w14:paraId="56D79C6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5AE1B554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1FF64FDA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000000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000000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000000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000000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3171A5C8" w14:textId="77777777" w:rsidR="00C46981" w:rsidRDefault="00000000">
            <w:pPr>
              <w:pStyle w:val="pf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C46981" w14:paraId="0CF8186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000000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000000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000000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000000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r>
              <w:rPr>
                <w:strike/>
                <w:color w:val="FF0000"/>
              </w:rPr>
              <w:t>a</w:t>
            </w:r>
            <w:proofErr w:type="spell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000000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</w:t>
            </w:r>
            <w:r>
              <w:lastRenderedPageBreak/>
              <w:t xml:space="preserve">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77777777" w:rsidR="00C46981" w:rsidRDefault="00C46981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000000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000000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000000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000000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00000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000000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000000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000000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t>posResourceSet</w:t>
            </w:r>
            <w:proofErr w:type="spellEnd"/>
          </w:p>
          <w:p w14:paraId="6C9A4D83" w14:textId="77777777" w:rsidR="00C46981" w:rsidRDefault="00000000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769C9C37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000000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3AE8B86E" w14:textId="77777777" w:rsidR="00C46981" w:rsidRDefault="00000000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</w:tc>
      </w:tr>
      <w:tr w:rsidR="00C46981" w14:paraId="6CD8288C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01CE928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160A881F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can be impacted, since the highlighted part implies CSI reporting level omission (different from sub-</w:t>
            </w:r>
            <w:r>
              <w:rPr>
                <w:kern w:val="2"/>
                <w:sz w:val="20"/>
                <w:szCs w:val="20"/>
                <w:lang w:val="en-GB" w:eastAsia="zh-CN"/>
              </w:rPr>
              <w:lastRenderedPageBreak/>
              <w:t>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where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26EA42B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30E065CF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60717CFB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1C6C687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96A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4969" w14:textId="77777777" w:rsidR="00207D94" w:rsidRDefault="00207D94">
      <w:pPr>
        <w:spacing w:after="0"/>
      </w:pPr>
      <w:r>
        <w:separator/>
      </w:r>
    </w:p>
  </w:endnote>
  <w:endnote w:type="continuationSeparator" w:id="0">
    <w:p w14:paraId="6A2BA1A8" w14:textId="77777777" w:rsidR="00207D94" w:rsidRDefault="00207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DA49" w14:textId="77777777" w:rsidR="00207D94" w:rsidRDefault="00207D94">
      <w:pPr>
        <w:spacing w:after="0"/>
      </w:pPr>
      <w:r>
        <w:separator/>
      </w:r>
    </w:p>
  </w:footnote>
  <w:footnote w:type="continuationSeparator" w:id="0">
    <w:p w14:paraId="6EBEF055" w14:textId="77777777" w:rsidR="00207D94" w:rsidRDefault="00207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50271">
    <w:abstractNumId w:val="3"/>
  </w:num>
  <w:num w:numId="2" w16cid:durableId="1588539995">
    <w:abstractNumId w:val="4"/>
  </w:num>
  <w:num w:numId="3" w16cid:durableId="438110889">
    <w:abstractNumId w:val="1"/>
  </w:num>
  <w:num w:numId="4" w16cid:durableId="148449893">
    <w:abstractNumId w:val="2"/>
  </w:num>
  <w:num w:numId="5" w16cid:durableId="95685533">
    <w:abstractNumId w:val="5"/>
  </w:num>
  <w:num w:numId="6" w16cid:durableId="920218189">
    <w:abstractNumId w:val="6"/>
  </w:num>
  <w:num w:numId="7" w16cid:durableId="43922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4270E"/>
    <w:rsid w:val="00121C75"/>
    <w:rsid w:val="00130CA9"/>
    <w:rsid w:val="00165E5E"/>
    <w:rsid w:val="00181CAC"/>
    <w:rsid w:val="001A234C"/>
    <w:rsid w:val="00207D94"/>
    <w:rsid w:val="0027157C"/>
    <w:rsid w:val="00295FFC"/>
    <w:rsid w:val="002C711B"/>
    <w:rsid w:val="002D7B53"/>
    <w:rsid w:val="002F4E68"/>
    <w:rsid w:val="003435F1"/>
    <w:rsid w:val="00390847"/>
    <w:rsid w:val="003C5625"/>
    <w:rsid w:val="003C7FC9"/>
    <w:rsid w:val="003E1F57"/>
    <w:rsid w:val="003F522D"/>
    <w:rsid w:val="00413B90"/>
    <w:rsid w:val="00414875"/>
    <w:rsid w:val="0044308F"/>
    <w:rsid w:val="004F3A0A"/>
    <w:rsid w:val="005C1C82"/>
    <w:rsid w:val="00664CB5"/>
    <w:rsid w:val="00684646"/>
    <w:rsid w:val="006F363E"/>
    <w:rsid w:val="007565F2"/>
    <w:rsid w:val="00787F29"/>
    <w:rsid w:val="00793C93"/>
    <w:rsid w:val="00876064"/>
    <w:rsid w:val="00884EB0"/>
    <w:rsid w:val="008A04FC"/>
    <w:rsid w:val="008E6A8E"/>
    <w:rsid w:val="009074B8"/>
    <w:rsid w:val="00926609"/>
    <w:rsid w:val="00B62E4F"/>
    <w:rsid w:val="00B80025"/>
    <w:rsid w:val="00BE2A5D"/>
    <w:rsid w:val="00BE74B4"/>
    <w:rsid w:val="00C0354B"/>
    <w:rsid w:val="00C36344"/>
    <w:rsid w:val="00C46981"/>
    <w:rsid w:val="00CD55AD"/>
    <w:rsid w:val="00CE3748"/>
    <w:rsid w:val="00D17E4A"/>
    <w:rsid w:val="00D26BD9"/>
    <w:rsid w:val="00D86C14"/>
    <w:rsid w:val="00DD176B"/>
    <w:rsid w:val="00E4163D"/>
    <w:rsid w:val="00E641DF"/>
    <w:rsid w:val="00E6456C"/>
    <w:rsid w:val="00E73F72"/>
    <w:rsid w:val="00EC234F"/>
    <w:rsid w:val="00EE4AE1"/>
    <w:rsid w:val="00F551EA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2417</Words>
  <Characters>13778</Characters>
  <Application>Microsoft Office Word</Application>
  <DocSecurity>0</DocSecurity>
  <Lines>114</Lines>
  <Paragraphs>32</Paragraphs>
  <ScaleCrop>false</ScaleCrop>
  <Company>Samsung Research America Inc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Seonwook Kim</cp:lastModifiedBy>
  <cp:revision>3</cp:revision>
  <dcterms:created xsi:type="dcterms:W3CDTF">2023-09-04T08:01:00Z</dcterms:created>
  <dcterms:modified xsi:type="dcterms:W3CDTF">2023-09-04T08:10:00Z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</Properties>
</file>