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4EC4307F" w:rsidR="008D4E3F" w:rsidRPr="000A47FB" w:rsidRDefault="002B12D1" w:rsidP="008D4E3F">
      <w:pPr>
        <w:pStyle w:val="Header"/>
        <w:tabs>
          <w:tab w:val="right" w:pos="9639"/>
        </w:tabs>
        <w:rPr>
          <w:bCs/>
          <w:noProof w:val="0"/>
          <w:sz w:val="24"/>
          <w:szCs w:val="24"/>
          <w:highlight w:val="yellow"/>
        </w:rPr>
      </w:pPr>
      <w:bookmarkStart w:id="0" w:name="_Hlk68690920"/>
      <w:r w:rsidRPr="002B12D1">
        <w:rPr>
          <w:bCs/>
          <w:noProof w:val="0"/>
          <w:sz w:val="24"/>
          <w:szCs w:val="24"/>
        </w:rPr>
        <w:t>3GPP TSG RAN WG1 #113</w:t>
      </w:r>
      <w:r w:rsidR="00452DC7" w:rsidRPr="002A7401">
        <w:rPr>
          <w:bCs/>
          <w:noProof w:val="0"/>
          <w:sz w:val="24"/>
          <w:szCs w:val="24"/>
        </w:rPr>
        <w:t xml:space="preserve"> </w:t>
      </w:r>
      <w:r w:rsidR="00452DC7" w:rsidRPr="002A7401">
        <w:tab/>
      </w:r>
      <w:r w:rsidR="00C24724" w:rsidRPr="00262345">
        <w:rPr>
          <w:sz w:val="24"/>
          <w:szCs w:val="24"/>
        </w:rPr>
        <w:t>R1-</w:t>
      </w:r>
      <w:r w:rsidR="00B97476" w:rsidRPr="00B97476">
        <w:rPr>
          <w:sz w:val="24"/>
          <w:szCs w:val="24"/>
        </w:rPr>
        <w:t>2304687</w:t>
      </w:r>
    </w:p>
    <w:p w14:paraId="0513CBBD" w14:textId="19BE43D4" w:rsidR="003407CF" w:rsidRPr="003407CF" w:rsidRDefault="002B12D1" w:rsidP="003407CF">
      <w:pPr>
        <w:tabs>
          <w:tab w:val="center" w:pos="4536"/>
          <w:tab w:val="right" w:pos="9072"/>
        </w:tabs>
        <w:rPr>
          <w:rFonts w:ascii="Arial" w:eastAsia="宋体" w:hAnsi="Arial" w:cs="Arial"/>
          <w:b/>
          <w:bCs/>
          <w:sz w:val="24"/>
          <w:szCs w:val="24"/>
        </w:rPr>
      </w:pPr>
      <w:r w:rsidRPr="002B12D1">
        <w:rPr>
          <w:rFonts w:ascii="Arial" w:eastAsia="宋体" w:hAnsi="Arial" w:cs="Arial"/>
          <w:b/>
          <w:bCs/>
          <w:sz w:val="24"/>
          <w:szCs w:val="24"/>
        </w:rPr>
        <w:t>Incheon, Korea, May 22nd – May 26th, 2023</w:t>
      </w:r>
    </w:p>
    <w:p w14:paraId="4C654E43" w14:textId="0ED9FDDA"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4619A">
        <w:rPr>
          <w:rFonts w:cs="Arial"/>
          <w:b/>
          <w:bCs/>
          <w:sz w:val="24"/>
          <w:szCs w:val="24"/>
        </w:rPr>
        <w:t>9</w:t>
      </w:r>
      <w:r w:rsidRPr="003A6B4E">
        <w:rPr>
          <w:rFonts w:cs="Arial"/>
          <w:b/>
          <w:bCs/>
          <w:sz w:val="24"/>
          <w:szCs w:val="24"/>
        </w:rPr>
        <w:t>.</w:t>
      </w:r>
      <w:r w:rsidR="008463A8">
        <w:rPr>
          <w:rFonts w:cs="Arial"/>
          <w:b/>
          <w:bCs/>
          <w:sz w:val="24"/>
          <w:szCs w:val="24"/>
        </w:rPr>
        <w:t>9</w:t>
      </w:r>
      <w:r w:rsidRPr="003A6B4E">
        <w:rPr>
          <w:rFonts w:cs="Arial"/>
          <w:b/>
          <w:bCs/>
          <w:sz w:val="24"/>
          <w:szCs w:val="24"/>
        </w:rPr>
        <w:t>.</w:t>
      </w:r>
      <w:r w:rsidR="00B052A9">
        <w:rPr>
          <w:rFonts w:cs="Arial"/>
          <w:b/>
          <w:bCs/>
          <w:sz w:val="24"/>
          <w:szCs w:val="24"/>
        </w:rPr>
        <w:t>3</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30666E2D"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1A6CA5" w:rsidRPr="001A6CA5">
        <w:rPr>
          <w:rFonts w:ascii="Arial" w:hAnsi="Arial" w:cs="Arial"/>
          <w:b/>
          <w:bCs/>
          <w:sz w:val="24"/>
          <w:szCs w:val="24"/>
          <w:lang w:val="en-GB"/>
        </w:rPr>
        <w:t xml:space="preserve">Disabling of HARQ feedback for </w:t>
      </w:r>
      <w:r w:rsidR="0B50ADC5" w:rsidRPr="0B50ADC5">
        <w:rPr>
          <w:rFonts w:ascii="Arial" w:hAnsi="Arial" w:cs="Arial"/>
          <w:b/>
          <w:bCs/>
          <w:sz w:val="24"/>
          <w:szCs w:val="24"/>
          <w:lang w:val="en-GB"/>
        </w:rPr>
        <w:t xml:space="preserve">NB-IoT/eMTC over </w:t>
      </w:r>
      <w:r w:rsidR="001A6CA5" w:rsidRPr="0B50ADC5">
        <w:rPr>
          <w:rFonts w:ascii="Arial" w:hAnsi="Arial" w:cs="Arial"/>
          <w:b/>
          <w:bCs/>
          <w:sz w:val="24"/>
          <w:szCs w:val="24"/>
          <w:lang w:val="en-GB"/>
        </w:rPr>
        <w:t>NTN</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t>Introduction</w:t>
      </w:r>
    </w:p>
    <w:p w14:paraId="77C0E3D8" w14:textId="3D0409F7" w:rsidR="0080410A" w:rsidRDefault="0080410A" w:rsidP="0080410A">
      <w:pPr>
        <w:spacing w:before="120"/>
      </w:pPr>
      <w:r>
        <w:t xml:space="preserve">WID for Rel18 IoT NTN </w:t>
      </w:r>
      <w:r w:rsidR="00EC3E60">
        <w:fldChar w:fldCharType="begin"/>
      </w:r>
      <w:r w:rsidR="00EC3E60">
        <w:instrText xml:space="preserve"> REF _Ref110864604 \r \h </w:instrText>
      </w:r>
      <w:r w:rsidR="00EC3E60">
        <w:fldChar w:fldCharType="separate"/>
      </w:r>
      <w:r w:rsidR="00EC3E60">
        <w:t>[1]</w:t>
      </w:r>
      <w:r w:rsidR="00EC3E60">
        <w:fldChar w:fldCharType="end"/>
      </w:r>
      <w:r w:rsidR="00411537">
        <w:t xml:space="preserve"> has the following objectives for RAN1</w:t>
      </w:r>
      <w:r>
        <w:t xml:space="preserve">.  </w:t>
      </w:r>
    </w:p>
    <w:tbl>
      <w:tblPr>
        <w:tblStyle w:val="TableGrid"/>
        <w:tblW w:w="0" w:type="auto"/>
        <w:tblLook w:val="04A0" w:firstRow="1" w:lastRow="0" w:firstColumn="1" w:lastColumn="0" w:noHBand="0" w:noVBand="1"/>
      </w:tblPr>
      <w:tblGrid>
        <w:gridCol w:w="9629"/>
      </w:tblGrid>
      <w:tr w:rsidR="0080410A" w14:paraId="6BFBACD7" w14:textId="77777777" w:rsidTr="00B03A62">
        <w:tc>
          <w:tcPr>
            <w:tcW w:w="9629" w:type="dxa"/>
            <w:tcMar>
              <w:top w:w="57" w:type="dxa"/>
              <w:bottom w:w="57" w:type="dxa"/>
            </w:tcMar>
            <w:vAlign w:val="center"/>
          </w:tcPr>
          <w:p w14:paraId="3DF1C988" w14:textId="72BB402E" w:rsidR="0080410A" w:rsidRPr="00700B5E" w:rsidRDefault="0080410A" w:rsidP="006C15D3">
            <w:pPr>
              <w:rPr>
                <w:rFonts w:ascii="Times New Roman" w:hAnsi="Times New Roman" w:cs="Times New Roman"/>
                <w:bCs/>
                <w:sz w:val="20"/>
                <w:szCs w:val="20"/>
                <w:lang w:val="en-GB"/>
              </w:rPr>
            </w:pPr>
            <w:r w:rsidRPr="00700B5E">
              <w:rPr>
                <w:rFonts w:ascii="Times New Roman" w:hAnsi="Times New Roman" w:cs="Times New Roman"/>
                <w:bCs/>
                <w:sz w:val="20"/>
                <w:szCs w:val="20"/>
                <w:lang w:val="en-GB"/>
              </w:rPr>
              <w:t>4.1.1</w:t>
            </w:r>
            <w:r w:rsidRPr="00700B5E">
              <w:rPr>
                <w:rFonts w:ascii="Times New Roman" w:hAnsi="Times New Roman" w:cs="Times New Roman"/>
                <w:bCs/>
                <w:sz w:val="20"/>
                <w:szCs w:val="20"/>
                <w:lang w:val="en-GB"/>
              </w:rPr>
              <w:tab/>
              <w:t>IoT-NTN Performance Enhancements in Rel-18 to address remaining issues from Rel-17</w:t>
            </w:r>
          </w:p>
          <w:p w14:paraId="026EBB18" w14:textId="77777777" w:rsidR="00B03A62" w:rsidRPr="00B03A62" w:rsidRDefault="00B03A62" w:rsidP="00B03A6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This work considers Rel-17 IoT-NTN as baseline as well as Rel-17 NR-NTN outcome and the further IoT-NTN performance enhancements objectives are listed below:</w:t>
            </w:r>
          </w:p>
          <w:p w14:paraId="6D0C38CB" w14:textId="77777777"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Disabling of HARQ feedback to mitigate impact of HARQ stalling on UE data rates [RAN</w:t>
            </w:r>
            <w:proofErr w:type="gramStart"/>
            <w:r w:rsidRPr="00B03A62">
              <w:rPr>
                <w:rFonts w:ascii="Times New Roman" w:eastAsia="Times New Roman" w:hAnsi="Times New Roman" w:cs="Times New Roman"/>
                <w:sz w:val="20"/>
                <w:szCs w:val="20"/>
                <w:lang w:val="en-GB"/>
              </w:rPr>
              <w:t>1,RAN</w:t>
            </w:r>
            <w:proofErr w:type="gramEnd"/>
            <w:r w:rsidRPr="00B03A62">
              <w:rPr>
                <w:rFonts w:ascii="Times New Roman" w:eastAsia="Times New Roman" w:hAnsi="Times New Roman" w:cs="Times New Roman"/>
                <w:sz w:val="20"/>
                <w:szCs w:val="20"/>
                <w:lang w:val="en-GB"/>
              </w:rPr>
              <w:t>2]</w:t>
            </w:r>
          </w:p>
          <w:p w14:paraId="08EBC2FB" w14:textId="0BD51B1A" w:rsidR="00B03A62" w:rsidRPr="00B03A62" w:rsidRDefault="00B03A62" w:rsidP="00B03A6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sz w:val="20"/>
                <w:szCs w:val="20"/>
                <w:lang w:val="en-GB"/>
              </w:rPr>
              <w:t>-</w:t>
            </w:r>
            <w:r w:rsidRPr="00B03A62">
              <w:rPr>
                <w:rFonts w:ascii="Times New Roman" w:eastAsia="Times New Roman" w:hAnsi="Times New Roman" w:cs="Times New Roman"/>
                <w:sz w:val="20"/>
                <w:szCs w:val="20"/>
                <w:lang w:val="en-GB"/>
              </w:rPr>
              <w:tab/>
              <w:t>Study and specify needed improved GNSS operations for a new position fix for UE pre-compensation during long connection times and for reduced power consumption. Simultaneous GNSS and NTN NB-IoT/eMTC operation is not assumed</w:t>
            </w:r>
            <w:r w:rsidRPr="00B03A62">
              <w:rPr>
                <w:rFonts w:ascii="Times New Roman" w:eastAsia="Times New Roman" w:hAnsi="Times New Roman" w:cs="Times New Roman"/>
                <w:lang w:val="en-GB"/>
              </w:rPr>
              <w:t>.</w:t>
            </w:r>
            <w:r w:rsidRPr="00B03A62">
              <w:rPr>
                <w:rFonts w:ascii="Times New Roman" w:eastAsia="Times New Roman" w:hAnsi="Times New Roman" w:cs="Times New Roman"/>
                <w:sz w:val="20"/>
                <w:szCs w:val="20"/>
                <w:lang w:val="en-GB"/>
              </w:rPr>
              <w:t xml:space="preserve"> [RAN1, RAN2]</w:t>
            </w:r>
          </w:p>
          <w:p w14:paraId="7CBFFA8B" w14:textId="14F1BC42" w:rsidR="0080410A" w:rsidRPr="00B03A62" w:rsidRDefault="00B03A62" w:rsidP="00B03A62">
            <w:pPr>
              <w:numPr>
                <w:ilvl w:val="0"/>
                <w:numId w:val="33"/>
              </w:numPr>
              <w:overflowPunct w:val="0"/>
              <w:autoSpaceDE w:val="0"/>
              <w:autoSpaceDN w:val="0"/>
              <w:adjustRightInd w:val="0"/>
              <w:spacing w:after="120" w:line="240" w:lineRule="auto"/>
              <w:ind w:left="1077" w:hanging="357"/>
              <w:textAlignment w:val="baseline"/>
              <w:rPr>
                <w:rFonts w:ascii="Times New Roman" w:eastAsia="Times New Roman" w:hAnsi="Times New Roman" w:cs="Times New Roman"/>
                <w:sz w:val="20"/>
                <w:szCs w:val="20"/>
                <w:lang w:val="en-GB"/>
              </w:rPr>
            </w:pPr>
            <w:r w:rsidRPr="00B03A62">
              <w:rPr>
                <w:rFonts w:ascii="Times New Roman" w:eastAsia="Times New Roman" w:hAnsi="Times New Roman" w:cs="Times New Roman"/>
                <w:i/>
                <w:sz w:val="20"/>
                <w:szCs w:val="20"/>
                <w:lang w:val="en-GB"/>
              </w:rPr>
              <w:t>NOTE: The need for RAN4 Core requirements for this objective will be identified after the conclusion on the need for improvements.</w:t>
            </w:r>
          </w:p>
        </w:tc>
      </w:tr>
    </w:tbl>
    <w:p w14:paraId="7BC836EC" w14:textId="77777777" w:rsidR="002D6F23" w:rsidRPr="00247B7B" w:rsidRDefault="002D6F23" w:rsidP="002D6F23">
      <w:pPr>
        <w:spacing w:before="160"/>
        <w:jc w:val="both"/>
        <w:rPr>
          <w:rFonts w:ascii="Times New Roman" w:hAnsi="Times New Roman" w:cs="Times New Roman"/>
          <w:sz w:val="20"/>
          <w:szCs w:val="20"/>
        </w:rPr>
      </w:pPr>
      <w:r>
        <w:t xml:space="preserve">In this contribution, we provide further analysis and discussion on HARQ feedback enabling/disabling signaling mechanism and related issues. </w:t>
      </w:r>
    </w:p>
    <w:p w14:paraId="127D276C" w14:textId="77777777" w:rsidR="008D4E3F" w:rsidRDefault="008D4E3F" w:rsidP="003E5AFA">
      <w:pPr>
        <w:pStyle w:val="Heading1"/>
      </w:pPr>
      <w:r>
        <w:t>Discussion</w:t>
      </w:r>
    </w:p>
    <w:p w14:paraId="6137A5F8" w14:textId="7BF8DBD4" w:rsidR="008D4E3F" w:rsidRPr="00EC7650" w:rsidRDefault="7AEBBA00" w:rsidP="008D4E3F">
      <w:pPr>
        <w:pStyle w:val="Heading2"/>
        <w:rPr>
          <w:lang w:val="en-US"/>
        </w:rPr>
      </w:pPr>
      <w:r w:rsidRPr="494F3B94">
        <w:rPr>
          <w:lang w:val="en-US"/>
        </w:rPr>
        <w:t xml:space="preserve">HARQ feedback enabling/disabling </w:t>
      </w:r>
      <w:r w:rsidR="00B27A16">
        <w:rPr>
          <w:lang w:val="en-US"/>
        </w:rPr>
        <w:t>configuration and indication</w:t>
      </w:r>
    </w:p>
    <w:p w14:paraId="2408EA31" w14:textId="409705F1" w:rsidR="5BEACB4C" w:rsidRDefault="00D35DBC" w:rsidP="00DC26CC">
      <w:pPr>
        <w:spacing w:line="257" w:lineRule="auto"/>
        <w:jc w:val="both"/>
        <w:rPr>
          <w:rFonts w:ascii="Calibri" w:eastAsia="Calibri" w:hAnsi="Calibri" w:cs="Calibri"/>
          <w:lang w:val="en-GB"/>
        </w:rPr>
      </w:pPr>
      <w:r>
        <w:rPr>
          <w:rFonts w:ascii="Calibri" w:eastAsia="Calibri" w:hAnsi="Calibri" w:cs="Calibri"/>
          <w:lang w:val="en-GB"/>
        </w:rPr>
        <w:t>A new agreement on DCI indication for HARQ feedback is reached in RAN1#112bis</w:t>
      </w:r>
      <w:r w:rsidR="00F6698B">
        <w:rPr>
          <w:rFonts w:ascii="Calibri" w:eastAsia="Calibri" w:hAnsi="Calibri" w:cs="Calibri"/>
          <w:lang w:val="en-GB"/>
        </w:rPr>
        <w:t xml:space="preserve"> </w:t>
      </w:r>
      <w:r w:rsidR="006E48DD">
        <w:rPr>
          <w:rFonts w:ascii="Calibri" w:eastAsia="Calibri" w:hAnsi="Calibri" w:cs="Calibri"/>
          <w:lang w:val="en-GB"/>
        </w:rPr>
        <w:fldChar w:fldCharType="begin"/>
      </w:r>
      <w:r w:rsidR="006E48DD">
        <w:rPr>
          <w:rFonts w:ascii="Calibri" w:eastAsia="Calibri" w:hAnsi="Calibri" w:cs="Calibri"/>
          <w:lang w:val="en-GB"/>
        </w:rPr>
        <w:instrText xml:space="preserve"> REF _Ref117621126 \r \h </w:instrText>
      </w:r>
      <w:r w:rsidR="006E48DD">
        <w:rPr>
          <w:rFonts w:ascii="Calibri" w:eastAsia="Calibri" w:hAnsi="Calibri" w:cs="Calibri"/>
          <w:lang w:val="en-GB"/>
        </w:rPr>
      </w:r>
      <w:r w:rsidR="006E48DD">
        <w:rPr>
          <w:rFonts w:ascii="Calibri" w:eastAsia="Calibri" w:hAnsi="Calibri" w:cs="Calibri"/>
          <w:lang w:val="en-GB"/>
        </w:rPr>
        <w:fldChar w:fldCharType="separate"/>
      </w:r>
      <w:r w:rsidR="000875C9">
        <w:rPr>
          <w:rFonts w:ascii="Calibri" w:eastAsia="Calibri" w:hAnsi="Calibri" w:cs="Calibri"/>
          <w:lang w:val="en-GB"/>
        </w:rPr>
        <w:t>[2]</w:t>
      </w:r>
      <w:r w:rsidR="006E48DD">
        <w:rPr>
          <w:rFonts w:ascii="Calibri" w:eastAsia="Calibri" w:hAnsi="Calibri" w:cs="Calibri"/>
          <w:lang w:val="en-GB"/>
        </w:rPr>
        <w:fldChar w:fldCharType="end"/>
      </w:r>
      <w:r w:rsidR="5BEACB4C" w:rsidRPr="494F3B94">
        <w:rPr>
          <w:rFonts w:ascii="Calibri" w:eastAsia="Calibri" w:hAnsi="Calibri" w:cs="Calibri"/>
          <w:lang w:val="en-GB"/>
        </w:rPr>
        <w:t>:</w:t>
      </w:r>
    </w:p>
    <w:tbl>
      <w:tblPr>
        <w:tblStyle w:val="TableGrid"/>
        <w:tblW w:w="9630" w:type="dxa"/>
        <w:tblLayout w:type="fixed"/>
        <w:tblLook w:val="04A0" w:firstRow="1" w:lastRow="0" w:firstColumn="1" w:lastColumn="0" w:noHBand="0" w:noVBand="1"/>
      </w:tblPr>
      <w:tblGrid>
        <w:gridCol w:w="9630"/>
      </w:tblGrid>
      <w:tr w:rsidR="494F3B94" w14:paraId="21DD0AE7" w14:textId="77777777" w:rsidTr="00D35DBC">
        <w:tc>
          <w:tcPr>
            <w:tcW w:w="9630" w:type="dxa"/>
            <w:tcBorders>
              <w:top w:val="single" w:sz="8" w:space="0" w:color="auto"/>
              <w:left w:val="single" w:sz="8" w:space="0" w:color="auto"/>
              <w:bottom w:val="single" w:sz="8" w:space="0" w:color="auto"/>
              <w:right w:val="single" w:sz="8" w:space="0" w:color="auto"/>
            </w:tcBorders>
            <w:tcMar>
              <w:top w:w="57" w:type="dxa"/>
              <w:bottom w:w="57" w:type="dxa"/>
            </w:tcMar>
            <w:vAlign w:val="center"/>
          </w:tcPr>
          <w:p w14:paraId="2AAADC89" w14:textId="77777777" w:rsidR="006B0AE6" w:rsidRPr="006B0AE6" w:rsidRDefault="006B0AE6" w:rsidP="006B0AE6">
            <w:pPr>
              <w:tabs>
                <w:tab w:val="left" w:pos="1064"/>
              </w:tabs>
              <w:spacing w:after="0" w:line="240" w:lineRule="auto"/>
              <w:rPr>
                <w:rFonts w:ascii="Times" w:eastAsia="Batang" w:hAnsi="Times" w:cs="Times New Roman"/>
                <w:b/>
                <w:sz w:val="20"/>
                <w:szCs w:val="24"/>
                <w:highlight w:val="green"/>
                <w:lang w:val="en-GB" w:eastAsia="x-none"/>
              </w:rPr>
            </w:pPr>
            <w:r w:rsidRPr="006B0AE6">
              <w:rPr>
                <w:rFonts w:ascii="Times" w:eastAsia="Batang" w:hAnsi="Times" w:cs="Times New Roman" w:hint="eastAsia"/>
                <w:b/>
                <w:sz w:val="20"/>
                <w:szCs w:val="24"/>
                <w:highlight w:val="green"/>
                <w:lang w:val="en-GB" w:eastAsia="x-none"/>
              </w:rPr>
              <w:t>Agreement</w:t>
            </w:r>
          </w:p>
          <w:p w14:paraId="77DB46A3" w14:textId="77777777" w:rsidR="006B0AE6" w:rsidRPr="006B0AE6" w:rsidRDefault="006B0AE6" w:rsidP="006B0AE6">
            <w:pPr>
              <w:spacing w:after="0" w:line="240" w:lineRule="auto"/>
              <w:rPr>
                <w:rFonts w:ascii="Times" w:eastAsia="Batang" w:hAnsi="Times" w:cs="Times New Roman"/>
                <w:sz w:val="20"/>
                <w:szCs w:val="20"/>
                <w:lang w:val="en-GB" w:eastAsia="en-US"/>
              </w:rPr>
            </w:pPr>
            <w:r w:rsidRPr="006B0AE6">
              <w:rPr>
                <w:rFonts w:ascii="Times" w:eastAsia="Batang" w:hAnsi="Times" w:cs="Times New Roman"/>
                <w:sz w:val="20"/>
                <w:szCs w:val="20"/>
                <w:lang w:val="en-GB" w:eastAsia="en-US"/>
              </w:rPr>
              <w:t>For Option 3 DCI indication:</w:t>
            </w:r>
          </w:p>
          <w:p w14:paraId="3231D75F" w14:textId="77777777" w:rsidR="006B0AE6" w:rsidRPr="006B0AE6" w:rsidRDefault="006B0AE6" w:rsidP="006B0AE6">
            <w:pPr>
              <w:numPr>
                <w:ilvl w:val="0"/>
                <w:numId w:val="25"/>
              </w:numPr>
              <w:snapToGrid w:val="0"/>
              <w:spacing w:after="0" w:line="240" w:lineRule="auto"/>
              <w:ind w:left="720"/>
              <w:rPr>
                <w:rFonts w:ascii="Times" w:eastAsia="Batang" w:hAnsi="Times" w:cs="Times New Roman"/>
                <w:sz w:val="20"/>
                <w:szCs w:val="18"/>
                <w:lang w:eastAsia="en-US"/>
              </w:rPr>
            </w:pPr>
            <w:r w:rsidRPr="006B0AE6">
              <w:rPr>
                <w:rFonts w:ascii="Times" w:eastAsia="Batang" w:hAnsi="Times" w:cs="Times New Roman"/>
                <w:sz w:val="20"/>
                <w:szCs w:val="18"/>
                <w:lang w:eastAsia="en-US"/>
              </w:rPr>
              <w:t>Option A: when both per-HARQ process bitmap and DCI solution enabling/disabling signaling are configured</w:t>
            </w:r>
          </w:p>
          <w:p w14:paraId="3D20309A" w14:textId="77777777" w:rsidR="006B0AE6" w:rsidRPr="006B0AE6" w:rsidRDefault="006B0AE6" w:rsidP="006B0AE6">
            <w:pPr>
              <w:numPr>
                <w:ilvl w:val="1"/>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DCI-based overridden mechanism is DCI signaling to reverse the HARQ feedback enable/disable for the corresponding transmission from per-HARQ process RRC configuration</w:t>
            </w:r>
          </w:p>
          <w:p w14:paraId="16F55CAA" w14:textId="77777777" w:rsidR="006B0AE6" w:rsidRPr="006B0AE6" w:rsidRDefault="006B0AE6" w:rsidP="006B0AE6">
            <w:pPr>
              <w:numPr>
                <w:ilvl w:val="2"/>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 xml:space="preserve">For single TB scheduled by DCI, the DCI based overridden indication is applied to one of the following options (to be </w:t>
            </w:r>
            <w:proofErr w:type="gramStart"/>
            <w:r w:rsidRPr="006B0AE6">
              <w:rPr>
                <w:rFonts w:ascii="Times" w:eastAsia="Batang" w:hAnsi="Times" w:cs="Times New Roman"/>
                <w:sz w:val="20"/>
                <w:szCs w:val="18"/>
                <w:lang w:eastAsia="en-US"/>
              </w:rPr>
              <w:t>down-selected</w:t>
            </w:r>
            <w:proofErr w:type="gramEnd"/>
            <w:r w:rsidRPr="006B0AE6">
              <w:rPr>
                <w:rFonts w:ascii="Times" w:eastAsia="Batang" w:hAnsi="Times" w:cs="Times New Roman"/>
                <w:sz w:val="20"/>
                <w:szCs w:val="18"/>
                <w:lang w:eastAsia="en-US"/>
              </w:rPr>
              <w:t>):</w:t>
            </w:r>
          </w:p>
          <w:p w14:paraId="5DF09BA1" w14:textId="77777777" w:rsidR="006B0AE6" w:rsidRPr="006B0AE6" w:rsidRDefault="006B0AE6" w:rsidP="006B0AE6">
            <w:pPr>
              <w:numPr>
                <w:ilvl w:val="3"/>
                <w:numId w:val="38"/>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Option A-1: only applied to semi-statically HARQ disabled processes</w:t>
            </w:r>
          </w:p>
          <w:p w14:paraId="728F6054" w14:textId="77777777" w:rsidR="006B0AE6" w:rsidRPr="006B0AE6" w:rsidRDefault="006B0AE6" w:rsidP="006B0AE6">
            <w:pPr>
              <w:numPr>
                <w:ilvl w:val="3"/>
                <w:numId w:val="38"/>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Option A-4: applied to both semi-statically HARQ disabled and enabled processes</w:t>
            </w:r>
          </w:p>
          <w:p w14:paraId="016F657D" w14:textId="77777777" w:rsidR="006B0AE6" w:rsidRPr="006B0AE6" w:rsidRDefault="006B0AE6" w:rsidP="006B0AE6">
            <w:pPr>
              <w:numPr>
                <w:ilvl w:val="2"/>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FFS for multiple TBs scheduled by single DCI</w:t>
            </w:r>
          </w:p>
          <w:p w14:paraId="29952056" w14:textId="77777777" w:rsidR="006B0AE6" w:rsidRPr="006B0AE6" w:rsidRDefault="006B0AE6" w:rsidP="006B0AE6">
            <w:pPr>
              <w:numPr>
                <w:ilvl w:val="0"/>
                <w:numId w:val="25"/>
              </w:numPr>
              <w:snapToGrid w:val="0"/>
              <w:spacing w:after="0" w:line="240" w:lineRule="auto"/>
              <w:ind w:left="720"/>
              <w:rPr>
                <w:rFonts w:ascii="Times" w:eastAsia="Batang" w:hAnsi="Times" w:cs="Times New Roman"/>
                <w:bCs/>
                <w:iCs/>
                <w:sz w:val="20"/>
                <w:szCs w:val="24"/>
                <w:lang w:eastAsia="x-none"/>
              </w:rPr>
            </w:pPr>
            <w:r w:rsidRPr="006B0AE6">
              <w:rPr>
                <w:rFonts w:ascii="Times" w:eastAsia="Batang" w:hAnsi="Times" w:cs="Times New Roman"/>
                <w:bCs/>
                <w:iCs/>
                <w:sz w:val="20"/>
                <w:szCs w:val="24"/>
                <w:lang w:eastAsia="x-none"/>
              </w:rPr>
              <w:t>Option B: DCI-based HARQ enabling/disabling direct indication in case DCI solution enabling/disabling signaling is configured and per-HARQ process bitmap signaling is not configured (</w:t>
            </w:r>
            <w:proofErr w:type="gramStart"/>
            <w:r w:rsidRPr="006B0AE6">
              <w:rPr>
                <w:rFonts w:ascii="Times" w:eastAsia="Batang" w:hAnsi="Times" w:cs="Times New Roman"/>
                <w:bCs/>
                <w:iCs/>
                <w:sz w:val="20"/>
                <w:szCs w:val="24"/>
                <w:lang w:eastAsia="x-none"/>
              </w:rPr>
              <w:t>i.e.</w:t>
            </w:r>
            <w:proofErr w:type="gramEnd"/>
            <w:r w:rsidRPr="006B0AE6">
              <w:rPr>
                <w:rFonts w:ascii="Times" w:eastAsia="Batang" w:hAnsi="Times" w:cs="Times New Roman"/>
                <w:bCs/>
                <w:iCs/>
                <w:sz w:val="20"/>
                <w:szCs w:val="24"/>
                <w:lang w:eastAsia="x-none"/>
              </w:rPr>
              <w:t xml:space="preserve"> no bitmap is configured)</w:t>
            </w:r>
          </w:p>
          <w:p w14:paraId="5906585C" w14:textId="77777777" w:rsidR="006B0AE6" w:rsidRPr="006B0AE6" w:rsidRDefault="006B0AE6" w:rsidP="006B0AE6">
            <w:pPr>
              <w:numPr>
                <w:ilvl w:val="1"/>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DCI-based mechanism is DCI signaling to directly indicate the HARQ feedback enable/disable for the corresponding transmission</w:t>
            </w:r>
          </w:p>
          <w:p w14:paraId="6378B3F3" w14:textId="77777777" w:rsidR="006B0AE6" w:rsidRPr="006B0AE6" w:rsidRDefault="006B0AE6" w:rsidP="006B0AE6">
            <w:pPr>
              <w:numPr>
                <w:ilvl w:val="2"/>
                <w:numId w:val="25"/>
              </w:numPr>
              <w:snapToGrid w:val="0"/>
              <w:spacing w:after="0" w:line="240" w:lineRule="auto"/>
              <w:rPr>
                <w:rFonts w:ascii="Times" w:eastAsia="Batang" w:hAnsi="Times" w:cs="Times New Roman"/>
                <w:sz w:val="20"/>
                <w:szCs w:val="18"/>
                <w:lang w:eastAsia="en-US"/>
              </w:rPr>
            </w:pPr>
            <w:r w:rsidRPr="006B0AE6">
              <w:rPr>
                <w:rFonts w:ascii="Times" w:eastAsia="Batang" w:hAnsi="Times" w:cs="Times New Roman"/>
                <w:sz w:val="20"/>
                <w:szCs w:val="18"/>
                <w:lang w:eastAsia="en-US"/>
              </w:rPr>
              <w:t>For single TB scheduled by DCI, DCI-based direct indication is applied to the scheduled TB</w:t>
            </w:r>
          </w:p>
          <w:p w14:paraId="1C60A43F" w14:textId="10775F5A" w:rsidR="002E23F0" w:rsidRPr="006B0AE6" w:rsidRDefault="006B0AE6" w:rsidP="00C83E44">
            <w:pPr>
              <w:numPr>
                <w:ilvl w:val="2"/>
                <w:numId w:val="25"/>
              </w:numPr>
              <w:snapToGrid w:val="0"/>
              <w:spacing w:after="0" w:line="240" w:lineRule="auto"/>
              <w:rPr>
                <w:rFonts w:ascii="Times New Roman" w:eastAsia="Batang" w:hAnsi="Times New Roman" w:cs="Times New Roman"/>
                <w:iCs/>
                <w:sz w:val="20"/>
                <w:szCs w:val="20"/>
              </w:rPr>
            </w:pPr>
            <w:r w:rsidRPr="006B0AE6">
              <w:rPr>
                <w:rFonts w:ascii="Times" w:eastAsia="Batang" w:hAnsi="Times" w:cs="Times New Roman"/>
                <w:sz w:val="20"/>
                <w:szCs w:val="18"/>
                <w:lang w:eastAsia="en-US"/>
              </w:rPr>
              <w:lastRenderedPageBreak/>
              <w:t>FFS for multiple TBs scheduled by single DCI</w:t>
            </w:r>
          </w:p>
        </w:tc>
      </w:tr>
    </w:tbl>
    <w:p w14:paraId="1687BFCF" w14:textId="77777777" w:rsidR="00D35DBC" w:rsidRDefault="00D35DBC" w:rsidP="00D35DBC">
      <w:pPr>
        <w:spacing w:before="120" w:line="257" w:lineRule="auto"/>
        <w:jc w:val="both"/>
        <w:rPr>
          <w:rFonts w:ascii="Calibri" w:eastAsia="Calibri" w:hAnsi="Calibri" w:cs="Calibri"/>
          <w:lang w:val="en-GB"/>
        </w:rPr>
      </w:pPr>
      <w:r>
        <w:rPr>
          <w:rFonts w:ascii="Calibri" w:eastAsia="Calibri" w:hAnsi="Calibri" w:cs="Calibri"/>
          <w:lang w:val="en-GB"/>
        </w:rPr>
        <w:lastRenderedPageBreak/>
        <w:t xml:space="preserve">In our latest agreements, the DCI-based HARQ feedback indication (Option 3) can be configured with the semi-static per HARQ process bitmap (Option 1), but also can be configured without the bitmap. When the per HARQ process bitmap is present, the DCI indication is used to reverse the HARQ feedback enable/disable state of the bitmap (Option A). When the bitmap is not configured, the DCI indication is a direction indication of HARQ feedback enable/disable for the scheduled TB (Option B). </w:t>
      </w:r>
    </w:p>
    <w:p w14:paraId="70D632FA" w14:textId="7448FF31" w:rsidR="00D35DBC" w:rsidRDefault="00D35DBC" w:rsidP="00D35DBC">
      <w:pPr>
        <w:spacing w:before="120" w:line="257" w:lineRule="auto"/>
        <w:jc w:val="both"/>
        <w:rPr>
          <w:rFonts w:ascii="Calibri" w:eastAsia="Calibri" w:hAnsi="Calibri" w:cs="Calibri"/>
          <w:lang w:val="en-GB"/>
        </w:rPr>
      </w:pPr>
      <w:r>
        <w:rPr>
          <w:rFonts w:ascii="Calibri" w:eastAsia="Calibri" w:hAnsi="Calibri" w:cs="Calibri"/>
          <w:lang w:val="en-GB"/>
        </w:rPr>
        <w:t xml:space="preserve">For Option A (when Option 1 and Option 3 are both configured), we need to down select between Option A-1 (override applied to semi-statically HARQ feedback disabled processes) and Option A-4 (override applied to both semi-statically HARQ feedback disabled and enabled processes). </w:t>
      </w:r>
      <w:r w:rsidRPr="00BC5D61">
        <w:rPr>
          <w:rFonts w:ascii="Calibri" w:eastAsia="Calibri" w:hAnsi="Calibri" w:cs="Calibri"/>
          <w:lang w:val="en-GB"/>
        </w:rPr>
        <w:t xml:space="preserve">In our view, enabling HARQ feedback for a semi-statically feedback-disabled process can be useful for </w:t>
      </w:r>
      <w:r w:rsidR="005F07AA">
        <w:rPr>
          <w:rFonts w:ascii="Calibri" w:eastAsia="Calibri" w:hAnsi="Calibri" w:cs="Calibri"/>
          <w:lang w:val="en-GB"/>
        </w:rPr>
        <w:t xml:space="preserve">transmission of </w:t>
      </w:r>
      <w:r w:rsidRPr="00BC5D61">
        <w:rPr>
          <w:rFonts w:ascii="Calibri" w:eastAsia="Calibri" w:hAnsi="Calibri" w:cs="Calibri"/>
          <w:lang w:val="en-GB"/>
        </w:rPr>
        <w:t xml:space="preserve">MAC CE and RRC </w:t>
      </w:r>
      <w:proofErr w:type="spellStart"/>
      <w:r w:rsidRPr="00BC5D61">
        <w:rPr>
          <w:rFonts w:ascii="Calibri" w:eastAsia="Calibri" w:hAnsi="Calibri" w:cs="Calibri"/>
          <w:lang w:val="en-GB"/>
        </w:rPr>
        <w:t>signaling</w:t>
      </w:r>
      <w:proofErr w:type="spellEnd"/>
      <w:r w:rsidRPr="00BC5D61">
        <w:rPr>
          <w:rFonts w:ascii="Calibri" w:eastAsia="Calibri" w:hAnsi="Calibri" w:cs="Calibri"/>
          <w:lang w:val="en-GB"/>
        </w:rPr>
        <w:t xml:space="preserve"> and link adaptation. While disabling HARQ feedback for a semi-statically feedback-enabled process can provide a higher data rate for delay sensitive services. Networks should be given the flexibility of overriding both semi-statically HARQ feedback-enabled and semi-statically HARQ feedback-disabled processes</w:t>
      </w:r>
      <w:r w:rsidR="005C602F">
        <w:rPr>
          <w:rFonts w:ascii="Calibri" w:eastAsia="Calibri" w:hAnsi="Calibri" w:cs="Calibri"/>
          <w:lang w:val="en-GB"/>
        </w:rPr>
        <w:t>, considering the chang</w:t>
      </w:r>
      <w:r w:rsidR="00E83B5D">
        <w:rPr>
          <w:rFonts w:ascii="Calibri" w:eastAsia="Calibri" w:hAnsi="Calibri" w:cs="Calibri"/>
          <w:lang w:val="en-GB"/>
        </w:rPr>
        <w:t>e</w:t>
      </w:r>
      <w:r w:rsidR="005C602F">
        <w:rPr>
          <w:rFonts w:ascii="Calibri" w:eastAsia="Calibri" w:hAnsi="Calibri" w:cs="Calibri"/>
          <w:lang w:val="en-GB"/>
        </w:rPr>
        <w:t xml:space="preserve"> of </w:t>
      </w:r>
      <w:r w:rsidR="00F259B6">
        <w:rPr>
          <w:rFonts w:ascii="Calibri" w:eastAsia="Calibri" w:hAnsi="Calibri" w:cs="Calibri"/>
          <w:lang w:val="en-GB"/>
        </w:rPr>
        <w:t xml:space="preserve">requirement for transmission of </w:t>
      </w:r>
      <w:r w:rsidR="005C602F">
        <w:rPr>
          <w:rFonts w:ascii="Calibri" w:eastAsia="Calibri" w:hAnsi="Calibri" w:cs="Calibri"/>
          <w:lang w:val="en-GB"/>
        </w:rPr>
        <w:t>traffic</w:t>
      </w:r>
      <w:r w:rsidR="00F259B6">
        <w:rPr>
          <w:rFonts w:ascii="Calibri" w:eastAsia="Calibri" w:hAnsi="Calibri" w:cs="Calibri"/>
          <w:lang w:val="en-GB"/>
        </w:rPr>
        <w:t xml:space="preserve"> and higher layer </w:t>
      </w:r>
      <w:proofErr w:type="spellStart"/>
      <w:r w:rsidR="00F259B6">
        <w:rPr>
          <w:rFonts w:ascii="Calibri" w:eastAsia="Calibri" w:hAnsi="Calibri" w:cs="Calibri"/>
          <w:lang w:val="en-GB"/>
        </w:rPr>
        <w:t>signaling</w:t>
      </w:r>
      <w:proofErr w:type="spellEnd"/>
      <w:r w:rsidRPr="00BC5D61">
        <w:rPr>
          <w:rFonts w:ascii="Calibri" w:eastAsia="Calibri" w:hAnsi="Calibri" w:cs="Calibri"/>
          <w:lang w:val="en-GB"/>
        </w:rPr>
        <w:t>.</w:t>
      </w:r>
    </w:p>
    <w:p w14:paraId="646E854C" w14:textId="57855FB0" w:rsidR="00D35DBC" w:rsidRPr="003C5670" w:rsidRDefault="00D35DBC" w:rsidP="00D35DBC">
      <w:pPr>
        <w:spacing w:before="120" w:line="257" w:lineRule="auto"/>
        <w:jc w:val="both"/>
        <w:rPr>
          <w:rFonts w:ascii="Calibri" w:eastAsia="Calibri" w:hAnsi="Calibri" w:cs="Calibri"/>
          <w:b/>
          <w:bCs/>
          <w:lang w:val="en-GB"/>
        </w:rPr>
      </w:pPr>
      <w:r w:rsidRPr="003C5670">
        <w:rPr>
          <w:rFonts w:ascii="Calibri" w:eastAsia="Calibri" w:hAnsi="Calibri" w:cs="Calibri"/>
          <w:b/>
          <w:bCs/>
          <w:lang w:val="en-GB"/>
        </w:rPr>
        <w:t xml:space="preserve">Proposal </w:t>
      </w:r>
      <w:r>
        <w:rPr>
          <w:rFonts w:ascii="Calibri" w:eastAsia="Calibri" w:hAnsi="Calibri" w:cs="Calibri"/>
          <w:b/>
          <w:bCs/>
          <w:lang w:val="en-GB"/>
        </w:rPr>
        <w:t>1</w:t>
      </w:r>
      <w:r w:rsidRPr="003C5670">
        <w:rPr>
          <w:rFonts w:ascii="Calibri" w:eastAsia="Calibri" w:hAnsi="Calibri" w:cs="Calibri"/>
          <w:b/>
          <w:bCs/>
          <w:lang w:val="en-GB"/>
        </w:rPr>
        <w:t>: When configured with Option 1 and Option 3, the DCI-based overridden mechanism applies to both semi-statically HARQ feedback enabled and disabled processes.</w:t>
      </w:r>
      <w:r>
        <w:rPr>
          <w:rFonts w:ascii="Calibri" w:eastAsia="Calibri" w:hAnsi="Calibri" w:cs="Calibri"/>
          <w:b/>
          <w:bCs/>
          <w:lang w:val="en-GB"/>
        </w:rPr>
        <w:t xml:space="preserve"> Option A-4 for Option A</w:t>
      </w:r>
      <w:r w:rsidR="00B559A0">
        <w:rPr>
          <w:rFonts w:ascii="Calibri" w:eastAsia="Calibri" w:hAnsi="Calibri" w:cs="Calibri"/>
          <w:b/>
          <w:bCs/>
          <w:lang w:val="en-GB"/>
        </w:rPr>
        <w:t xml:space="preserve"> should be supported</w:t>
      </w:r>
      <w:r>
        <w:rPr>
          <w:rFonts w:ascii="Calibri" w:eastAsia="Calibri" w:hAnsi="Calibri" w:cs="Calibri"/>
          <w:b/>
          <w:bCs/>
          <w:lang w:val="en-GB"/>
        </w:rPr>
        <w:t>.</w:t>
      </w:r>
    </w:p>
    <w:p w14:paraId="60FBFD77" w14:textId="77777777" w:rsidR="00D35DBC" w:rsidRPr="00EF486D" w:rsidRDefault="00D35DBC" w:rsidP="00D35DBC">
      <w:pPr>
        <w:spacing w:before="120" w:line="257" w:lineRule="auto"/>
        <w:jc w:val="both"/>
        <w:rPr>
          <w:rFonts w:ascii="Calibri" w:eastAsia="Calibri" w:hAnsi="Calibri" w:cs="Calibri"/>
          <w:b/>
          <w:bCs/>
          <w:lang w:val="en-GB"/>
        </w:rPr>
      </w:pPr>
      <w:proofErr w:type="spellStart"/>
      <w:r>
        <w:rPr>
          <w:rFonts w:ascii="Calibri" w:eastAsia="Calibri" w:hAnsi="Calibri" w:cs="Calibri"/>
          <w:lang w:val="en-GB"/>
        </w:rPr>
        <w:t>Aother</w:t>
      </w:r>
      <w:proofErr w:type="spellEnd"/>
      <w:r>
        <w:rPr>
          <w:rFonts w:ascii="Calibri" w:eastAsia="Calibri" w:hAnsi="Calibri" w:cs="Calibri"/>
          <w:lang w:val="en-GB"/>
        </w:rPr>
        <w:t xml:space="preserve"> agreement is about the DCI indication options </w:t>
      </w:r>
      <w:r>
        <w:rPr>
          <w:rFonts w:ascii="Calibri" w:eastAsia="Calibri" w:hAnsi="Calibri" w:cs="Calibri"/>
          <w:lang w:val="en-GB"/>
        </w:rPr>
        <w:fldChar w:fldCharType="begin"/>
      </w:r>
      <w:r>
        <w:rPr>
          <w:rFonts w:ascii="Calibri" w:eastAsia="Calibri" w:hAnsi="Calibri" w:cs="Calibri"/>
          <w:lang w:val="en-GB"/>
        </w:rPr>
        <w:instrText xml:space="preserve"> REF _Ref134340072 \r \h </w:instrText>
      </w:r>
      <w:r>
        <w:rPr>
          <w:rFonts w:ascii="Calibri" w:eastAsia="Calibri" w:hAnsi="Calibri" w:cs="Calibri"/>
          <w:lang w:val="en-GB"/>
        </w:rPr>
      </w:r>
      <w:r>
        <w:rPr>
          <w:rFonts w:ascii="Calibri" w:eastAsia="Calibri" w:hAnsi="Calibri" w:cs="Calibri"/>
          <w:lang w:val="en-GB"/>
        </w:rPr>
        <w:fldChar w:fldCharType="separate"/>
      </w:r>
      <w:r>
        <w:rPr>
          <w:rFonts w:ascii="Calibri" w:eastAsia="Calibri" w:hAnsi="Calibri" w:cs="Calibri"/>
          <w:lang w:val="en-GB"/>
        </w:rPr>
        <w:t>[2]</w:t>
      </w:r>
      <w:r>
        <w:rPr>
          <w:rFonts w:ascii="Calibri" w:eastAsia="Calibri" w:hAnsi="Calibri" w:cs="Calibri"/>
          <w:lang w:val="en-GB"/>
        </w:rPr>
        <w:fldChar w:fldCharType="end"/>
      </w:r>
      <w:r>
        <w:rPr>
          <w:rFonts w:ascii="Calibri" w:eastAsia="Calibri" w:hAnsi="Calibri" w:cs="Calibri"/>
          <w:lang w:val="en-GB"/>
        </w:rPr>
        <w:t xml:space="preserve">: </w:t>
      </w:r>
    </w:p>
    <w:tbl>
      <w:tblPr>
        <w:tblStyle w:val="TableGrid"/>
        <w:tblW w:w="0" w:type="auto"/>
        <w:tblLook w:val="04A0" w:firstRow="1" w:lastRow="0" w:firstColumn="1" w:lastColumn="0" w:noHBand="0" w:noVBand="1"/>
      </w:tblPr>
      <w:tblGrid>
        <w:gridCol w:w="9629"/>
      </w:tblGrid>
      <w:tr w:rsidR="00D35DBC" w14:paraId="623CFE9F" w14:textId="77777777" w:rsidTr="004D0F2D">
        <w:tc>
          <w:tcPr>
            <w:tcW w:w="9629" w:type="dxa"/>
            <w:tcMar>
              <w:top w:w="57" w:type="dxa"/>
              <w:bottom w:w="57" w:type="dxa"/>
            </w:tcMar>
            <w:vAlign w:val="center"/>
          </w:tcPr>
          <w:p w14:paraId="3E379CCA" w14:textId="77777777" w:rsidR="00D35DBC" w:rsidRPr="006B0AE6" w:rsidRDefault="00D35DBC" w:rsidP="004D0F2D">
            <w:pPr>
              <w:tabs>
                <w:tab w:val="left" w:pos="1064"/>
              </w:tabs>
              <w:spacing w:after="0" w:line="240" w:lineRule="auto"/>
              <w:rPr>
                <w:rFonts w:ascii="Times" w:eastAsia="Batang" w:hAnsi="Times" w:cs="Times New Roman"/>
                <w:b/>
                <w:sz w:val="20"/>
                <w:szCs w:val="24"/>
                <w:highlight w:val="green"/>
                <w:lang w:val="en-GB" w:eastAsia="x-none"/>
              </w:rPr>
            </w:pPr>
            <w:r w:rsidRPr="006B0AE6">
              <w:rPr>
                <w:rFonts w:ascii="Times" w:eastAsia="Batang" w:hAnsi="Times" w:cs="Times New Roman" w:hint="eastAsia"/>
                <w:b/>
                <w:sz w:val="20"/>
                <w:szCs w:val="24"/>
                <w:highlight w:val="green"/>
                <w:lang w:val="en-GB" w:eastAsia="x-none"/>
              </w:rPr>
              <w:t>Agreement</w:t>
            </w:r>
          </w:p>
          <w:p w14:paraId="7686D40F" w14:textId="77777777" w:rsidR="00D35DBC" w:rsidRPr="006B0AE6" w:rsidRDefault="00D35DBC" w:rsidP="004D0F2D">
            <w:pPr>
              <w:spacing w:after="0" w:line="240" w:lineRule="auto"/>
              <w:rPr>
                <w:rFonts w:ascii="Times New Roman" w:eastAsia="Batang" w:hAnsi="Times New Roman" w:cs="Times New Roman"/>
                <w:sz w:val="20"/>
                <w:szCs w:val="20"/>
                <w:lang w:val="en-GB" w:eastAsia="en-US"/>
              </w:rPr>
            </w:pPr>
            <w:r w:rsidRPr="006B0AE6">
              <w:rPr>
                <w:rFonts w:ascii="Times New Roman" w:eastAsia="Batang" w:hAnsi="Times New Roman" w:cs="Times New Roman"/>
                <w:sz w:val="20"/>
                <w:szCs w:val="20"/>
                <w:lang w:val="en-GB" w:eastAsia="en-US"/>
              </w:rPr>
              <w:t xml:space="preserve">For single TB scheduled by DCI, For DCI-based direct indication, down select one of the following based on the criteria DCI overhead, PDCCH monitoring </w:t>
            </w:r>
            <w:proofErr w:type="spellStart"/>
            <w:r w:rsidRPr="006B0AE6">
              <w:rPr>
                <w:rFonts w:ascii="Times New Roman" w:eastAsia="Batang" w:hAnsi="Times New Roman" w:cs="Times New Roman"/>
                <w:sz w:val="20"/>
                <w:szCs w:val="20"/>
                <w:lang w:val="en-GB" w:eastAsia="en-US"/>
              </w:rPr>
              <w:t>behavior</w:t>
            </w:r>
            <w:proofErr w:type="spellEnd"/>
            <w:r w:rsidRPr="006B0AE6">
              <w:rPr>
                <w:rFonts w:ascii="Times New Roman" w:eastAsia="Batang" w:hAnsi="Times New Roman" w:cs="Times New Roman"/>
                <w:sz w:val="20"/>
                <w:szCs w:val="20"/>
                <w:lang w:val="en-GB" w:eastAsia="en-US"/>
              </w:rPr>
              <w:t>, impact on scheduling flexibility, UE implementation complexity, etc</w:t>
            </w:r>
          </w:p>
          <w:p w14:paraId="2D824C1F" w14:textId="77777777" w:rsidR="00D35DBC" w:rsidRPr="006B0AE6" w:rsidRDefault="00D35DBC" w:rsidP="004D0F2D">
            <w:pPr>
              <w:numPr>
                <w:ilvl w:val="0"/>
                <w:numId w:val="25"/>
              </w:numPr>
              <w:spacing w:after="0" w:line="240" w:lineRule="auto"/>
              <w:ind w:left="720" w:hanging="360"/>
              <w:rPr>
                <w:rFonts w:ascii="Times" w:eastAsia="Batang" w:hAnsi="Times" w:cs="Times New Roman"/>
                <w:sz w:val="20"/>
                <w:szCs w:val="24"/>
                <w:lang w:eastAsia="x-none"/>
              </w:rPr>
            </w:pPr>
            <w:r w:rsidRPr="006B0AE6">
              <w:rPr>
                <w:rFonts w:ascii="Times" w:eastAsia="Batang" w:hAnsi="Times" w:cs="Times New Roman"/>
                <w:sz w:val="20"/>
                <w:szCs w:val="24"/>
                <w:lang w:eastAsia="x-none"/>
              </w:rPr>
              <w:t xml:space="preserve">Option 1: Indication by adding one field in DCI (e.g., 1-bit) </w:t>
            </w:r>
          </w:p>
          <w:p w14:paraId="7AAF00B9" w14:textId="77777777" w:rsidR="00D35DBC" w:rsidRPr="006B0AE6" w:rsidRDefault="00D35DBC" w:rsidP="004D0F2D">
            <w:pPr>
              <w:numPr>
                <w:ilvl w:val="1"/>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Note: Other fields in DCI are the same as legacy.</w:t>
            </w:r>
          </w:p>
          <w:p w14:paraId="26BBB3A4" w14:textId="77777777" w:rsidR="00D35DBC" w:rsidRPr="006B0AE6" w:rsidRDefault="00D35DBC" w:rsidP="004D0F2D">
            <w:pPr>
              <w:numPr>
                <w:ilvl w:val="0"/>
                <w:numId w:val="25"/>
              </w:numPr>
              <w:spacing w:after="0" w:line="240" w:lineRule="auto"/>
              <w:ind w:left="720" w:hanging="360"/>
              <w:rPr>
                <w:rFonts w:ascii="Times" w:eastAsia="Batang" w:hAnsi="Times" w:cs="Times New Roman"/>
                <w:sz w:val="20"/>
                <w:szCs w:val="24"/>
                <w:lang w:eastAsia="x-none"/>
              </w:rPr>
            </w:pPr>
            <w:r w:rsidRPr="006B0AE6">
              <w:rPr>
                <w:rFonts w:ascii="Times" w:eastAsia="Batang" w:hAnsi="Times" w:cs="Times New Roman"/>
                <w:sz w:val="20"/>
                <w:szCs w:val="24"/>
                <w:lang w:eastAsia="x-none"/>
              </w:rPr>
              <w:t>Option 2: Indication by reusing/reinterpreting existing field in DCI</w:t>
            </w:r>
          </w:p>
          <w:p w14:paraId="09E76CEE" w14:textId="77777777" w:rsidR="00D35DBC" w:rsidRPr="006B0AE6" w:rsidRDefault="00D35DBC" w:rsidP="004D0F2D">
            <w:pPr>
              <w:numPr>
                <w:ilvl w:val="1"/>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 xml:space="preserve">Option 2A: HARQ-ACK related field </w:t>
            </w:r>
          </w:p>
          <w:p w14:paraId="0E4A8B7B" w14:textId="77777777" w:rsidR="00D35DBC" w:rsidRPr="006B0AE6" w:rsidRDefault="00D35DBC" w:rsidP="004D0F2D">
            <w:pPr>
              <w:numPr>
                <w:ilvl w:val="2"/>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For eMTC CE mode B, one state of “HARQ-ACK resource offset” field in DCI format 6-1B is used for indication of HARQ feedback disabled, other states are used for indication of HARQ feedback enabled and corresponding HARQ-ACK resource.</w:t>
            </w:r>
          </w:p>
          <w:p w14:paraId="5CD596D1" w14:textId="77777777" w:rsidR="00D35DBC" w:rsidRPr="006B0AE6" w:rsidRDefault="00D35DBC" w:rsidP="004D0F2D">
            <w:pPr>
              <w:numPr>
                <w:ilvl w:val="3"/>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FFS: detailed state</w:t>
            </w:r>
          </w:p>
          <w:p w14:paraId="0907C56B" w14:textId="77777777" w:rsidR="00D35DBC" w:rsidRPr="006B0AE6" w:rsidRDefault="00D35DBC" w:rsidP="004D0F2D">
            <w:pPr>
              <w:numPr>
                <w:ilvl w:val="2"/>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 xml:space="preserve">For </w:t>
            </w:r>
            <w:proofErr w:type="spellStart"/>
            <w:r w:rsidRPr="006B0AE6">
              <w:rPr>
                <w:rFonts w:ascii="Times" w:eastAsia="Batang" w:hAnsi="Times" w:cs="Times New Roman"/>
                <w:sz w:val="20"/>
                <w:szCs w:val="24"/>
                <w:lang w:eastAsia="x-none"/>
              </w:rPr>
              <w:t>NBIoT</w:t>
            </w:r>
            <w:proofErr w:type="spellEnd"/>
            <w:r w:rsidRPr="006B0AE6">
              <w:rPr>
                <w:rFonts w:ascii="Times" w:eastAsia="Batang" w:hAnsi="Times" w:cs="Times New Roman"/>
                <w:sz w:val="20"/>
                <w:szCs w:val="24"/>
                <w:lang w:eastAsia="x-none"/>
              </w:rPr>
              <w:t>, one state of “HARQ-ACK resource” field in DCI format N1 is used for indication of HARQ feedback disabled, other states are used for indication of HARQ feedback enabled and corresponding HARQ-ACK resource.</w:t>
            </w:r>
          </w:p>
          <w:p w14:paraId="0A2D4628" w14:textId="77777777" w:rsidR="00D35DBC" w:rsidRPr="006B0AE6" w:rsidRDefault="00D35DBC" w:rsidP="004D0F2D">
            <w:pPr>
              <w:numPr>
                <w:ilvl w:val="3"/>
                <w:numId w:val="25"/>
              </w:numPr>
              <w:snapToGrid w:val="0"/>
              <w:spacing w:after="0" w:line="240" w:lineRule="auto"/>
              <w:rPr>
                <w:rFonts w:ascii="Times New Roman" w:eastAsia="Batang" w:hAnsi="Times New Roman" w:cs="Times New Roman"/>
                <w:sz w:val="20"/>
                <w:szCs w:val="20"/>
                <w:lang w:val="en-GB"/>
              </w:rPr>
            </w:pPr>
            <w:r w:rsidRPr="006B0AE6">
              <w:rPr>
                <w:rFonts w:ascii="Times New Roman" w:eastAsia="Batang" w:hAnsi="Times New Roman" w:cs="Times New Roman"/>
                <w:sz w:val="20"/>
                <w:szCs w:val="20"/>
                <w:lang w:val="en-GB"/>
              </w:rPr>
              <w:t>FFS: detailed state</w:t>
            </w:r>
          </w:p>
          <w:p w14:paraId="05E92D6C" w14:textId="77777777" w:rsidR="00D35DBC" w:rsidRPr="006B0AE6" w:rsidRDefault="00D35DBC" w:rsidP="004D0F2D">
            <w:pPr>
              <w:numPr>
                <w:ilvl w:val="1"/>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Option 2B: MCS or repetition number field</w:t>
            </w:r>
          </w:p>
          <w:p w14:paraId="5D80473F" w14:textId="77777777" w:rsidR="00D35DBC" w:rsidRPr="006B0AE6" w:rsidRDefault="00D35DBC" w:rsidP="004D0F2D">
            <w:pPr>
              <w:numPr>
                <w:ilvl w:val="2"/>
                <w:numId w:val="25"/>
              </w:numPr>
              <w:snapToGrid w:val="0"/>
              <w:spacing w:after="0" w:line="240" w:lineRule="auto"/>
              <w:rPr>
                <w:rFonts w:ascii="Times New Roman" w:eastAsia="Batang" w:hAnsi="Times New Roman" w:cs="Times New Roman"/>
                <w:sz w:val="20"/>
                <w:szCs w:val="20"/>
                <w:lang w:val="en-GB" w:eastAsia="en-US"/>
              </w:rPr>
            </w:pPr>
            <w:r w:rsidRPr="006B0AE6">
              <w:rPr>
                <w:rFonts w:ascii="Times New Roman" w:eastAsia="Batang" w:hAnsi="Times New Roman" w:cs="Times New Roman"/>
                <w:sz w:val="20"/>
                <w:szCs w:val="20"/>
                <w:lang w:val="en-GB" w:eastAsia="en-US"/>
              </w:rPr>
              <w:t xml:space="preserve">Reduce 1bit of </w:t>
            </w:r>
            <w:r w:rsidRPr="006B0AE6">
              <w:rPr>
                <w:rFonts w:ascii="Times New Roman" w:eastAsia="Batang" w:hAnsi="Times New Roman" w:cs="Times New Roman"/>
                <w:sz w:val="20"/>
                <w:szCs w:val="20"/>
                <w:lang w:val="en-GB"/>
              </w:rPr>
              <w:t>legacy</w:t>
            </w:r>
            <w:r w:rsidRPr="006B0AE6">
              <w:rPr>
                <w:rFonts w:ascii="Times New Roman" w:eastAsia="Batang" w:hAnsi="Times New Roman" w:cs="Times New Roman"/>
                <w:sz w:val="20"/>
                <w:szCs w:val="20"/>
                <w:lang w:val="en-GB" w:eastAsia="en-US"/>
              </w:rPr>
              <w:t xml:space="preserve"> MCS or repetition number field and add 1bit new field in DCI format 6-1B </w:t>
            </w:r>
            <w:r w:rsidRPr="006B0AE6">
              <w:rPr>
                <w:rFonts w:ascii="Times New Roman" w:eastAsia="Batang" w:hAnsi="Times New Roman" w:cs="Times New Roman"/>
                <w:sz w:val="20"/>
                <w:szCs w:val="20"/>
                <w:lang w:val="en-GB"/>
              </w:rPr>
              <w:t>and</w:t>
            </w:r>
            <w:r w:rsidRPr="006B0AE6">
              <w:rPr>
                <w:rFonts w:ascii="Times New Roman" w:eastAsia="Batang" w:hAnsi="Times New Roman" w:cs="Times New Roman"/>
                <w:sz w:val="20"/>
                <w:szCs w:val="20"/>
                <w:lang w:val="en-GB" w:eastAsia="en-US"/>
              </w:rPr>
              <w:t xml:space="preserve"> N1 to indicate the HARQ feedback enabl</w:t>
            </w:r>
            <w:r w:rsidRPr="006B0AE6">
              <w:rPr>
                <w:rFonts w:ascii="Times New Roman" w:eastAsia="Batang" w:hAnsi="Times New Roman" w:cs="Times New Roman"/>
                <w:sz w:val="20"/>
                <w:szCs w:val="20"/>
                <w:lang w:val="en-GB"/>
              </w:rPr>
              <w:t>ed</w:t>
            </w:r>
            <w:r w:rsidRPr="006B0AE6">
              <w:rPr>
                <w:rFonts w:ascii="Times New Roman" w:eastAsia="Batang" w:hAnsi="Times New Roman" w:cs="Times New Roman"/>
                <w:sz w:val="20"/>
                <w:szCs w:val="20"/>
                <w:lang w:val="en-GB" w:eastAsia="en-US"/>
              </w:rPr>
              <w:t>/disabl</w:t>
            </w:r>
            <w:r w:rsidRPr="006B0AE6">
              <w:rPr>
                <w:rFonts w:ascii="Times New Roman" w:eastAsia="Batang" w:hAnsi="Times New Roman" w:cs="Times New Roman"/>
                <w:sz w:val="20"/>
                <w:szCs w:val="20"/>
                <w:lang w:val="en-GB"/>
              </w:rPr>
              <w:t>ed</w:t>
            </w:r>
          </w:p>
          <w:p w14:paraId="1D3A32E0" w14:textId="77777777" w:rsidR="00D35DBC" w:rsidRPr="006B0AE6" w:rsidRDefault="00D35DBC" w:rsidP="004D0F2D">
            <w:pPr>
              <w:numPr>
                <w:ilvl w:val="3"/>
                <w:numId w:val="25"/>
              </w:numPr>
              <w:snapToGrid w:val="0"/>
              <w:spacing w:after="0" w:line="240" w:lineRule="auto"/>
              <w:rPr>
                <w:rFonts w:ascii="Times New Roman" w:eastAsia="Batang" w:hAnsi="Times New Roman" w:cs="Times New Roman"/>
                <w:sz w:val="20"/>
                <w:szCs w:val="20"/>
                <w:lang w:val="en-GB"/>
              </w:rPr>
            </w:pPr>
            <w:r w:rsidRPr="006B0AE6">
              <w:rPr>
                <w:rFonts w:ascii="Times New Roman" w:eastAsia="Batang" w:hAnsi="Times New Roman" w:cs="Times New Roman"/>
                <w:sz w:val="20"/>
                <w:szCs w:val="20"/>
                <w:lang w:val="en-GB"/>
              </w:rPr>
              <w:t>FFS: detailed for interpreting of the reduced MCS or repetition number field</w:t>
            </w:r>
          </w:p>
          <w:p w14:paraId="5CBE7FEF" w14:textId="77777777" w:rsidR="00D35DBC" w:rsidRPr="006B0AE6" w:rsidRDefault="00D35DBC" w:rsidP="004D0F2D">
            <w:pPr>
              <w:numPr>
                <w:ilvl w:val="1"/>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Option 2C: HARQ-ACK related field v2</w:t>
            </w:r>
          </w:p>
          <w:p w14:paraId="133ED562" w14:textId="77777777" w:rsidR="00D35DBC" w:rsidRPr="006B0AE6" w:rsidRDefault="00D35DBC" w:rsidP="004D0F2D">
            <w:pPr>
              <w:numPr>
                <w:ilvl w:val="2"/>
                <w:numId w:val="25"/>
              </w:numPr>
              <w:snapToGrid w:val="0"/>
              <w:spacing w:after="0" w:line="240" w:lineRule="auto"/>
              <w:rPr>
                <w:rFonts w:ascii="Times New Roman" w:eastAsia="Batang" w:hAnsi="Times New Roman" w:cs="Times New Roman"/>
                <w:sz w:val="20"/>
                <w:szCs w:val="20"/>
                <w:lang w:val="en-GB" w:eastAsia="en-US"/>
              </w:rPr>
            </w:pPr>
            <w:r w:rsidRPr="006B0AE6">
              <w:rPr>
                <w:rFonts w:ascii="Times New Roman" w:eastAsia="Batang" w:hAnsi="Times New Roman" w:cs="Times New Roman"/>
                <w:sz w:val="20"/>
                <w:szCs w:val="20"/>
                <w:lang w:val="en-GB"/>
              </w:rPr>
              <w:t>For eMTC CE mode B, r</w:t>
            </w:r>
            <w:r w:rsidRPr="006B0AE6">
              <w:rPr>
                <w:rFonts w:ascii="Times New Roman" w:eastAsia="Batang" w:hAnsi="Times New Roman" w:cs="Times New Roman"/>
                <w:sz w:val="20"/>
                <w:szCs w:val="20"/>
                <w:lang w:val="en-GB" w:eastAsia="en-US"/>
              </w:rPr>
              <w:t xml:space="preserve">educe 1bit of </w:t>
            </w:r>
            <w:r w:rsidRPr="006B0AE6">
              <w:rPr>
                <w:rFonts w:ascii="Times New Roman" w:eastAsia="Batang" w:hAnsi="Times New Roman" w:cs="Times New Roman"/>
                <w:sz w:val="20"/>
                <w:szCs w:val="20"/>
                <w:lang w:val="en-GB"/>
              </w:rPr>
              <w:t>legacy</w:t>
            </w:r>
            <w:r w:rsidRPr="006B0AE6">
              <w:rPr>
                <w:rFonts w:ascii="Times New Roman" w:eastAsia="Batang" w:hAnsi="Times New Roman" w:cs="Times New Roman"/>
                <w:sz w:val="20"/>
                <w:szCs w:val="20"/>
                <w:lang w:val="en-GB" w:eastAsia="en-US"/>
              </w:rPr>
              <w:t xml:space="preserve"> </w:t>
            </w:r>
            <w:r w:rsidRPr="006B0AE6">
              <w:rPr>
                <w:rFonts w:ascii="Times New Roman" w:eastAsia="Batang" w:hAnsi="Times New Roman" w:cs="Times New Roman"/>
                <w:sz w:val="20"/>
                <w:szCs w:val="20"/>
                <w:lang w:val="en-GB"/>
              </w:rPr>
              <w:t>“</w:t>
            </w:r>
            <w:r w:rsidRPr="006B0AE6">
              <w:rPr>
                <w:rFonts w:ascii="Times New Roman" w:eastAsia="Batang" w:hAnsi="Times New Roman" w:cs="Times New Roman"/>
                <w:sz w:val="20"/>
                <w:szCs w:val="20"/>
                <w:lang w:val="en-GB" w:eastAsia="en-US"/>
              </w:rPr>
              <w:t>HARQ-ACK resource offset</w:t>
            </w:r>
            <w:r w:rsidRPr="006B0AE6">
              <w:rPr>
                <w:rFonts w:ascii="Times New Roman" w:eastAsia="Batang" w:hAnsi="Times New Roman" w:cs="Times New Roman"/>
                <w:sz w:val="20"/>
                <w:szCs w:val="20"/>
                <w:lang w:val="en-GB"/>
              </w:rPr>
              <w:t>”</w:t>
            </w:r>
            <w:r w:rsidRPr="006B0AE6">
              <w:rPr>
                <w:rFonts w:ascii="Times New Roman" w:eastAsia="Batang" w:hAnsi="Times New Roman" w:cs="Times New Roman"/>
                <w:sz w:val="20"/>
                <w:szCs w:val="20"/>
                <w:lang w:val="en-GB" w:eastAsia="en-US"/>
              </w:rPr>
              <w:t xml:space="preserve"> field and add 1bit new field in DCI format 6-1B to indicate the HARQ feedback enabl</w:t>
            </w:r>
            <w:r w:rsidRPr="006B0AE6">
              <w:rPr>
                <w:rFonts w:ascii="Times New Roman" w:eastAsia="Batang" w:hAnsi="Times New Roman" w:cs="Times New Roman"/>
                <w:sz w:val="20"/>
                <w:szCs w:val="20"/>
                <w:lang w:val="en-GB"/>
              </w:rPr>
              <w:t>ed</w:t>
            </w:r>
            <w:r w:rsidRPr="006B0AE6">
              <w:rPr>
                <w:rFonts w:ascii="Times New Roman" w:eastAsia="Batang" w:hAnsi="Times New Roman" w:cs="Times New Roman"/>
                <w:sz w:val="20"/>
                <w:szCs w:val="20"/>
                <w:lang w:val="en-GB" w:eastAsia="en-US"/>
              </w:rPr>
              <w:t>/disabl</w:t>
            </w:r>
            <w:r w:rsidRPr="006B0AE6">
              <w:rPr>
                <w:rFonts w:ascii="Times New Roman" w:eastAsia="Batang" w:hAnsi="Times New Roman" w:cs="Times New Roman"/>
                <w:sz w:val="20"/>
                <w:szCs w:val="20"/>
                <w:lang w:val="en-GB"/>
              </w:rPr>
              <w:t>ed</w:t>
            </w:r>
          </w:p>
          <w:p w14:paraId="6C8CD71B" w14:textId="77777777" w:rsidR="00D35DBC" w:rsidRPr="006B0AE6" w:rsidRDefault="00D35DBC" w:rsidP="004D0F2D">
            <w:pPr>
              <w:numPr>
                <w:ilvl w:val="3"/>
                <w:numId w:val="25"/>
              </w:numPr>
              <w:snapToGrid w:val="0"/>
              <w:spacing w:after="0" w:line="240" w:lineRule="auto"/>
              <w:rPr>
                <w:rFonts w:ascii="Times New Roman" w:eastAsia="Batang" w:hAnsi="Times New Roman" w:cs="Times New Roman"/>
                <w:sz w:val="20"/>
                <w:szCs w:val="20"/>
                <w:lang w:val="en-GB"/>
              </w:rPr>
            </w:pPr>
            <w:r w:rsidRPr="006B0AE6">
              <w:rPr>
                <w:rFonts w:ascii="Times New Roman" w:eastAsia="Batang" w:hAnsi="Times New Roman" w:cs="Times New Roman"/>
                <w:sz w:val="20"/>
                <w:szCs w:val="20"/>
                <w:lang w:val="en-GB"/>
              </w:rPr>
              <w:t>FFS: detailed for interpreting of the reduced “HARQ-ACK resource offset” field</w:t>
            </w:r>
          </w:p>
          <w:p w14:paraId="72252416" w14:textId="77777777" w:rsidR="00D35DBC" w:rsidRPr="006B0AE6" w:rsidRDefault="00D35DBC" w:rsidP="004D0F2D">
            <w:pPr>
              <w:numPr>
                <w:ilvl w:val="2"/>
                <w:numId w:val="25"/>
              </w:numPr>
              <w:snapToGrid w:val="0"/>
              <w:spacing w:after="0" w:line="240" w:lineRule="auto"/>
              <w:rPr>
                <w:rFonts w:ascii="Times New Roman" w:eastAsia="Batang" w:hAnsi="Times New Roman" w:cs="Times New Roman"/>
                <w:sz w:val="20"/>
                <w:szCs w:val="20"/>
                <w:lang w:val="en-GB" w:eastAsia="en-US"/>
              </w:rPr>
            </w:pPr>
            <w:r w:rsidRPr="006B0AE6">
              <w:rPr>
                <w:rFonts w:ascii="Times New Roman" w:eastAsia="Batang" w:hAnsi="Times New Roman" w:cs="Times New Roman"/>
                <w:sz w:val="20"/>
                <w:szCs w:val="20"/>
                <w:lang w:val="en-GB" w:eastAsia="en-US"/>
              </w:rPr>
              <w:t xml:space="preserve">For </w:t>
            </w:r>
            <w:proofErr w:type="spellStart"/>
            <w:r w:rsidRPr="006B0AE6">
              <w:rPr>
                <w:rFonts w:ascii="Times New Roman" w:eastAsia="Batang" w:hAnsi="Times New Roman" w:cs="Times New Roman"/>
                <w:sz w:val="20"/>
                <w:szCs w:val="20"/>
                <w:lang w:val="en-GB" w:eastAsia="en-US"/>
              </w:rPr>
              <w:t>NBIoT</w:t>
            </w:r>
            <w:proofErr w:type="spellEnd"/>
            <w:r w:rsidRPr="006B0AE6">
              <w:rPr>
                <w:rFonts w:ascii="Times New Roman" w:eastAsia="Batang" w:hAnsi="Times New Roman" w:cs="Times New Roman"/>
                <w:sz w:val="20"/>
                <w:szCs w:val="20"/>
                <w:lang w:val="en-GB" w:eastAsia="en-US"/>
              </w:rPr>
              <w:t xml:space="preserve">, </w:t>
            </w:r>
            <w:r w:rsidRPr="006B0AE6">
              <w:rPr>
                <w:rFonts w:ascii="Times New Roman" w:eastAsia="Batang" w:hAnsi="Times New Roman" w:cs="Times New Roman"/>
                <w:sz w:val="20"/>
                <w:szCs w:val="20"/>
                <w:lang w:val="en-GB"/>
              </w:rPr>
              <w:t>r</w:t>
            </w:r>
            <w:r w:rsidRPr="006B0AE6">
              <w:rPr>
                <w:rFonts w:ascii="Times New Roman" w:eastAsia="Batang" w:hAnsi="Times New Roman" w:cs="Times New Roman"/>
                <w:sz w:val="20"/>
                <w:szCs w:val="20"/>
                <w:lang w:val="en-GB" w:eastAsia="en-US"/>
              </w:rPr>
              <w:t xml:space="preserve">educe 1bit of </w:t>
            </w:r>
            <w:r w:rsidRPr="006B0AE6">
              <w:rPr>
                <w:rFonts w:ascii="Times New Roman" w:eastAsia="Batang" w:hAnsi="Times New Roman" w:cs="Times New Roman"/>
                <w:sz w:val="20"/>
                <w:szCs w:val="20"/>
                <w:lang w:val="en-GB"/>
              </w:rPr>
              <w:t>legacy</w:t>
            </w:r>
            <w:r w:rsidRPr="006B0AE6">
              <w:rPr>
                <w:rFonts w:ascii="Times New Roman" w:eastAsia="Batang" w:hAnsi="Times New Roman" w:cs="Times New Roman"/>
                <w:sz w:val="20"/>
                <w:szCs w:val="20"/>
                <w:lang w:val="en-GB" w:eastAsia="en-US"/>
              </w:rPr>
              <w:t xml:space="preserve"> </w:t>
            </w:r>
            <w:r w:rsidRPr="006B0AE6">
              <w:rPr>
                <w:rFonts w:ascii="Times New Roman" w:eastAsia="Batang" w:hAnsi="Times New Roman" w:cs="Times New Roman"/>
                <w:sz w:val="20"/>
                <w:szCs w:val="20"/>
                <w:lang w:val="en-GB"/>
              </w:rPr>
              <w:t>“</w:t>
            </w:r>
            <w:r w:rsidRPr="006B0AE6">
              <w:rPr>
                <w:rFonts w:ascii="Times New Roman" w:eastAsia="Batang" w:hAnsi="Times New Roman" w:cs="Times New Roman"/>
                <w:sz w:val="20"/>
                <w:szCs w:val="20"/>
                <w:lang w:val="en-GB" w:eastAsia="en-US"/>
              </w:rPr>
              <w:t>HARQ-ACK resource</w:t>
            </w:r>
            <w:r w:rsidRPr="006B0AE6">
              <w:rPr>
                <w:rFonts w:ascii="Times New Roman" w:eastAsia="Batang" w:hAnsi="Times New Roman" w:cs="Times New Roman"/>
                <w:sz w:val="20"/>
                <w:szCs w:val="20"/>
                <w:lang w:val="en-GB"/>
              </w:rPr>
              <w:t>”</w:t>
            </w:r>
            <w:r w:rsidRPr="006B0AE6">
              <w:rPr>
                <w:rFonts w:ascii="Times New Roman" w:eastAsia="Batang" w:hAnsi="Times New Roman" w:cs="Times New Roman"/>
                <w:sz w:val="20"/>
                <w:szCs w:val="20"/>
                <w:lang w:val="en-GB" w:eastAsia="en-US"/>
              </w:rPr>
              <w:t xml:space="preserve"> field and add 1bit new field in DCI format </w:t>
            </w:r>
            <w:r w:rsidRPr="006B0AE6">
              <w:rPr>
                <w:rFonts w:ascii="Times New Roman" w:eastAsia="Batang" w:hAnsi="Times New Roman" w:cs="Times New Roman"/>
                <w:sz w:val="20"/>
                <w:szCs w:val="20"/>
                <w:lang w:val="en-GB"/>
              </w:rPr>
              <w:t>N</w:t>
            </w:r>
            <w:r w:rsidRPr="006B0AE6">
              <w:rPr>
                <w:rFonts w:ascii="Times New Roman" w:eastAsia="Batang" w:hAnsi="Times New Roman" w:cs="Times New Roman"/>
                <w:sz w:val="20"/>
                <w:szCs w:val="20"/>
                <w:lang w:val="en-GB" w:eastAsia="en-US"/>
              </w:rPr>
              <w:t>1 to indicate the HARQ feedback enabl</w:t>
            </w:r>
            <w:r w:rsidRPr="006B0AE6">
              <w:rPr>
                <w:rFonts w:ascii="Times New Roman" w:eastAsia="Batang" w:hAnsi="Times New Roman" w:cs="Times New Roman"/>
                <w:sz w:val="20"/>
                <w:szCs w:val="20"/>
                <w:lang w:val="en-GB"/>
              </w:rPr>
              <w:t>ed</w:t>
            </w:r>
            <w:r w:rsidRPr="006B0AE6">
              <w:rPr>
                <w:rFonts w:ascii="Times New Roman" w:eastAsia="Batang" w:hAnsi="Times New Roman" w:cs="Times New Roman"/>
                <w:sz w:val="20"/>
                <w:szCs w:val="20"/>
                <w:lang w:val="en-GB" w:eastAsia="en-US"/>
              </w:rPr>
              <w:t>/disabl</w:t>
            </w:r>
            <w:r w:rsidRPr="006B0AE6">
              <w:rPr>
                <w:rFonts w:ascii="Times New Roman" w:eastAsia="Batang" w:hAnsi="Times New Roman" w:cs="Times New Roman"/>
                <w:sz w:val="20"/>
                <w:szCs w:val="20"/>
                <w:lang w:val="en-GB"/>
              </w:rPr>
              <w:t>ed</w:t>
            </w:r>
          </w:p>
          <w:p w14:paraId="15E654CF" w14:textId="77777777" w:rsidR="00D35DBC" w:rsidRPr="006B0AE6" w:rsidRDefault="00D35DBC" w:rsidP="004D0F2D">
            <w:pPr>
              <w:numPr>
                <w:ilvl w:val="3"/>
                <w:numId w:val="25"/>
              </w:numPr>
              <w:snapToGrid w:val="0"/>
              <w:spacing w:after="0" w:line="240" w:lineRule="auto"/>
              <w:rPr>
                <w:rFonts w:ascii="Times New Roman" w:eastAsia="Batang" w:hAnsi="Times New Roman" w:cs="Times New Roman"/>
                <w:sz w:val="20"/>
                <w:szCs w:val="20"/>
                <w:lang w:val="en-GB"/>
              </w:rPr>
            </w:pPr>
            <w:r w:rsidRPr="006B0AE6">
              <w:rPr>
                <w:rFonts w:ascii="Times New Roman" w:eastAsia="Batang" w:hAnsi="Times New Roman" w:cs="Times New Roman"/>
                <w:sz w:val="20"/>
                <w:szCs w:val="20"/>
                <w:lang w:val="en-GB"/>
              </w:rPr>
              <w:t>FFS: detailed for interpreting of the reduced “HARQ-ACK resource” field</w:t>
            </w:r>
          </w:p>
          <w:p w14:paraId="40504392" w14:textId="77777777" w:rsidR="00D35DBC" w:rsidRPr="004D0F2D" w:rsidRDefault="00D35DBC" w:rsidP="004D0F2D">
            <w:pPr>
              <w:numPr>
                <w:ilvl w:val="1"/>
                <w:numId w:val="25"/>
              </w:numPr>
              <w:spacing w:after="0" w:line="240" w:lineRule="auto"/>
              <w:rPr>
                <w:rFonts w:ascii="Times" w:eastAsia="Batang" w:hAnsi="Times" w:cs="Times New Roman"/>
                <w:sz w:val="20"/>
                <w:szCs w:val="24"/>
                <w:lang w:eastAsia="x-none"/>
              </w:rPr>
            </w:pPr>
            <w:r w:rsidRPr="006B0AE6">
              <w:rPr>
                <w:rFonts w:ascii="Times" w:eastAsia="Batang" w:hAnsi="Times" w:cs="Times New Roman"/>
                <w:sz w:val="20"/>
                <w:szCs w:val="24"/>
                <w:lang w:eastAsia="x-none"/>
              </w:rPr>
              <w:t>Option 2D: Other indication by reusing/reinterpreting existing field</w:t>
            </w:r>
          </w:p>
        </w:tc>
      </w:tr>
    </w:tbl>
    <w:p w14:paraId="5900F7A5" w14:textId="5921CF57" w:rsidR="00D35DBC" w:rsidRDefault="00D35DBC" w:rsidP="00D35DBC">
      <w:pPr>
        <w:spacing w:before="120" w:line="257" w:lineRule="auto"/>
        <w:jc w:val="both"/>
        <w:rPr>
          <w:rFonts w:ascii="Calibri" w:eastAsia="Calibri" w:hAnsi="Calibri" w:cs="Calibri"/>
        </w:rPr>
      </w:pPr>
      <w:r>
        <w:rPr>
          <w:rFonts w:ascii="Calibri" w:eastAsia="Calibri" w:hAnsi="Calibri" w:cs="Calibri"/>
        </w:rPr>
        <w:t xml:space="preserve">In this agreement, Option 1 (adding a new 1-bit field) </w:t>
      </w:r>
      <w:r w:rsidR="001D4438">
        <w:rPr>
          <w:rFonts w:ascii="Calibri" w:eastAsia="Calibri" w:hAnsi="Calibri" w:cs="Calibri"/>
        </w:rPr>
        <w:t xml:space="preserve">is a straightforward solution. Since the new bit is only added when Option 3 is configured, UE knows the DCI size when decoding PDCCH, so UE complexity </w:t>
      </w:r>
      <w:r w:rsidR="00726CA5">
        <w:rPr>
          <w:rFonts w:ascii="Calibri" w:eastAsia="Calibri" w:hAnsi="Calibri" w:cs="Calibri"/>
        </w:rPr>
        <w:t xml:space="preserve">will be increased as UE need to support two different DCI size when UE is configured with </w:t>
      </w:r>
      <w:r w:rsidR="007B1E5B">
        <w:rPr>
          <w:rFonts w:ascii="Calibri" w:eastAsia="Calibri" w:hAnsi="Calibri" w:cs="Calibri"/>
        </w:rPr>
        <w:t>option 3 or not configured</w:t>
      </w:r>
      <w:r w:rsidR="001D4438">
        <w:rPr>
          <w:rFonts w:ascii="Calibri" w:eastAsia="Calibri" w:hAnsi="Calibri" w:cs="Calibri"/>
        </w:rPr>
        <w:t xml:space="preserve">. The additional bit </w:t>
      </w:r>
      <w:r>
        <w:rPr>
          <w:rFonts w:ascii="Calibri" w:eastAsia="Calibri" w:hAnsi="Calibri" w:cs="Calibri"/>
        </w:rPr>
        <w:t xml:space="preserve">obviously </w:t>
      </w:r>
      <w:r w:rsidR="001D4438">
        <w:rPr>
          <w:rFonts w:ascii="Calibri" w:eastAsia="Calibri" w:hAnsi="Calibri" w:cs="Calibri"/>
        </w:rPr>
        <w:t xml:space="preserve">results </w:t>
      </w:r>
      <w:r>
        <w:rPr>
          <w:rFonts w:ascii="Calibri" w:eastAsia="Calibri" w:hAnsi="Calibri" w:cs="Calibri"/>
        </w:rPr>
        <w:t>in a slightly higher coding rate</w:t>
      </w:r>
      <w:r w:rsidR="001D4438">
        <w:rPr>
          <w:rFonts w:ascii="Calibri" w:eastAsia="Calibri" w:hAnsi="Calibri" w:cs="Calibri"/>
        </w:rPr>
        <w:t>, which should lead to a minor degradation</w:t>
      </w:r>
      <w:r>
        <w:rPr>
          <w:rFonts w:ascii="Calibri" w:eastAsia="Calibri" w:hAnsi="Calibri" w:cs="Calibri"/>
        </w:rPr>
        <w:t xml:space="preserve"> </w:t>
      </w:r>
      <w:r w:rsidR="001D4438">
        <w:rPr>
          <w:rFonts w:ascii="Calibri" w:eastAsia="Calibri" w:hAnsi="Calibri" w:cs="Calibri"/>
        </w:rPr>
        <w:t xml:space="preserve">in </w:t>
      </w:r>
      <w:r>
        <w:rPr>
          <w:rFonts w:ascii="Calibri" w:eastAsia="Calibri" w:hAnsi="Calibri" w:cs="Calibri"/>
        </w:rPr>
        <w:t xml:space="preserve">detection </w:t>
      </w:r>
      <w:proofErr w:type="gramStart"/>
      <w:r>
        <w:rPr>
          <w:rFonts w:ascii="Calibri" w:eastAsia="Calibri" w:hAnsi="Calibri" w:cs="Calibri"/>
        </w:rPr>
        <w:t>probability.</w:t>
      </w:r>
      <w:r w:rsidR="00E774CB">
        <w:rPr>
          <w:rFonts w:ascii="Calibri" w:eastAsia="Calibri" w:hAnsi="Calibri" w:cs="Calibri"/>
        </w:rPr>
        <w:t>.</w:t>
      </w:r>
      <w:proofErr w:type="gramEnd"/>
      <w:r w:rsidR="00E774CB">
        <w:rPr>
          <w:rFonts w:ascii="Calibri" w:eastAsia="Calibri" w:hAnsi="Calibri" w:cs="Calibri"/>
        </w:rPr>
        <w:t xml:space="preserve"> </w:t>
      </w:r>
      <w:r>
        <w:rPr>
          <w:rFonts w:ascii="Calibri" w:eastAsia="Calibri" w:hAnsi="Calibri" w:cs="Calibri"/>
        </w:rPr>
        <w:t xml:space="preserve">On the other hand, Option 2 (reusing/reinterpreting existing fields) </w:t>
      </w:r>
      <w:r w:rsidR="009D4573">
        <w:rPr>
          <w:rFonts w:ascii="Calibri" w:eastAsia="Calibri" w:hAnsi="Calibri" w:cs="Calibri"/>
        </w:rPr>
        <w:t xml:space="preserve">will not request </w:t>
      </w:r>
      <w:r w:rsidR="009D4573">
        <w:rPr>
          <w:rFonts w:ascii="Calibri" w:eastAsia="Calibri" w:hAnsi="Calibri" w:cs="Calibri"/>
        </w:rPr>
        <w:lastRenderedPageBreak/>
        <w:t xml:space="preserve">UE to support more DCI size but </w:t>
      </w:r>
      <w:r>
        <w:rPr>
          <w:rFonts w:ascii="Calibri" w:eastAsia="Calibri" w:hAnsi="Calibri" w:cs="Calibri"/>
        </w:rPr>
        <w:t xml:space="preserve">generally </w:t>
      </w:r>
      <w:r w:rsidR="004A4C4D">
        <w:rPr>
          <w:rFonts w:ascii="Calibri" w:eastAsia="Calibri" w:hAnsi="Calibri" w:cs="Calibri"/>
        </w:rPr>
        <w:t xml:space="preserve">it may </w:t>
      </w:r>
      <w:r>
        <w:rPr>
          <w:rFonts w:ascii="Calibri" w:eastAsia="Calibri" w:hAnsi="Calibri" w:cs="Calibri"/>
        </w:rPr>
        <w:t xml:space="preserve">reduce the range of values in the reused fields, </w:t>
      </w:r>
      <w:r w:rsidR="003A1648">
        <w:rPr>
          <w:rFonts w:ascii="Calibri" w:eastAsia="Calibri" w:hAnsi="Calibri" w:cs="Calibri"/>
        </w:rPr>
        <w:t>where whether there is</w:t>
      </w:r>
      <w:r>
        <w:rPr>
          <w:rFonts w:ascii="Calibri" w:eastAsia="Calibri" w:hAnsi="Calibri" w:cs="Calibri"/>
        </w:rPr>
        <w:t xml:space="preserve"> restriction of scheduling flexibility</w:t>
      </w:r>
      <w:r w:rsidR="003A1648">
        <w:rPr>
          <w:rFonts w:ascii="Calibri" w:eastAsia="Calibri" w:hAnsi="Calibri" w:cs="Calibri"/>
        </w:rPr>
        <w:t xml:space="preserve"> and </w:t>
      </w:r>
      <w:r w:rsidR="00771D96">
        <w:rPr>
          <w:rFonts w:ascii="Calibri" w:eastAsia="Calibri" w:hAnsi="Calibri" w:cs="Calibri"/>
        </w:rPr>
        <w:t>how much restriction should be considered</w:t>
      </w:r>
      <w:r>
        <w:rPr>
          <w:rFonts w:ascii="Calibri" w:eastAsia="Calibri" w:hAnsi="Calibri" w:cs="Calibri"/>
        </w:rPr>
        <w:t xml:space="preserve">. </w:t>
      </w:r>
    </w:p>
    <w:p w14:paraId="152965A3" w14:textId="13335BC9" w:rsidR="00D35DBC" w:rsidRPr="004D0F2D" w:rsidRDefault="00D35DBC" w:rsidP="00D35DBC">
      <w:pPr>
        <w:spacing w:before="120" w:line="257" w:lineRule="auto"/>
        <w:jc w:val="both"/>
        <w:rPr>
          <w:rFonts w:ascii="Calibri" w:eastAsia="Calibri" w:hAnsi="Calibri" w:cs="Calibri"/>
        </w:rPr>
      </w:pPr>
      <w:r>
        <w:rPr>
          <w:lang w:val="en-GB" w:eastAsia="en-US"/>
        </w:rPr>
        <w:t xml:space="preserve">For convenience, relevant fields of DCI formats for DL data scheduling in CE Mode B and NB-IoT are shown in Tables 1 and 2 respectively. Among the options of reusing existing fields, Option 2A uses one state of HARQ-ACK resource indication for HARQ feedback disabling, which reduces the available HARQ-ACK resource assignments by one when HARQ feedback is enabled. Option 2B and 2C use one bit in either MCS, repetition number, or HARQ-ACK resource fields, which means the available states in the reused field will be reduced by half. </w:t>
      </w:r>
      <w:r w:rsidR="00A05779">
        <w:rPr>
          <w:lang w:val="en-GB" w:eastAsia="en-US"/>
        </w:rPr>
        <w:t xml:space="preserve">The impact of reusing </w:t>
      </w:r>
      <w:r w:rsidR="00071984">
        <w:rPr>
          <w:lang w:val="en-GB" w:eastAsia="en-US"/>
        </w:rPr>
        <w:t xml:space="preserve">one bit of MCS, </w:t>
      </w:r>
      <w:proofErr w:type="spellStart"/>
      <w:r w:rsidR="00071984">
        <w:rPr>
          <w:lang w:val="en-GB" w:eastAsia="en-US"/>
        </w:rPr>
        <w:t>repettion</w:t>
      </w:r>
      <w:proofErr w:type="spellEnd"/>
      <w:r w:rsidR="00071984">
        <w:rPr>
          <w:lang w:val="en-GB" w:eastAsia="en-US"/>
        </w:rPr>
        <w:t xml:space="preserve"> number or HARQ-ACK resource are different. </w:t>
      </w:r>
      <w:r w:rsidR="00433BB9">
        <w:rPr>
          <w:lang w:val="en-GB" w:eastAsia="en-US"/>
        </w:rPr>
        <w:t xml:space="preserve">The </w:t>
      </w:r>
      <w:r w:rsidR="00034153">
        <w:rPr>
          <w:lang w:val="en-GB" w:eastAsia="en-US"/>
        </w:rPr>
        <w:t xml:space="preserve">chance of </w:t>
      </w:r>
      <w:r w:rsidR="00A05275">
        <w:rPr>
          <w:lang w:val="en-GB" w:eastAsia="en-US"/>
        </w:rPr>
        <w:t xml:space="preserve">using </w:t>
      </w:r>
      <w:r w:rsidR="00034153">
        <w:rPr>
          <w:lang w:val="en-GB" w:eastAsia="en-US"/>
        </w:rPr>
        <w:t xml:space="preserve">each state of </w:t>
      </w:r>
      <w:proofErr w:type="spellStart"/>
      <w:r w:rsidR="00433BB9">
        <w:rPr>
          <w:lang w:val="en-GB" w:eastAsia="en-US"/>
        </w:rPr>
        <w:t>of</w:t>
      </w:r>
      <w:proofErr w:type="spellEnd"/>
      <w:r w:rsidR="00433BB9">
        <w:rPr>
          <w:lang w:val="en-GB" w:eastAsia="en-US"/>
        </w:rPr>
        <w:t xml:space="preserve"> HARQ-ACK resource </w:t>
      </w:r>
      <w:r w:rsidR="00A05275">
        <w:rPr>
          <w:lang w:val="en-GB" w:eastAsia="en-US"/>
        </w:rPr>
        <w:t>is not related to UE but related to scheduling</w:t>
      </w:r>
      <w:r w:rsidR="005126BA">
        <w:rPr>
          <w:lang w:val="en-GB" w:eastAsia="en-US"/>
        </w:rPr>
        <w:t xml:space="preserve">. </w:t>
      </w:r>
      <w:proofErr w:type="gramStart"/>
      <w:r w:rsidR="005126BA">
        <w:rPr>
          <w:lang w:val="en-GB" w:eastAsia="en-US"/>
        </w:rPr>
        <w:t>Thus</w:t>
      </w:r>
      <w:proofErr w:type="gramEnd"/>
      <w:r w:rsidR="005126BA">
        <w:rPr>
          <w:lang w:val="en-GB" w:eastAsia="en-US"/>
        </w:rPr>
        <w:t xml:space="preserve"> the reducing of the states for HARQ-ACK resource means reducing of the </w:t>
      </w:r>
      <w:r w:rsidR="00ED2429">
        <w:rPr>
          <w:lang w:val="en-GB" w:eastAsia="en-US"/>
        </w:rPr>
        <w:t xml:space="preserve">scheduling flexibility. </w:t>
      </w:r>
      <w:r w:rsidR="00A445A4">
        <w:rPr>
          <w:lang w:val="en-GB" w:eastAsia="en-US"/>
        </w:rPr>
        <w:t xml:space="preserve">There </w:t>
      </w:r>
      <w:proofErr w:type="gramStart"/>
      <w:r w:rsidR="00A445A4">
        <w:rPr>
          <w:lang w:val="en-GB" w:eastAsia="en-US"/>
        </w:rPr>
        <w:t>is</w:t>
      </w:r>
      <w:proofErr w:type="gramEnd"/>
      <w:r w:rsidR="00A445A4">
        <w:rPr>
          <w:lang w:val="en-GB" w:eastAsia="en-US"/>
        </w:rPr>
        <w:t xml:space="preserve"> always ways to mitigate the impact, </w:t>
      </w:r>
      <w:r w:rsidR="002E0A7F">
        <w:rPr>
          <w:lang w:val="en-GB" w:eastAsia="en-US"/>
        </w:rPr>
        <w:t xml:space="preserve">e.g. to use different state </w:t>
      </w:r>
      <w:r w:rsidR="00CA6BBB">
        <w:rPr>
          <w:lang w:val="en-GB" w:eastAsia="en-US"/>
        </w:rPr>
        <w:t xml:space="preserve">of HARQ-ACK resource for HARQ feedback enabling/disabling for different UE, so that less restriction from network side as </w:t>
      </w:r>
      <w:r w:rsidR="0036369B">
        <w:rPr>
          <w:lang w:val="en-GB" w:eastAsia="en-US"/>
        </w:rPr>
        <w:t>still all states of HARQ-ACK resource states can be used by network</w:t>
      </w:r>
      <w:r w:rsidR="00B014F7">
        <w:rPr>
          <w:lang w:val="en-GB" w:eastAsia="en-US"/>
        </w:rPr>
        <w:t>. While</w:t>
      </w:r>
      <w:r w:rsidR="00957DAB">
        <w:rPr>
          <w:lang w:val="en-GB" w:eastAsia="en-US"/>
        </w:rPr>
        <w:t xml:space="preserve"> for option 2B, as </w:t>
      </w:r>
      <w:r w:rsidR="00225E1C">
        <w:rPr>
          <w:rFonts w:ascii="Calibri" w:eastAsia="Calibri" w:hAnsi="Calibri" w:cs="Calibri"/>
          <w:lang w:val="en-GB"/>
        </w:rPr>
        <w:t>the</w:t>
      </w:r>
      <w:r w:rsidR="00225E1C" w:rsidRPr="494F3B94">
        <w:rPr>
          <w:rFonts w:ascii="Calibri" w:eastAsia="Calibri" w:hAnsi="Calibri" w:cs="Calibri"/>
          <w:lang w:val="en-GB"/>
        </w:rPr>
        <w:t xml:space="preserve"> channel status of IoT NTN</w:t>
      </w:r>
      <w:r w:rsidR="00225E1C">
        <w:rPr>
          <w:rFonts w:ascii="Calibri" w:eastAsia="Calibri" w:hAnsi="Calibri" w:cs="Calibri"/>
          <w:lang w:val="en-GB"/>
        </w:rPr>
        <w:t xml:space="preserve"> for one UE</w:t>
      </w:r>
      <w:r w:rsidR="00225E1C" w:rsidRPr="494F3B94">
        <w:rPr>
          <w:rFonts w:ascii="Calibri" w:eastAsia="Calibri" w:hAnsi="Calibri" w:cs="Calibri"/>
          <w:lang w:val="en-GB"/>
        </w:rPr>
        <w:t xml:space="preserve"> will not change </w:t>
      </w:r>
      <w:r w:rsidR="00225E1C">
        <w:rPr>
          <w:rFonts w:ascii="Calibri" w:eastAsia="Calibri" w:hAnsi="Calibri" w:cs="Calibri"/>
          <w:lang w:val="en-GB"/>
        </w:rPr>
        <w:t>significantly</w:t>
      </w:r>
      <w:r w:rsidR="00225E1C" w:rsidRPr="494F3B94">
        <w:rPr>
          <w:rFonts w:ascii="Calibri" w:eastAsia="Calibri" w:hAnsi="Calibri" w:cs="Calibri"/>
          <w:lang w:val="en-GB"/>
        </w:rPr>
        <w:t xml:space="preserve"> </w:t>
      </w:r>
      <w:r w:rsidR="00225E1C">
        <w:rPr>
          <w:rFonts w:ascii="Calibri" w:eastAsia="Calibri" w:hAnsi="Calibri" w:cs="Calibri"/>
          <w:lang w:val="en-GB"/>
        </w:rPr>
        <w:t>but</w:t>
      </w:r>
      <w:r w:rsidR="00225E1C" w:rsidRPr="494F3B94">
        <w:rPr>
          <w:rFonts w:ascii="Calibri" w:eastAsia="Calibri" w:hAnsi="Calibri" w:cs="Calibri"/>
          <w:lang w:val="en-GB"/>
        </w:rPr>
        <w:t xml:space="preserve"> </w:t>
      </w:r>
      <w:r w:rsidR="00225E1C">
        <w:rPr>
          <w:rFonts w:ascii="Calibri" w:eastAsia="Calibri" w:hAnsi="Calibri" w:cs="Calibri"/>
          <w:lang w:val="en-GB"/>
        </w:rPr>
        <w:t>rather</w:t>
      </w:r>
      <w:r w:rsidR="00225E1C" w:rsidRPr="494F3B94">
        <w:rPr>
          <w:rFonts w:ascii="Calibri" w:eastAsia="Calibri" w:hAnsi="Calibri" w:cs="Calibri"/>
          <w:lang w:val="en-GB"/>
        </w:rPr>
        <w:t xml:space="preserve"> stable </w:t>
      </w:r>
      <w:r w:rsidR="00225E1C">
        <w:rPr>
          <w:rFonts w:ascii="Calibri" w:eastAsia="Calibri" w:hAnsi="Calibri" w:cs="Calibri"/>
          <w:lang w:val="en-GB"/>
        </w:rPr>
        <w:t>over</w:t>
      </w:r>
      <w:r w:rsidR="00225E1C" w:rsidRPr="494F3B94">
        <w:rPr>
          <w:rFonts w:ascii="Calibri" w:eastAsia="Calibri" w:hAnsi="Calibri" w:cs="Calibri"/>
          <w:lang w:val="en-GB"/>
        </w:rPr>
        <w:t xml:space="preserve"> time due to most of the UE are </w:t>
      </w:r>
      <w:r w:rsidR="00225E1C">
        <w:rPr>
          <w:rFonts w:ascii="Calibri" w:eastAsia="Calibri" w:hAnsi="Calibri" w:cs="Calibri"/>
          <w:lang w:val="en-GB"/>
        </w:rPr>
        <w:t>in</w:t>
      </w:r>
      <w:r w:rsidR="00225E1C" w:rsidRPr="494F3B94">
        <w:rPr>
          <w:rFonts w:ascii="Calibri" w:eastAsia="Calibri" w:hAnsi="Calibri" w:cs="Calibri"/>
          <w:lang w:val="en-GB"/>
        </w:rPr>
        <w:t xml:space="preserve"> low mobility</w:t>
      </w:r>
      <w:r w:rsidR="00225E1C">
        <w:rPr>
          <w:rFonts w:ascii="Calibri" w:eastAsia="Calibri" w:hAnsi="Calibri" w:cs="Calibri"/>
          <w:lang w:val="en-GB"/>
        </w:rPr>
        <w:t xml:space="preserve"> and </w:t>
      </w:r>
      <w:proofErr w:type="spellStart"/>
      <w:r w:rsidR="00225E1C">
        <w:rPr>
          <w:rFonts w:ascii="Calibri" w:eastAsia="Calibri" w:hAnsi="Calibri" w:cs="Calibri"/>
          <w:lang w:val="en-GB"/>
        </w:rPr>
        <w:t>LoS</w:t>
      </w:r>
      <w:proofErr w:type="spellEnd"/>
      <w:r w:rsidR="00225E1C">
        <w:rPr>
          <w:rFonts w:ascii="Calibri" w:eastAsia="Calibri" w:hAnsi="Calibri" w:cs="Calibri"/>
          <w:lang w:val="en-GB"/>
        </w:rPr>
        <w:t xml:space="preserve"> condition time. The field value in MCS</w:t>
      </w:r>
      <w:r w:rsidR="00577350">
        <w:rPr>
          <w:rFonts w:ascii="Calibri" w:eastAsia="Calibri" w:hAnsi="Calibri" w:cs="Calibri"/>
          <w:lang w:val="en-GB"/>
        </w:rPr>
        <w:t xml:space="preserve"> or</w:t>
      </w:r>
      <w:r w:rsidR="00225E1C">
        <w:rPr>
          <w:rFonts w:ascii="Calibri" w:eastAsia="Calibri" w:hAnsi="Calibri" w:cs="Calibri"/>
          <w:lang w:val="en-GB"/>
        </w:rPr>
        <w:t xml:space="preserve"> repetition number will be only change within a </w:t>
      </w:r>
      <w:r w:rsidR="00436095">
        <w:rPr>
          <w:rFonts w:ascii="Calibri" w:eastAsia="Calibri" w:hAnsi="Calibri" w:cs="Calibri"/>
          <w:lang w:val="en-GB"/>
        </w:rPr>
        <w:t xml:space="preserve">very </w:t>
      </w:r>
      <w:r w:rsidR="00225E1C">
        <w:rPr>
          <w:rFonts w:ascii="Calibri" w:eastAsia="Calibri" w:hAnsi="Calibri" w:cs="Calibri"/>
          <w:lang w:val="en-GB"/>
        </w:rPr>
        <w:t>small range of values for one UE</w:t>
      </w:r>
      <w:r w:rsidR="0079634B">
        <w:rPr>
          <w:rFonts w:ascii="Calibri" w:eastAsia="Calibri" w:hAnsi="Calibri" w:cs="Calibri"/>
          <w:lang w:val="en-GB"/>
        </w:rPr>
        <w:t xml:space="preserve"> in IoT NTN</w:t>
      </w:r>
      <w:r w:rsidR="00225E1C">
        <w:rPr>
          <w:rFonts w:ascii="Calibri" w:eastAsia="Calibri" w:hAnsi="Calibri" w:cs="Calibri"/>
          <w:lang w:val="en-GB"/>
        </w:rPr>
        <w:t>, while the entire parameter value sets are for all UE in the cell coverage with different channel status.</w:t>
      </w:r>
      <w:r w:rsidR="00225E1C">
        <w:rPr>
          <w:lang w:val="en-GB" w:eastAsia="en-US"/>
        </w:rPr>
        <w:t xml:space="preserve"> This redundancy in DCI design can be used to indicate HARQ feedback disabling/enabling, </w:t>
      </w:r>
      <w:proofErr w:type="gramStart"/>
      <w:r w:rsidR="00225E1C">
        <w:rPr>
          <w:lang w:val="en-GB" w:eastAsia="en-US"/>
        </w:rPr>
        <w:t>e.g.</w:t>
      </w:r>
      <w:proofErr w:type="gramEnd"/>
      <w:r w:rsidR="00225E1C">
        <w:rPr>
          <w:lang w:val="en-GB" w:eastAsia="en-US"/>
        </w:rPr>
        <w:t xml:space="preserve"> one bit in </w:t>
      </w:r>
      <w:proofErr w:type="spellStart"/>
      <w:r w:rsidR="00225E1C">
        <w:rPr>
          <w:lang w:val="en-GB" w:eastAsia="en-US"/>
        </w:rPr>
        <w:t>a</w:t>
      </w:r>
      <w:proofErr w:type="spellEnd"/>
      <w:r w:rsidR="00225E1C">
        <w:rPr>
          <w:lang w:val="en-GB" w:eastAsia="en-US"/>
        </w:rPr>
        <w:t xml:space="preserve"> existing field</w:t>
      </w:r>
      <w:r w:rsidR="00F72442">
        <w:rPr>
          <w:lang w:val="en-GB" w:eastAsia="en-US"/>
        </w:rPr>
        <w:t xml:space="preserve"> (e.g. MCS or repetition number)</w:t>
      </w:r>
      <w:r w:rsidR="00225E1C">
        <w:rPr>
          <w:lang w:val="en-GB" w:eastAsia="en-US"/>
        </w:rPr>
        <w:t xml:space="preserve"> of the DCI can be dedicated to the indication of HARQ feedback enabled/disabled.</w:t>
      </w:r>
      <w:r w:rsidR="000A7235">
        <w:rPr>
          <w:lang w:val="en-GB" w:eastAsia="en-US"/>
        </w:rPr>
        <w:t xml:space="preserve"> Additionally, </w:t>
      </w:r>
      <w:r w:rsidR="00067EDF">
        <w:rPr>
          <w:lang w:val="en-GB" w:eastAsia="en-US"/>
        </w:rPr>
        <w:t xml:space="preserve">to consider a common design for DL HARQ feedback enabling/disabling and UL HARQ mode A/B, it is good to </w:t>
      </w:r>
      <w:r w:rsidR="005C2D0B">
        <w:rPr>
          <w:lang w:val="en-GB" w:eastAsia="en-US"/>
        </w:rPr>
        <w:t xml:space="preserve">use common existing field, </w:t>
      </w:r>
      <w:proofErr w:type="gramStart"/>
      <w:r w:rsidR="005C2D0B">
        <w:rPr>
          <w:lang w:val="en-GB" w:eastAsia="en-US"/>
        </w:rPr>
        <w:t>e.g.</w:t>
      </w:r>
      <w:proofErr w:type="gramEnd"/>
      <w:r w:rsidR="005C2D0B">
        <w:rPr>
          <w:lang w:val="en-GB" w:eastAsia="en-US"/>
        </w:rPr>
        <w:t xml:space="preserve"> MCS or repetition number</w:t>
      </w:r>
      <w:r w:rsidR="005D3AEC">
        <w:rPr>
          <w:lang w:val="en-GB" w:eastAsia="en-US"/>
        </w:rPr>
        <w:t xml:space="preserve"> as they are in both DCI for PDSCH and DCI for PUSCH</w:t>
      </w:r>
      <w:r w:rsidR="005C2D0B">
        <w:rPr>
          <w:lang w:val="en-GB" w:eastAsia="en-US"/>
        </w:rPr>
        <w:t>.</w:t>
      </w:r>
      <w:r w:rsidR="00225E1C">
        <w:rPr>
          <w:lang w:val="en-GB" w:eastAsia="en-US"/>
        </w:rPr>
        <w:t xml:space="preserve"> </w:t>
      </w:r>
      <w:r w:rsidR="00433BB9">
        <w:rPr>
          <w:lang w:val="en-GB" w:eastAsia="en-US"/>
        </w:rPr>
        <w:t xml:space="preserve"> </w:t>
      </w:r>
    </w:p>
    <w:p w14:paraId="5A9C6C69" w14:textId="2C925695" w:rsidR="00FE7310" w:rsidRDefault="00830F77" w:rsidP="001D4438">
      <w:pPr>
        <w:rPr>
          <w:b/>
          <w:bCs/>
          <w:lang w:val="en-GB" w:eastAsia="en-US"/>
        </w:rPr>
      </w:pPr>
      <w:r>
        <w:rPr>
          <w:b/>
          <w:bCs/>
          <w:lang w:val="en-GB" w:eastAsia="en-US"/>
        </w:rPr>
        <w:t>Observation</w:t>
      </w:r>
      <w:r w:rsidR="00A6116A">
        <w:rPr>
          <w:b/>
          <w:bCs/>
          <w:lang w:val="en-GB" w:eastAsia="en-US"/>
        </w:rPr>
        <w:t xml:space="preserve"> </w:t>
      </w:r>
      <w:r w:rsidR="00D96B43">
        <w:rPr>
          <w:b/>
          <w:bCs/>
          <w:lang w:val="en-GB" w:eastAsia="en-US"/>
        </w:rPr>
        <w:t>1</w:t>
      </w:r>
      <w:r w:rsidR="00A6116A">
        <w:rPr>
          <w:b/>
          <w:bCs/>
          <w:lang w:val="en-GB" w:eastAsia="en-US"/>
        </w:rPr>
        <w:t>: Option 1 in DCI to indicate HARQ feedback enabling/disabling, is simple</w:t>
      </w:r>
      <w:r w:rsidR="003B700F">
        <w:rPr>
          <w:b/>
          <w:bCs/>
          <w:lang w:val="en-GB" w:eastAsia="en-US"/>
        </w:rPr>
        <w:t xml:space="preserve"> and no impact to other field of DC</w:t>
      </w:r>
      <w:r w:rsidR="00B41093">
        <w:rPr>
          <w:b/>
          <w:bCs/>
          <w:lang w:val="en-GB" w:eastAsia="en-US"/>
        </w:rPr>
        <w:t>I</w:t>
      </w:r>
      <w:r w:rsidR="003B700F">
        <w:rPr>
          <w:b/>
          <w:bCs/>
          <w:lang w:val="en-GB" w:eastAsia="en-US"/>
        </w:rPr>
        <w:t xml:space="preserve">, but it </w:t>
      </w:r>
      <w:proofErr w:type="gramStart"/>
      <w:r w:rsidR="003B700F">
        <w:rPr>
          <w:b/>
          <w:bCs/>
          <w:lang w:val="en-GB" w:eastAsia="en-US"/>
        </w:rPr>
        <w:t>need</w:t>
      </w:r>
      <w:proofErr w:type="gramEnd"/>
      <w:r w:rsidR="003B700F">
        <w:rPr>
          <w:b/>
          <w:bCs/>
          <w:lang w:val="en-GB" w:eastAsia="en-US"/>
        </w:rPr>
        <w:t xml:space="preserve"> UE to support more DCI size for case when UE is configured or not configured with dynamic HARQ feedback enabling/disabling</w:t>
      </w:r>
      <w:r w:rsidR="00302A20">
        <w:rPr>
          <w:b/>
          <w:bCs/>
          <w:lang w:val="en-GB" w:eastAsia="en-US"/>
        </w:rPr>
        <w:t xml:space="preserve"> and some minor impact on DCI decoding performance.</w:t>
      </w:r>
    </w:p>
    <w:p w14:paraId="2901AD5F" w14:textId="5DD20B64" w:rsidR="00830F77" w:rsidRDefault="00830F77" w:rsidP="001D4438">
      <w:pPr>
        <w:rPr>
          <w:b/>
          <w:bCs/>
          <w:lang w:val="en-GB" w:eastAsia="en-US"/>
        </w:rPr>
      </w:pPr>
      <w:r>
        <w:rPr>
          <w:b/>
          <w:bCs/>
          <w:lang w:val="en-GB" w:eastAsia="en-US"/>
        </w:rPr>
        <w:t>Observation</w:t>
      </w:r>
      <w:r w:rsidR="00D96B43">
        <w:rPr>
          <w:b/>
          <w:bCs/>
          <w:lang w:val="en-GB" w:eastAsia="en-US"/>
        </w:rPr>
        <w:t xml:space="preserve"> 2</w:t>
      </w:r>
      <w:r w:rsidR="00302A20">
        <w:rPr>
          <w:b/>
          <w:bCs/>
          <w:lang w:val="en-GB" w:eastAsia="en-US"/>
        </w:rPr>
        <w:t xml:space="preserve">: Option 2A in </w:t>
      </w:r>
      <w:r w:rsidR="00302A20">
        <w:rPr>
          <w:b/>
          <w:bCs/>
          <w:lang w:val="en-GB" w:eastAsia="en-US"/>
        </w:rPr>
        <w:t>DCI to indicate HARQ feedback enabling/disabling</w:t>
      </w:r>
      <w:r w:rsidR="00F31C3D">
        <w:rPr>
          <w:b/>
          <w:bCs/>
          <w:lang w:val="en-GB" w:eastAsia="en-US"/>
        </w:rPr>
        <w:t xml:space="preserve"> will not need new DCI </w:t>
      </w:r>
      <w:proofErr w:type="gramStart"/>
      <w:r w:rsidR="00F31C3D">
        <w:rPr>
          <w:b/>
          <w:bCs/>
          <w:lang w:val="en-GB" w:eastAsia="en-US"/>
        </w:rPr>
        <w:t>size</w:t>
      </w:r>
      <w:proofErr w:type="gramEnd"/>
      <w:r w:rsidR="00F31C3D">
        <w:rPr>
          <w:b/>
          <w:bCs/>
          <w:lang w:val="en-GB" w:eastAsia="en-US"/>
        </w:rPr>
        <w:t xml:space="preserve"> but it</w:t>
      </w:r>
      <w:r w:rsidR="006740D3">
        <w:rPr>
          <w:b/>
          <w:bCs/>
          <w:lang w:val="en-GB" w:eastAsia="en-US"/>
        </w:rPr>
        <w:t xml:space="preserve"> should consider different state used for different UE to </w:t>
      </w:r>
      <w:r w:rsidR="007C2735">
        <w:rPr>
          <w:b/>
          <w:bCs/>
          <w:lang w:val="en-GB" w:eastAsia="en-US"/>
        </w:rPr>
        <w:t>reduce</w:t>
      </w:r>
      <w:r w:rsidR="006740D3">
        <w:rPr>
          <w:b/>
          <w:bCs/>
          <w:lang w:val="en-GB" w:eastAsia="en-US"/>
        </w:rPr>
        <w:t xml:space="preserve"> </w:t>
      </w:r>
      <w:r w:rsidR="007C2735">
        <w:rPr>
          <w:b/>
          <w:bCs/>
          <w:lang w:val="en-GB" w:eastAsia="en-US"/>
        </w:rPr>
        <w:t>restriction on scheduling flexibility and HARQ=ACK resource utilization.</w:t>
      </w:r>
    </w:p>
    <w:p w14:paraId="0C2B5F54" w14:textId="5E0BE3B4" w:rsidR="00830F77" w:rsidRPr="00F31C3D" w:rsidRDefault="00830F77" w:rsidP="001D4438">
      <w:pPr>
        <w:rPr>
          <w:b/>
          <w:bCs/>
          <w:lang w:val="en-GB" w:eastAsia="en-US"/>
        </w:rPr>
      </w:pPr>
      <w:r>
        <w:rPr>
          <w:b/>
          <w:bCs/>
          <w:lang w:val="en-GB" w:eastAsia="en-US"/>
        </w:rPr>
        <w:t>Observation</w:t>
      </w:r>
      <w:r w:rsidR="00F31C3D">
        <w:rPr>
          <w:b/>
          <w:bCs/>
          <w:lang w:val="en-GB" w:eastAsia="en-US"/>
        </w:rPr>
        <w:t xml:space="preserve"> </w:t>
      </w:r>
      <w:r w:rsidR="00D96B43">
        <w:rPr>
          <w:b/>
          <w:bCs/>
          <w:lang w:val="en-GB" w:eastAsia="en-US"/>
        </w:rPr>
        <w:t>3</w:t>
      </w:r>
      <w:r w:rsidR="00F31C3D">
        <w:rPr>
          <w:b/>
          <w:bCs/>
          <w:lang w:val="en-GB" w:eastAsia="en-US"/>
        </w:rPr>
        <w:t xml:space="preserve">: Option 2B in </w:t>
      </w:r>
      <w:r w:rsidR="00F31C3D">
        <w:rPr>
          <w:b/>
          <w:bCs/>
          <w:lang w:val="en-GB" w:eastAsia="en-US"/>
        </w:rPr>
        <w:t>DCI to indicate HARQ feedback enabling/disabling</w:t>
      </w:r>
      <w:r w:rsidR="00D810CE">
        <w:rPr>
          <w:b/>
          <w:bCs/>
          <w:lang w:val="en-GB" w:eastAsia="en-US"/>
        </w:rPr>
        <w:t xml:space="preserve"> will not need new DCI size while it may not have </w:t>
      </w:r>
      <w:r w:rsidR="009E5CA7">
        <w:rPr>
          <w:b/>
          <w:bCs/>
          <w:lang w:val="en-GB" w:eastAsia="en-US"/>
        </w:rPr>
        <w:t xml:space="preserve">much restriction on scheduling as </w:t>
      </w:r>
      <w:r w:rsidR="00B41093">
        <w:rPr>
          <w:b/>
          <w:bCs/>
          <w:lang w:val="en-GB" w:eastAsia="en-US"/>
        </w:rPr>
        <w:t xml:space="preserve">per-UE MCS/repetition number will not change frequently in IoT NTN and </w:t>
      </w:r>
      <w:r w:rsidR="004E6852">
        <w:rPr>
          <w:b/>
          <w:bCs/>
          <w:lang w:val="en-GB" w:eastAsia="en-US"/>
        </w:rPr>
        <w:t xml:space="preserve">it can provide common design for </w:t>
      </w:r>
      <w:r w:rsidR="00994498">
        <w:rPr>
          <w:b/>
          <w:bCs/>
          <w:lang w:val="en-GB" w:eastAsia="en-US"/>
        </w:rPr>
        <w:t>DL feedback enabling/disabling and UL HARQ mode A/B.</w:t>
      </w:r>
    </w:p>
    <w:p w14:paraId="6157573E" w14:textId="000C399B" w:rsidR="00830F77" w:rsidRDefault="00E43296" w:rsidP="001D4438">
      <w:pPr>
        <w:rPr>
          <w:b/>
          <w:bCs/>
          <w:lang w:val="en-GB" w:eastAsia="en-US"/>
        </w:rPr>
      </w:pPr>
      <w:r>
        <w:rPr>
          <w:rFonts w:ascii="Calibri" w:eastAsia="Calibri" w:hAnsi="Calibri" w:cs="Calibri"/>
          <w:lang w:val="en-GB"/>
        </w:rPr>
        <w:t xml:space="preserve">Considering the proposed options, we prefer either Option 1 or Option 2A with UE specific state for HARQ feedback disabling or </w:t>
      </w:r>
      <w:proofErr w:type="spellStart"/>
      <w:r>
        <w:rPr>
          <w:rFonts w:ascii="Calibri" w:eastAsia="Calibri" w:hAnsi="Calibri" w:cs="Calibri"/>
          <w:lang w:val="en-GB"/>
        </w:rPr>
        <w:t>Optoin</w:t>
      </w:r>
      <w:proofErr w:type="spellEnd"/>
      <w:r>
        <w:rPr>
          <w:rFonts w:ascii="Calibri" w:eastAsia="Calibri" w:hAnsi="Calibri" w:cs="Calibri"/>
          <w:lang w:val="en-GB"/>
        </w:rPr>
        <w:t xml:space="preserve"> 2B.</w:t>
      </w:r>
    </w:p>
    <w:p w14:paraId="0866F38B" w14:textId="362172FC" w:rsidR="001D4438" w:rsidRDefault="001D4438" w:rsidP="001D4438">
      <w:pPr>
        <w:rPr>
          <w:b/>
          <w:bCs/>
          <w:lang w:val="en-GB" w:eastAsia="en-US"/>
        </w:rPr>
      </w:pPr>
      <w:r>
        <w:rPr>
          <w:b/>
          <w:bCs/>
          <w:lang w:val="en-GB" w:eastAsia="en-US"/>
        </w:rPr>
        <w:t>Proposal 2: For DCI-based direct indication, support Option 1 (by adding one field) or Option 2</w:t>
      </w:r>
      <w:proofErr w:type="gramStart"/>
      <w:r>
        <w:rPr>
          <w:b/>
          <w:bCs/>
          <w:lang w:val="en-GB" w:eastAsia="en-US"/>
        </w:rPr>
        <w:t xml:space="preserve">A </w:t>
      </w:r>
      <w:r w:rsidR="00421D2D">
        <w:rPr>
          <w:b/>
          <w:bCs/>
          <w:lang w:val="en-GB" w:eastAsia="en-US"/>
        </w:rPr>
        <w:t xml:space="preserve"> or</w:t>
      </w:r>
      <w:proofErr w:type="gramEnd"/>
      <w:r w:rsidR="00421D2D">
        <w:rPr>
          <w:b/>
          <w:bCs/>
          <w:lang w:val="en-GB" w:eastAsia="en-US"/>
        </w:rPr>
        <w:t xml:space="preserve"> Option 2B</w:t>
      </w:r>
      <w:r>
        <w:rPr>
          <w:b/>
          <w:bCs/>
          <w:lang w:val="en-GB" w:eastAsia="en-US"/>
        </w:rPr>
        <w:t>.</w:t>
      </w:r>
    </w:p>
    <w:p w14:paraId="5F1EF8F7" w14:textId="37E343C3" w:rsidR="00F5546B" w:rsidRDefault="00D35DBC" w:rsidP="00C83E44">
      <w:pPr>
        <w:spacing w:before="120" w:line="257" w:lineRule="auto"/>
        <w:jc w:val="both"/>
        <w:rPr>
          <w:lang w:val="en-GB" w:eastAsia="en-US"/>
        </w:rPr>
      </w:pPr>
      <w:r>
        <w:rPr>
          <w:b/>
          <w:bCs/>
          <w:lang w:val="en-GB" w:eastAsia="en-US"/>
        </w:rPr>
        <w:t xml:space="preserve">Proposal 3: </w:t>
      </w:r>
      <w:r w:rsidR="001D4438">
        <w:rPr>
          <w:b/>
          <w:bCs/>
          <w:lang w:val="en-GB" w:eastAsia="en-US"/>
        </w:rPr>
        <w:t xml:space="preserve">For Option 2A, the </w:t>
      </w:r>
      <w:r>
        <w:rPr>
          <w:b/>
          <w:bCs/>
          <w:lang w:val="en-GB" w:eastAsia="en-US"/>
        </w:rPr>
        <w:t>HARQ-ACK resource state for HARQ feedback disable indication should be UE specific so as not to limit the network’s HARQ-ACK resource availability.</w:t>
      </w:r>
      <w:bookmarkStart w:id="1" w:name="_Hlk87092729"/>
    </w:p>
    <w:p w14:paraId="01910F55" w14:textId="78224118" w:rsidR="00A120E1" w:rsidRDefault="007D3767" w:rsidP="005C57B4">
      <w:pPr>
        <w:pStyle w:val="Caption"/>
        <w:spacing w:before="240" w:after="60" w:line="240" w:lineRule="auto"/>
        <w:jc w:val="center"/>
        <w:rPr>
          <w:lang w:val="en-GB" w:eastAsia="en-US"/>
        </w:rPr>
      </w:pPr>
      <w:r>
        <w:rPr>
          <w:lang w:val="en-GB" w:eastAsia="en-US"/>
        </w:rPr>
        <w:t>Table 1. DCI format 6-1B for CE Mode B PDSCH scheduling</w:t>
      </w:r>
    </w:p>
    <w:tbl>
      <w:tblPr>
        <w:tblW w:w="6237" w:type="dxa"/>
        <w:jc w:val="center"/>
        <w:tblCellMar>
          <w:left w:w="0" w:type="dxa"/>
          <w:right w:w="0" w:type="dxa"/>
        </w:tblCellMar>
        <w:tblLook w:val="0600" w:firstRow="0" w:lastRow="0" w:firstColumn="0" w:lastColumn="0" w:noHBand="1" w:noVBand="1"/>
      </w:tblPr>
      <w:tblGrid>
        <w:gridCol w:w="4106"/>
        <w:gridCol w:w="2131"/>
      </w:tblGrid>
      <w:tr w:rsidR="00A120E1" w:rsidRPr="00A120E1" w14:paraId="2343E64C" w14:textId="77777777" w:rsidTr="004D0672">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131EC51"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DCI format 6-1B for PDSCH scheduling</w:t>
            </w:r>
          </w:p>
        </w:tc>
      </w:tr>
      <w:tr w:rsidR="00A120E1" w:rsidRPr="00A120E1" w14:paraId="107143F2"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EE6C9A6" w14:textId="77777777" w:rsidR="00A120E1" w:rsidRPr="00A120E1" w:rsidRDefault="00A120E1" w:rsidP="00A120E1">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Field</w:t>
            </w:r>
          </w:p>
        </w:tc>
        <w:tc>
          <w:tcPr>
            <w:tcW w:w="213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6D2CF8D" w14:textId="77777777" w:rsidR="00A120E1" w:rsidRPr="00A120E1" w:rsidRDefault="00A120E1" w:rsidP="00A120E1">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Size (bits)</w:t>
            </w:r>
          </w:p>
        </w:tc>
      </w:tr>
      <w:tr w:rsidR="00A120E1" w:rsidRPr="00A120E1" w14:paraId="7CE18702" w14:textId="77777777" w:rsidTr="004D0672">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44847CB"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Flag for 6-0B/6-1B differentiation</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3F72F61"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16AEF7E5"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30551B5"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lastRenderedPageBreak/>
              <w:t>MCS</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E1C81D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4</w:t>
            </w:r>
          </w:p>
        </w:tc>
      </w:tr>
      <w:tr w:rsidR="00A120E1" w:rsidRPr="00A120E1" w14:paraId="01C9C350" w14:textId="77777777" w:rsidTr="004D0672">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168C24A"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Resource block assignment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AF27044" w14:textId="77777777" w:rsidR="00A120E1" w:rsidRPr="00A120E1" w:rsidRDefault="00A120E1" w:rsidP="00A120E1">
            <w:pPr>
              <w:spacing w:after="0" w:line="240" w:lineRule="auto"/>
              <w:jc w:val="center"/>
              <w:textAlignment w:val="bottom"/>
              <w:rPr>
                <w:rFonts w:ascii="Calibri" w:eastAsia="宋体" w:hAnsi="Calibri" w:cs="Calibri"/>
                <w:color w:val="000000"/>
                <w:kern w:val="24"/>
                <w:lang w:eastAsia="ja-JP"/>
              </w:rPr>
            </w:pPr>
            <w:r w:rsidRPr="00A120E1">
              <w:rPr>
                <w:rFonts w:ascii="Arial" w:eastAsia="宋体" w:hAnsi="Arial" w:cs="Times New Roman"/>
                <w:noProof/>
                <w:position w:val="-32"/>
                <w:lang w:val="en-GB" w:eastAsia="en-US"/>
              </w:rPr>
              <w:drawing>
                <wp:inline distT="0" distB="0" distL="0" distR="0" wp14:anchorId="739E9DD3" wp14:editId="27198EC1">
                  <wp:extent cx="776605" cy="474345"/>
                  <wp:effectExtent l="0" t="0" r="444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6605" cy="474345"/>
                          </a:xfrm>
                          <a:prstGeom prst="rect">
                            <a:avLst/>
                          </a:prstGeom>
                          <a:noFill/>
                          <a:ln>
                            <a:noFill/>
                          </a:ln>
                        </pic:spPr>
                      </pic:pic>
                    </a:graphicData>
                  </a:graphic>
                </wp:inline>
              </w:drawing>
            </w:r>
            <w:r w:rsidRPr="00A120E1">
              <w:rPr>
                <w:rFonts w:ascii="Calibri" w:eastAsia="宋体" w:hAnsi="Calibri" w:cs="Calibri"/>
                <w:lang w:val="en-GB" w:eastAsia="en-US"/>
              </w:rPr>
              <w:t>+1</w:t>
            </w:r>
          </w:p>
        </w:tc>
      </w:tr>
      <w:tr w:rsidR="00A120E1" w:rsidRPr="00A120E1" w14:paraId="3F4C370B"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456890A"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6D40838"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3</w:t>
            </w:r>
          </w:p>
        </w:tc>
      </w:tr>
      <w:tr w:rsidR="00A120E1" w:rsidRPr="00A120E1" w14:paraId="234E3025"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9E86DA5"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 process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4C34C2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30F0D597"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999AE19"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NDI</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7B8A077"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A120E1" w:rsidRPr="00A120E1" w14:paraId="0F6C9898"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23ECBF6"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HARQ-ACK resource offset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E23687E"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A120E1" w:rsidRPr="00A120E1" w14:paraId="5BFD2E71" w14:textId="77777777" w:rsidTr="004D0672">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426CB7F" w14:textId="77777777" w:rsidR="00A120E1" w:rsidRPr="00A120E1" w:rsidRDefault="00A120E1" w:rsidP="00A120E1">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DCI subframe 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F599D87" w14:textId="77777777" w:rsidR="00A120E1" w:rsidRPr="00A120E1" w:rsidRDefault="00A120E1" w:rsidP="00A120E1">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A120E1" w:rsidRPr="00A120E1" w14:paraId="57084728" w14:textId="77777777" w:rsidTr="004D0672">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1AEB7C32" w14:textId="77777777" w:rsidR="00A120E1" w:rsidRPr="00A120E1" w:rsidRDefault="00A120E1" w:rsidP="00A120E1">
            <w:pPr>
              <w:spacing w:before="60" w:after="60" w:line="240" w:lineRule="auto"/>
              <w:ind w:left="113"/>
              <w:jc w:val="both"/>
              <w:textAlignment w:val="bottom"/>
              <w:rPr>
                <w:rFonts w:ascii="Calibri" w:eastAsia="宋体" w:hAnsi="Calibri" w:cs="Calibri"/>
                <w:color w:val="000000"/>
                <w:kern w:val="24"/>
                <w:lang w:eastAsia="ja-JP"/>
              </w:rPr>
            </w:pPr>
            <w:r w:rsidRPr="00A120E1">
              <w:rPr>
                <w:rFonts w:ascii="Calibri" w:eastAsia="宋体" w:hAnsi="Calibri" w:cs="Calibri"/>
                <w:color w:val="000000"/>
                <w:kern w:val="24"/>
                <w:lang w:eastAsia="ja-JP"/>
              </w:rPr>
              <w:t>Note:</w:t>
            </w:r>
            <w:r w:rsidRPr="00A120E1">
              <w:rPr>
                <w:rFonts w:ascii="Times New Roman" w:eastAsia="宋体" w:hAnsi="Times New Roman" w:cs="Times New Roman"/>
                <w:color w:val="000000"/>
                <w:kern w:val="24"/>
                <w:lang w:eastAsia="ja-JP"/>
              </w:rPr>
              <w:t xml:space="preserve"> </w:t>
            </w:r>
            <m:oMath>
              <m:sSubSup>
                <m:sSubSupPr>
                  <m:ctrlPr>
                    <w:rPr>
                      <w:rFonts w:ascii="Cambria Math" w:eastAsia="宋体" w:hAnsi="Cambria Math" w:cs="Calibri"/>
                      <w:i/>
                      <w:color w:val="000000"/>
                      <w:kern w:val="24"/>
                      <w:lang w:eastAsia="ja-JP"/>
                    </w:rPr>
                  </m:ctrlPr>
                </m:sSubSupPr>
                <m:e>
                  <m:r>
                    <w:rPr>
                      <w:rFonts w:ascii="Cambria Math" w:eastAsia="宋体" w:hAnsi="Cambria Math" w:cs="Calibri"/>
                      <w:color w:val="000000"/>
                      <w:kern w:val="24"/>
                      <w:lang w:eastAsia="ja-JP"/>
                    </w:rPr>
                    <m:t>N</m:t>
                  </m:r>
                </m:e>
                <m:sub>
                  <m:r>
                    <w:rPr>
                      <w:rFonts w:ascii="Cambria Math" w:eastAsia="宋体" w:hAnsi="Cambria Math" w:cs="Calibri"/>
                      <w:color w:val="000000"/>
                      <w:kern w:val="24"/>
                      <w:lang w:eastAsia="ja-JP"/>
                    </w:rPr>
                    <m:t>RB</m:t>
                  </m:r>
                </m:sub>
                <m:sup>
                  <m:r>
                    <w:rPr>
                      <w:rFonts w:ascii="Cambria Math" w:eastAsia="宋体" w:hAnsi="Cambria Math" w:cs="Calibri"/>
                      <w:color w:val="000000"/>
                      <w:kern w:val="24"/>
                      <w:lang w:eastAsia="ja-JP"/>
                    </w:rPr>
                    <m:t>DL</m:t>
                  </m:r>
                </m:sup>
              </m:sSubSup>
            </m:oMath>
            <w:r w:rsidRPr="00A120E1">
              <w:rPr>
                <w:rFonts w:ascii="Calibri" w:eastAsia="宋体" w:hAnsi="Calibri" w:cs="Calibri"/>
                <w:color w:val="000000"/>
                <w:kern w:val="24"/>
                <w:lang w:eastAsia="ja-JP"/>
              </w:rPr>
              <w:t xml:space="preserve"> is the allocated number of resource blocks.</w:t>
            </w:r>
          </w:p>
        </w:tc>
      </w:tr>
    </w:tbl>
    <w:p w14:paraId="75F9DA98" w14:textId="2F1DD7F7" w:rsidR="00A120E1" w:rsidRDefault="005C57B4" w:rsidP="005C57B4">
      <w:pPr>
        <w:pStyle w:val="Caption"/>
        <w:spacing w:before="240" w:after="60" w:line="240" w:lineRule="auto"/>
        <w:jc w:val="center"/>
        <w:rPr>
          <w:lang w:val="en-GB" w:eastAsia="en-US"/>
        </w:rPr>
      </w:pPr>
      <w:r>
        <w:rPr>
          <w:lang w:val="en-GB" w:eastAsia="en-US"/>
        </w:rPr>
        <w:t>Table 2. DCI format N1 for NPDSCH scheduling</w:t>
      </w:r>
    </w:p>
    <w:tbl>
      <w:tblPr>
        <w:tblW w:w="4536" w:type="dxa"/>
        <w:jc w:val="center"/>
        <w:tblCellMar>
          <w:left w:w="0" w:type="dxa"/>
          <w:right w:w="0" w:type="dxa"/>
        </w:tblCellMar>
        <w:tblLook w:val="0600" w:firstRow="0" w:lastRow="0" w:firstColumn="0" w:lastColumn="0" w:noHBand="1" w:noVBand="1"/>
      </w:tblPr>
      <w:tblGrid>
        <w:gridCol w:w="3335"/>
        <w:gridCol w:w="1201"/>
      </w:tblGrid>
      <w:tr w:rsidR="00A120E1" w:rsidRPr="00A120E1" w14:paraId="020B6C6F" w14:textId="77777777" w:rsidTr="004D0672">
        <w:trPr>
          <w:trHeight w:val="300"/>
          <w:jc w:val="center"/>
        </w:trPr>
        <w:tc>
          <w:tcPr>
            <w:tcW w:w="12474"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1F00F032"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DCI format N1 for NPDSCH scheduling</w:t>
            </w:r>
          </w:p>
        </w:tc>
      </w:tr>
      <w:tr w:rsidR="00A120E1" w:rsidRPr="00A120E1" w14:paraId="49C777F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0B4B8FA1" w14:textId="77777777" w:rsidR="00A120E1" w:rsidRPr="00A120E1" w:rsidRDefault="00A120E1" w:rsidP="00A120E1">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Field</w:t>
            </w:r>
          </w:p>
        </w:tc>
        <w:tc>
          <w:tcPr>
            <w:tcW w:w="4179"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6CD1DAE5" w14:textId="77777777" w:rsidR="00A120E1" w:rsidRPr="00A120E1" w:rsidRDefault="00A120E1" w:rsidP="00A120E1">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Size (bits)</w:t>
            </w:r>
          </w:p>
        </w:tc>
      </w:tr>
      <w:tr w:rsidR="00A120E1" w:rsidRPr="00A120E1" w14:paraId="2D2B8DE9"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4534316"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Flag for N0/N1 differentiation</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941677B"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24152781"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AEFEE45"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NPDCCH order indicator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194C9F8"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4C2DF2F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9955BB"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Scheduling delay</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77AC6EB"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A120E1" w:rsidRPr="00A120E1" w14:paraId="0A60569C"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9D0015F"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Resource assignment</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BD16018"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A120E1" w:rsidRPr="00A120E1" w14:paraId="3C847B58"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CE742A4"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MCS</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EF4483F"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40FAD08D"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17CAC5F"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Repetition number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6ED8456"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4EEDAE3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11F8DFB"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NDI</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296D170"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A120E1" w:rsidRPr="00A120E1" w14:paraId="616FF45F"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F428AB2"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HARQ-ACK resource</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6CF800C"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A120E1" w:rsidRPr="00A120E1" w14:paraId="2A027BC2" w14:textId="77777777" w:rsidTr="004D0672">
        <w:trPr>
          <w:trHeight w:val="300"/>
          <w:jc w:val="center"/>
        </w:trPr>
        <w:tc>
          <w:tcPr>
            <w:tcW w:w="1247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EFEBA34" w14:textId="77777777" w:rsidR="00A120E1" w:rsidRPr="00A120E1" w:rsidRDefault="00A120E1" w:rsidP="00A120E1">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DCI subframe repetition number</w:t>
            </w:r>
          </w:p>
        </w:tc>
        <w:tc>
          <w:tcPr>
            <w:tcW w:w="417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D3A20A1" w14:textId="77777777" w:rsidR="00A120E1" w:rsidRPr="00A120E1" w:rsidRDefault="00A120E1" w:rsidP="00A120E1">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2</w:t>
            </w:r>
          </w:p>
        </w:tc>
      </w:tr>
    </w:tbl>
    <w:p w14:paraId="70484160" w14:textId="77777777" w:rsidR="00A120E1" w:rsidRPr="00A120E1" w:rsidRDefault="00A120E1" w:rsidP="00F75F28">
      <w:pPr>
        <w:rPr>
          <w:lang w:val="en-GB" w:eastAsia="en-US"/>
        </w:rPr>
      </w:pPr>
    </w:p>
    <w:p w14:paraId="6B6D17D9" w14:textId="1F364679" w:rsidR="0043116B" w:rsidRDefault="0043116B" w:rsidP="00EA50BA">
      <w:pPr>
        <w:pStyle w:val="Heading2"/>
      </w:pPr>
      <w:r>
        <w:t>NDI out of sync problem</w:t>
      </w:r>
    </w:p>
    <w:p w14:paraId="1371C355" w14:textId="07BA555C" w:rsidR="00A87C0B" w:rsidRDefault="00A87C0B" w:rsidP="00A87C0B">
      <w:pPr>
        <w:jc w:val="both"/>
        <w:rPr>
          <w:lang w:val="en-GB" w:eastAsia="en-US"/>
        </w:rPr>
      </w:pPr>
      <w:r w:rsidRPr="004B3E8C">
        <w:rPr>
          <w:lang w:val="en-GB" w:eastAsia="en-US"/>
        </w:rPr>
        <w:t xml:space="preserve">When HARQ feedback is disabled in the DL, </w:t>
      </w:r>
      <w:r>
        <w:rPr>
          <w:lang w:val="en-GB" w:eastAsia="en-US"/>
        </w:rPr>
        <w:t xml:space="preserve">the </w:t>
      </w:r>
      <w:r w:rsidRPr="004B3E8C">
        <w:rPr>
          <w:lang w:val="en-GB" w:eastAsia="en-US"/>
        </w:rPr>
        <w:t>eNB has no knowledge of TB decoding outcome, not sure even if the DCI scheduling the TB has been decoded</w:t>
      </w:r>
      <w:r w:rsidR="00466840">
        <w:rPr>
          <w:lang w:val="en-GB" w:eastAsia="en-US"/>
        </w:rPr>
        <w:t xml:space="preserve"> or not</w:t>
      </w:r>
      <w:r w:rsidRPr="004B3E8C">
        <w:rPr>
          <w:lang w:val="en-GB" w:eastAsia="en-US"/>
        </w:rPr>
        <w:t>. In legacy HARQ operation where HARQ</w:t>
      </w:r>
      <w:r>
        <w:rPr>
          <w:lang w:val="en-GB" w:eastAsia="en-US"/>
        </w:rPr>
        <w:t>-ACK</w:t>
      </w:r>
      <w:r w:rsidRPr="004B3E8C">
        <w:rPr>
          <w:lang w:val="en-GB" w:eastAsia="en-US"/>
        </w:rPr>
        <w:t xml:space="preserve"> is always reported by the UE, the eNB would know DCI may not have been detected if HARQ</w:t>
      </w:r>
      <w:r>
        <w:rPr>
          <w:lang w:val="en-GB" w:eastAsia="en-US"/>
        </w:rPr>
        <w:t>-ACK</w:t>
      </w:r>
      <w:r w:rsidRPr="004B3E8C">
        <w:rPr>
          <w:lang w:val="en-GB" w:eastAsia="en-US"/>
        </w:rPr>
        <w:t xml:space="preserve"> is not received. In that case, the </w:t>
      </w:r>
      <w:r>
        <w:rPr>
          <w:lang w:val="en-GB" w:eastAsia="en-US"/>
        </w:rPr>
        <w:t>eNB</w:t>
      </w:r>
      <w:r w:rsidRPr="004B3E8C">
        <w:rPr>
          <w:lang w:val="en-GB" w:eastAsia="en-US"/>
        </w:rPr>
        <w:t xml:space="preserve"> would resend the TB with the same DCI </w:t>
      </w:r>
      <w:r>
        <w:rPr>
          <w:lang w:val="en-GB" w:eastAsia="en-US"/>
        </w:rPr>
        <w:t>(</w:t>
      </w:r>
      <w:r w:rsidRPr="004B3E8C">
        <w:rPr>
          <w:lang w:val="en-GB" w:eastAsia="en-US"/>
        </w:rPr>
        <w:t>NDI, RV, HARQ process ID, MCS, etc</w:t>
      </w:r>
      <w:r>
        <w:rPr>
          <w:lang w:val="en-GB" w:eastAsia="en-US"/>
        </w:rPr>
        <w:t>)</w:t>
      </w:r>
      <w:r w:rsidRPr="004B3E8C">
        <w:rPr>
          <w:lang w:val="en-GB" w:eastAsia="en-US"/>
        </w:rPr>
        <w:t xml:space="preserve">. </w:t>
      </w:r>
    </w:p>
    <w:p w14:paraId="0E5F5BD0" w14:textId="77777777" w:rsidR="00A87C0B" w:rsidRDefault="00A87C0B" w:rsidP="00A87C0B">
      <w:pPr>
        <w:jc w:val="both"/>
        <w:rPr>
          <w:lang w:val="en-GB" w:eastAsia="en-US"/>
        </w:rPr>
      </w:pPr>
      <w:r>
        <w:rPr>
          <w:lang w:val="en-GB" w:eastAsia="en-US"/>
        </w:rPr>
        <w:t>However, w</w:t>
      </w:r>
      <w:r w:rsidRPr="004B3E8C">
        <w:rPr>
          <w:lang w:val="en-GB" w:eastAsia="en-US"/>
        </w:rPr>
        <w:t xml:space="preserve">hen HARQ feedback is disabled, </w:t>
      </w:r>
      <w:r>
        <w:rPr>
          <w:lang w:val="en-GB" w:eastAsia="en-US"/>
        </w:rPr>
        <w:t xml:space="preserve">the </w:t>
      </w:r>
      <w:r w:rsidRPr="004B3E8C">
        <w:rPr>
          <w:lang w:val="en-GB" w:eastAsia="en-US"/>
        </w:rPr>
        <w:t xml:space="preserve">eNB has no way of knowing DCI </w:t>
      </w:r>
      <w:r>
        <w:rPr>
          <w:lang w:val="en-GB" w:eastAsia="en-US"/>
        </w:rPr>
        <w:t>has not been</w:t>
      </w:r>
      <w:r w:rsidRPr="004B3E8C">
        <w:rPr>
          <w:lang w:val="en-GB" w:eastAsia="en-US"/>
        </w:rPr>
        <w:t xml:space="preserve"> detected by the UE. This could lead to NDI state out of sync between the eNB and </w:t>
      </w:r>
      <w:r>
        <w:rPr>
          <w:lang w:val="en-GB" w:eastAsia="en-US"/>
        </w:rPr>
        <w:t>UE</w:t>
      </w:r>
      <w:r w:rsidRPr="004B3E8C">
        <w:rPr>
          <w:lang w:val="en-GB" w:eastAsia="en-US"/>
        </w:rPr>
        <w:t xml:space="preserve"> and result in decoding failure of subsequent transmissions.</w:t>
      </w:r>
      <w:r>
        <w:rPr>
          <w:lang w:val="en-GB" w:eastAsia="en-US"/>
        </w:rPr>
        <w:t xml:space="preserve"> An example is illustrated in Figure 1. The NDI states at UE and eNB become out of sync after the UE missed a DCI with a toggled NDI at time t2. In the next transmission at time t3, the UE sees the DCI with an untoggled NDI and processes the PDSCH with TB3 as a retransmission of TB1. This will result in decoding failure of both TB1 and TB3.</w:t>
      </w:r>
    </w:p>
    <w:p w14:paraId="7B51FC6C" w14:textId="1C9EBC29" w:rsidR="00A87C0B" w:rsidRPr="00473468" w:rsidRDefault="00A87C0B" w:rsidP="00A87C0B">
      <w:pPr>
        <w:jc w:val="both"/>
        <w:rPr>
          <w:b/>
          <w:bCs/>
          <w:lang w:val="en-GB" w:eastAsia="en-US"/>
        </w:rPr>
      </w:pPr>
      <w:r w:rsidRPr="00473468">
        <w:rPr>
          <w:b/>
          <w:bCs/>
          <w:lang w:val="en-GB" w:eastAsia="en-US"/>
        </w:rPr>
        <w:t xml:space="preserve">Observation </w:t>
      </w:r>
      <w:r w:rsidR="00D96B43">
        <w:rPr>
          <w:b/>
          <w:bCs/>
          <w:lang w:val="en-GB" w:eastAsia="en-US"/>
        </w:rPr>
        <w:t>4</w:t>
      </w:r>
      <w:r w:rsidRPr="00473468">
        <w:rPr>
          <w:b/>
          <w:bCs/>
          <w:lang w:val="en-GB" w:eastAsia="en-US"/>
        </w:rPr>
        <w:t>: When the UE fails to detect a DCI with a toggled NDI, the UE’s NDI state becomes out of sync with the network and results in subsequent TB decoding errors.</w:t>
      </w:r>
    </w:p>
    <w:p w14:paraId="6B7CB820" w14:textId="77777777" w:rsidR="00010BBC" w:rsidRDefault="00A87C0B" w:rsidP="00A87C0B">
      <w:pPr>
        <w:jc w:val="both"/>
        <w:rPr>
          <w:lang w:val="en-GB" w:eastAsia="en-US"/>
        </w:rPr>
      </w:pPr>
      <w:r>
        <w:rPr>
          <w:lang w:val="en-GB" w:eastAsia="en-US"/>
        </w:rPr>
        <w:t xml:space="preserve">This problem can happen when a HARQ process is feedback disabled either semi-statically by RRC (Option 1) or dynamically by NDI indication (Option 3). </w:t>
      </w:r>
      <w:r w:rsidR="00E02109">
        <w:rPr>
          <w:lang w:val="en-GB" w:eastAsia="en-US"/>
        </w:rPr>
        <w:t>RAN1</w:t>
      </w:r>
      <w:r>
        <w:rPr>
          <w:lang w:val="en-GB" w:eastAsia="en-US"/>
        </w:rPr>
        <w:t xml:space="preserve"> should evaluate the impact of this issue and come up with a mitigation solution. Relying on NDI bit alone may not be sufficient for new TB indication in </w:t>
      </w:r>
      <w:proofErr w:type="gramStart"/>
      <w:r>
        <w:rPr>
          <w:lang w:val="en-GB" w:eastAsia="en-US"/>
        </w:rPr>
        <w:t>a feedback</w:t>
      </w:r>
      <w:proofErr w:type="gramEnd"/>
      <w:r>
        <w:rPr>
          <w:lang w:val="en-GB" w:eastAsia="en-US"/>
        </w:rPr>
        <w:t xml:space="preserve"> disabled HARQ process. </w:t>
      </w:r>
    </w:p>
    <w:p w14:paraId="262B3FE2" w14:textId="3A0A37B2" w:rsidR="00A87C0B" w:rsidRPr="005437CE" w:rsidRDefault="00A87C0B" w:rsidP="00A87C0B">
      <w:pPr>
        <w:jc w:val="both"/>
        <w:rPr>
          <w:b/>
          <w:bCs/>
          <w:lang w:val="en-GB" w:eastAsia="en-US"/>
        </w:rPr>
      </w:pPr>
      <w:r w:rsidRPr="005437CE">
        <w:rPr>
          <w:b/>
          <w:bCs/>
          <w:lang w:val="en-GB" w:eastAsia="en-US"/>
        </w:rPr>
        <w:lastRenderedPageBreak/>
        <w:t xml:space="preserve">Proposal </w:t>
      </w:r>
      <w:r w:rsidR="00877ED4">
        <w:rPr>
          <w:b/>
          <w:bCs/>
          <w:lang w:val="en-GB" w:eastAsia="en-US"/>
        </w:rPr>
        <w:t>4</w:t>
      </w:r>
      <w:r w:rsidRPr="005437CE">
        <w:rPr>
          <w:b/>
          <w:bCs/>
          <w:lang w:val="en-GB" w:eastAsia="en-US"/>
        </w:rPr>
        <w:t xml:space="preserve">: Evaluate the impact of NDI out of sync due to DCI detection failure </w:t>
      </w:r>
      <w:r>
        <w:rPr>
          <w:b/>
          <w:bCs/>
          <w:lang w:val="en-GB" w:eastAsia="en-US"/>
        </w:rPr>
        <w:t xml:space="preserve">when HARQ feedback is disabled </w:t>
      </w:r>
      <w:r w:rsidRPr="005437CE">
        <w:rPr>
          <w:b/>
          <w:bCs/>
          <w:lang w:val="en-GB" w:eastAsia="en-US"/>
        </w:rPr>
        <w:t>and study possible solutions.</w:t>
      </w:r>
    </w:p>
    <w:p w14:paraId="643E9877" w14:textId="77777777" w:rsidR="00A87C0B" w:rsidRDefault="00A87C0B" w:rsidP="00A87C0B">
      <w:pPr>
        <w:spacing w:after="0"/>
        <w:jc w:val="center"/>
        <w:rPr>
          <w:lang w:val="en-GB" w:eastAsia="en-US"/>
        </w:rPr>
      </w:pPr>
      <w:r>
        <w:rPr>
          <w:noProof/>
          <w:lang w:val="en-GB" w:eastAsia="en-US"/>
        </w:rPr>
        <w:drawing>
          <wp:inline distT="0" distB="0" distL="0" distR="0" wp14:anchorId="5B1B7AB4" wp14:editId="483F339E">
            <wp:extent cx="4035600" cy="3355200"/>
            <wp:effectExtent l="0" t="0" r="317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035600" cy="3355200"/>
                    </a:xfrm>
                    <a:prstGeom prst="rect">
                      <a:avLst/>
                    </a:prstGeom>
                  </pic:spPr>
                </pic:pic>
              </a:graphicData>
            </a:graphic>
          </wp:inline>
        </w:drawing>
      </w:r>
    </w:p>
    <w:p w14:paraId="506C057D" w14:textId="77777777" w:rsidR="00A87C0B" w:rsidRPr="008D6D3D" w:rsidRDefault="00A87C0B" w:rsidP="00A87C0B">
      <w:pPr>
        <w:pStyle w:val="Caption"/>
        <w:spacing w:before="0" w:after="240"/>
        <w:jc w:val="center"/>
        <w:rPr>
          <w:lang w:val="en-GB" w:eastAsia="en-US"/>
        </w:rPr>
      </w:pPr>
      <w:r>
        <w:rPr>
          <w:lang w:val="en-GB" w:eastAsia="en-US"/>
        </w:rPr>
        <w:t xml:space="preserve">Figure 1. </w:t>
      </w:r>
      <w:r w:rsidRPr="008D6D3D">
        <w:rPr>
          <w:lang w:val="en-GB" w:eastAsia="en-US"/>
        </w:rPr>
        <w:t>NDI out of sync due to DCI detection failure when HARQ feedback is disabled</w:t>
      </w:r>
    </w:p>
    <w:p w14:paraId="451BBCC4" w14:textId="77777777" w:rsidR="003B2C90" w:rsidRDefault="003B2C90" w:rsidP="003B2C90">
      <w:pPr>
        <w:jc w:val="both"/>
        <w:rPr>
          <w:lang w:val="en-GB" w:eastAsia="en-US"/>
        </w:rPr>
      </w:pPr>
      <w:r>
        <w:rPr>
          <w:lang w:val="en-GB" w:eastAsia="en-US"/>
        </w:rPr>
        <w:t xml:space="preserve">One simple solution is to prohibit </w:t>
      </w:r>
      <w:proofErr w:type="spellStart"/>
      <w:r>
        <w:rPr>
          <w:lang w:val="en-GB" w:eastAsia="en-US"/>
        </w:rPr>
        <w:t>retranmission</w:t>
      </w:r>
      <w:proofErr w:type="spellEnd"/>
      <w:r>
        <w:rPr>
          <w:lang w:val="en-GB" w:eastAsia="en-US"/>
        </w:rPr>
        <w:t xml:space="preserve"> when HARQ feedback is disabled. In that case, UE simply processes every transmission of TB as new data. This, however, will restrict network’s scheduling flexibility and may impact link performance if network does not have up-to-date knowledge of channel condition.</w:t>
      </w:r>
    </w:p>
    <w:p w14:paraId="54258B43" w14:textId="77777777" w:rsidR="003B2C90" w:rsidRDefault="003B2C90" w:rsidP="003B2C90">
      <w:pPr>
        <w:jc w:val="both"/>
        <w:rPr>
          <w:lang w:val="en-GB" w:eastAsia="en-US"/>
        </w:rPr>
      </w:pPr>
      <w:r>
        <w:rPr>
          <w:lang w:val="en-GB" w:eastAsia="en-US"/>
        </w:rPr>
        <w:t xml:space="preserve">Another possible solution is to indicate an identifier of the scheduled TB. (In fact, the NDI bit can be seen as </w:t>
      </w:r>
      <w:proofErr w:type="gramStart"/>
      <w:r>
        <w:rPr>
          <w:lang w:val="en-GB" w:eastAsia="en-US"/>
        </w:rPr>
        <w:t>an</w:t>
      </w:r>
      <w:proofErr w:type="gramEnd"/>
      <w:r>
        <w:rPr>
          <w:lang w:val="en-GB" w:eastAsia="en-US"/>
        </w:rPr>
        <w:t xml:space="preserve"> two-state identifier with its toggled and untoggled states.) The TB identifier should be extended beyond one bit (two states) to provide more protection against the loss of DCI. With a n-bit TB identifier, a scheduled TB can be associated with an ID in the set </w:t>
      </w:r>
      <m:oMath>
        <m:d>
          <m:dPr>
            <m:begChr m:val="{"/>
            <m:endChr m:val="}"/>
            <m:ctrlPr>
              <w:rPr>
                <w:rFonts w:ascii="Cambria Math" w:hAnsi="Cambria Math"/>
                <w:i/>
                <w:lang w:val="en-GB" w:eastAsia="en-US"/>
              </w:rPr>
            </m:ctrlPr>
          </m:dPr>
          <m:e>
            <m:r>
              <w:rPr>
                <w:rFonts w:ascii="Cambria Math" w:hAnsi="Cambria Math"/>
                <w:lang w:val="en-GB" w:eastAsia="en-US"/>
              </w:rPr>
              <m:t xml:space="preserve">0, 1,⋯, </m:t>
            </m:r>
            <m:sSup>
              <m:sSupPr>
                <m:ctrlPr>
                  <w:rPr>
                    <w:rFonts w:ascii="Cambria Math" w:hAnsi="Cambria Math"/>
                    <w:i/>
                    <w:lang w:val="en-GB" w:eastAsia="en-US"/>
                  </w:rPr>
                </m:ctrlPr>
              </m:sSupPr>
              <m:e>
                <m:r>
                  <w:rPr>
                    <w:rFonts w:ascii="Cambria Math" w:hAnsi="Cambria Math"/>
                    <w:lang w:val="en-GB" w:eastAsia="en-US"/>
                  </w:rPr>
                  <m:t>2</m:t>
                </m:r>
              </m:e>
              <m:sup>
                <m:r>
                  <w:rPr>
                    <w:rFonts w:ascii="Cambria Math" w:hAnsi="Cambria Math"/>
                    <w:lang w:val="en-GB" w:eastAsia="en-US"/>
                  </w:rPr>
                  <m:t>n</m:t>
                </m:r>
              </m:sup>
            </m:sSup>
            <m:r>
              <w:rPr>
                <w:rFonts w:ascii="Cambria Math" w:hAnsi="Cambria Math"/>
                <w:lang w:val="en-GB" w:eastAsia="en-US"/>
              </w:rPr>
              <m:t>-1</m:t>
            </m:r>
          </m:e>
        </m:d>
      </m:oMath>
      <w:r>
        <w:rPr>
          <w:lang w:val="en-GB" w:eastAsia="en-US"/>
        </w:rPr>
        <w:t xml:space="preserve">. The ID is only incremented at initial transmission. The UE can distinguish between initial transmission and retransmission based on whether the ID has changed in the corresponding HARQ process. </w:t>
      </w:r>
    </w:p>
    <w:p w14:paraId="3F5C5DEF" w14:textId="0145CD63" w:rsidR="003B2C90" w:rsidRDefault="003B2C90" w:rsidP="003B2C90">
      <w:pPr>
        <w:jc w:val="both"/>
        <w:rPr>
          <w:lang w:val="en-GB" w:eastAsia="en-US"/>
        </w:rPr>
      </w:pPr>
      <w:r>
        <w:rPr>
          <w:lang w:val="en-GB" w:eastAsia="en-US"/>
        </w:rPr>
        <w:t xml:space="preserve">More protection can be provided by using more bits to indicate the TB identifier. To mitigate the NDI out of sync problem, </w:t>
      </w:r>
      <w:r w:rsidR="004111B1">
        <w:rPr>
          <w:lang w:val="en-GB" w:eastAsia="en-US"/>
        </w:rPr>
        <w:t>then</w:t>
      </w:r>
      <w:r>
        <w:rPr>
          <w:lang w:val="en-GB" w:eastAsia="en-US"/>
        </w:rPr>
        <w:t xml:space="preserve"> at least one more bit in addition to NDI is needed for TB identification. Since the problem arises only when HARQ feedback is disabled, the existing HARQ-ACK resource field is the natural choice for TB identifier indication. </w:t>
      </w:r>
    </w:p>
    <w:p w14:paraId="0CC44664" w14:textId="383538F8" w:rsidR="0043116B" w:rsidRPr="0043116B" w:rsidRDefault="003B2C90" w:rsidP="0043116B">
      <w:pPr>
        <w:jc w:val="both"/>
        <w:rPr>
          <w:lang w:val="en-GB" w:eastAsia="en-US"/>
        </w:rPr>
      </w:pPr>
      <w:r w:rsidRPr="00340D6D">
        <w:rPr>
          <w:b/>
          <w:bCs/>
          <w:lang w:val="en-GB" w:eastAsia="en-US"/>
        </w:rPr>
        <w:t xml:space="preserve">Proposal </w:t>
      </w:r>
      <w:r w:rsidR="00877ED4">
        <w:rPr>
          <w:b/>
          <w:bCs/>
          <w:lang w:val="en-GB" w:eastAsia="en-US"/>
        </w:rPr>
        <w:t>5</w:t>
      </w:r>
      <w:r w:rsidRPr="00340D6D">
        <w:rPr>
          <w:b/>
          <w:bCs/>
          <w:lang w:val="en-GB" w:eastAsia="en-US"/>
        </w:rPr>
        <w:t xml:space="preserve">: Consider using HARQ-ACK resource field </w:t>
      </w:r>
      <w:r>
        <w:rPr>
          <w:b/>
          <w:bCs/>
          <w:lang w:val="en-GB" w:eastAsia="en-US"/>
        </w:rPr>
        <w:t xml:space="preserve">for </w:t>
      </w:r>
      <w:r w:rsidRPr="00340D6D">
        <w:rPr>
          <w:b/>
          <w:bCs/>
          <w:lang w:val="en-GB" w:eastAsia="en-US"/>
        </w:rPr>
        <w:t xml:space="preserve">TB identifier </w:t>
      </w:r>
      <w:r>
        <w:rPr>
          <w:b/>
          <w:bCs/>
          <w:lang w:val="en-GB" w:eastAsia="en-US"/>
        </w:rPr>
        <w:t xml:space="preserve">indication </w:t>
      </w:r>
      <w:r w:rsidRPr="00340D6D">
        <w:rPr>
          <w:b/>
          <w:bCs/>
          <w:lang w:val="en-GB" w:eastAsia="en-US"/>
        </w:rPr>
        <w:t xml:space="preserve">to </w:t>
      </w:r>
      <w:r>
        <w:rPr>
          <w:b/>
          <w:bCs/>
          <w:lang w:val="en-GB" w:eastAsia="en-US"/>
        </w:rPr>
        <w:t>mitigate</w:t>
      </w:r>
      <w:r w:rsidRPr="00340D6D">
        <w:rPr>
          <w:b/>
          <w:bCs/>
          <w:lang w:val="en-GB" w:eastAsia="en-US"/>
        </w:rPr>
        <w:t xml:space="preserve"> NDI out of sync when HARQ feedback is disabled.</w:t>
      </w:r>
      <w:r>
        <w:rPr>
          <w:b/>
          <w:bCs/>
          <w:lang w:val="en-GB" w:eastAsia="en-US"/>
        </w:rPr>
        <w:t xml:space="preserve"> </w:t>
      </w:r>
    </w:p>
    <w:p w14:paraId="0208AD4E" w14:textId="3F97F522" w:rsidR="00134B0D" w:rsidRDefault="648F882E" w:rsidP="00EA50BA">
      <w:pPr>
        <w:pStyle w:val="Heading2"/>
      </w:pPr>
      <w:r>
        <w:t>HARQ feedback disabling</w:t>
      </w:r>
      <w:r w:rsidR="000350E7">
        <w:t xml:space="preserve"> for multi-TB scheduling</w:t>
      </w:r>
    </w:p>
    <w:p w14:paraId="2323AD11" w14:textId="407548A8" w:rsidR="001B341B" w:rsidRDefault="003A11C1" w:rsidP="0027576E">
      <w:pPr>
        <w:spacing w:after="120"/>
        <w:jc w:val="both"/>
      </w:pPr>
      <w:r>
        <w:t xml:space="preserve">DCI format 6-1B for CE mode B multi-TB scheduling and DCI format N1 for NB-IoT multi-TB scheduling are shown in Tables 3 and 4 respectively. For CE mode B, DCI format 6-1B can schedule up to four </w:t>
      </w:r>
      <w:proofErr w:type="spellStart"/>
      <w:r>
        <w:t>TBs.</w:t>
      </w:r>
      <w:proofErr w:type="spellEnd"/>
      <w:r>
        <w:t xml:space="preserve"> The field “Scheduling TBs for Unicast” indicates MCS, HARQ processes, and NDI. For NB-IoT, DCI format N1 can schedule up to two TBs (when “</w:t>
      </w:r>
      <w:r w:rsidRPr="000349D3">
        <w:t>Number of scheduled TB for Unicast</w:t>
      </w:r>
      <w:r>
        <w:t xml:space="preserve">” is set to 1). </w:t>
      </w:r>
      <w:r w:rsidR="001B341B">
        <w:t>The DCI can work the same way as in single TB scheduling to indicate HARQ feedback enable/disable, although it is difficult to indicate for each scheduled TB individually. It is also desirable to have a common DCI indication solution in case of single TB scheduling and multiple TB scheduling.</w:t>
      </w:r>
    </w:p>
    <w:p w14:paraId="777868CE" w14:textId="10A53A2D" w:rsidR="001B341B" w:rsidRPr="004D0F2D" w:rsidRDefault="001B341B" w:rsidP="001B341B">
      <w:pPr>
        <w:spacing w:after="120"/>
        <w:jc w:val="both"/>
        <w:rPr>
          <w:b/>
          <w:bCs/>
        </w:rPr>
      </w:pPr>
      <w:r w:rsidRPr="004D0F2D">
        <w:rPr>
          <w:b/>
          <w:bCs/>
        </w:rPr>
        <w:lastRenderedPageBreak/>
        <w:t xml:space="preserve">Observation </w:t>
      </w:r>
      <w:r w:rsidR="00D96B43">
        <w:rPr>
          <w:b/>
          <w:bCs/>
        </w:rPr>
        <w:t>5</w:t>
      </w:r>
      <w:r w:rsidRPr="004D0F2D">
        <w:rPr>
          <w:b/>
          <w:bCs/>
        </w:rPr>
        <w:t xml:space="preserve">: </w:t>
      </w:r>
      <w:r>
        <w:rPr>
          <w:b/>
          <w:bCs/>
        </w:rPr>
        <w:t>DCI indication for HARQ feedback enable/disable in single TB scheduling can be applied to multi-TB scheduling.</w:t>
      </w:r>
    </w:p>
    <w:p w14:paraId="61599C3F" w14:textId="77777777" w:rsidR="001B341B" w:rsidRDefault="001B341B" w:rsidP="001B341B">
      <w:pPr>
        <w:spacing w:after="120"/>
        <w:jc w:val="both"/>
        <w:rPr>
          <w:lang w:eastAsia="en-US"/>
        </w:rPr>
      </w:pPr>
      <w:r>
        <w:t xml:space="preserve">Since it is difficult to provide individual indication for each TB in multi-TB scheduling, one option is to indicate or override HARQ feedback enable/disable for all the scheduled </w:t>
      </w:r>
      <w:proofErr w:type="spellStart"/>
      <w:r>
        <w:t>TBs.</w:t>
      </w:r>
      <w:proofErr w:type="spellEnd"/>
      <w:r>
        <w:t xml:space="preserve"> This will not be efficient if, for example, </w:t>
      </w:r>
      <w:r>
        <w:rPr>
          <w:lang w:eastAsia="en-US"/>
        </w:rPr>
        <w:t>only one MAC CE needs to be acknowledged when multiple TBs are scheduled in semi-statically HARQ feedback-disabled processes. Another option is the DCI indication applies only to the first scheduled TB. However, a more flexible option is to allow the network to configure a subset of TBs for DCI-based HARQ feedback enable/disable indication in multi-TB scheduling.</w:t>
      </w:r>
    </w:p>
    <w:p w14:paraId="45CC0F01" w14:textId="2F72F9BB" w:rsidR="001B341B" w:rsidRDefault="001B341B" w:rsidP="001B341B">
      <w:pPr>
        <w:spacing w:after="120"/>
        <w:jc w:val="both"/>
        <w:rPr>
          <w:b/>
          <w:bCs/>
          <w:lang w:eastAsia="en-US"/>
        </w:rPr>
      </w:pPr>
      <w:r w:rsidRPr="004D0F2D">
        <w:rPr>
          <w:b/>
          <w:bCs/>
          <w:lang w:eastAsia="en-US"/>
        </w:rPr>
        <w:t xml:space="preserve">Proposal </w:t>
      </w:r>
      <w:r w:rsidR="00877ED4">
        <w:rPr>
          <w:b/>
          <w:bCs/>
          <w:lang w:eastAsia="en-US"/>
        </w:rPr>
        <w:t>6</w:t>
      </w:r>
      <w:r>
        <w:rPr>
          <w:b/>
          <w:bCs/>
          <w:lang w:eastAsia="en-US"/>
        </w:rPr>
        <w:t>: The same DCI indication for HARQ feedback enable/disable in single-TB scheduling is used for HARQ feedback enable/disable in multi-TB scheduling.</w:t>
      </w:r>
    </w:p>
    <w:p w14:paraId="2E3E3BE5" w14:textId="68E34962" w:rsidR="003A11C1" w:rsidRPr="00A742EE" w:rsidRDefault="001B341B" w:rsidP="003A11C1">
      <w:pPr>
        <w:jc w:val="both"/>
        <w:rPr>
          <w:b/>
          <w:bCs/>
        </w:rPr>
      </w:pPr>
      <w:r>
        <w:rPr>
          <w:b/>
          <w:bCs/>
          <w:lang w:eastAsia="en-US"/>
        </w:rPr>
        <w:t xml:space="preserve">Proposal </w:t>
      </w:r>
      <w:r w:rsidR="00877ED4">
        <w:rPr>
          <w:b/>
          <w:bCs/>
          <w:lang w:eastAsia="en-US"/>
        </w:rPr>
        <w:t>7</w:t>
      </w:r>
      <w:r>
        <w:rPr>
          <w:b/>
          <w:bCs/>
          <w:lang w:eastAsia="en-US"/>
        </w:rPr>
        <w:t xml:space="preserve">: A subset of scheduled TBs can be configured for DCI-based HARQ feedback enable/disable in multi-TB scheduling. </w:t>
      </w:r>
      <w:r w:rsidR="003A11C1" w:rsidRPr="00A742EE">
        <w:rPr>
          <w:b/>
          <w:bCs/>
        </w:rPr>
        <w:t xml:space="preserve"> </w:t>
      </w:r>
    </w:p>
    <w:p w14:paraId="248C904B" w14:textId="77777777" w:rsidR="003A11C1" w:rsidRDefault="003A11C1" w:rsidP="003A11C1">
      <w:pPr>
        <w:pStyle w:val="Caption"/>
        <w:spacing w:before="240" w:after="60" w:line="240" w:lineRule="auto"/>
        <w:jc w:val="center"/>
        <w:rPr>
          <w:lang w:val="en-GB" w:eastAsia="en-US"/>
        </w:rPr>
      </w:pPr>
      <w:r>
        <w:rPr>
          <w:lang w:val="en-GB" w:eastAsia="en-US"/>
        </w:rPr>
        <w:t xml:space="preserve">Table 3. DCI format 6-1B for CE Mode B PDSCH multi-TB scheduling </w:t>
      </w:r>
    </w:p>
    <w:tbl>
      <w:tblPr>
        <w:tblW w:w="6237" w:type="dxa"/>
        <w:jc w:val="center"/>
        <w:tblCellMar>
          <w:left w:w="0" w:type="dxa"/>
          <w:right w:w="0" w:type="dxa"/>
        </w:tblCellMar>
        <w:tblLook w:val="0600" w:firstRow="0" w:lastRow="0" w:firstColumn="0" w:lastColumn="0" w:noHBand="1" w:noVBand="1"/>
      </w:tblPr>
      <w:tblGrid>
        <w:gridCol w:w="4106"/>
        <w:gridCol w:w="2131"/>
      </w:tblGrid>
      <w:tr w:rsidR="003A11C1" w:rsidRPr="00A120E1" w14:paraId="6A279F5E" w14:textId="77777777" w:rsidTr="007846CC">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3F884764"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DCI format 6-1B for PDSCH scheduling</w:t>
            </w:r>
          </w:p>
        </w:tc>
      </w:tr>
      <w:tr w:rsidR="003A11C1" w:rsidRPr="00A120E1" w14:paraId="6A267492"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0D19C366" w14:textId="77777777" w:rsidR="003A11C1" w:rsidRPr="00A120E1" w:rsidRDefault="003A11C1" w:rsidP="007846CC">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Field</w:t>
            </w:r>
          </w:p>
        </w:tc>
        <w:tc>
          <w:tcPr>
            <w:tcW w:w="213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3069E943" w14:textId="77777777" w:rsidR="003A11C1" w:rsidRPr="00A120E1" w:rsidRDefault="003A11C1" w:rsidP="007846CC">
            <w:pPr>
              <w:spacing w:after="0" w:line="240" w:lineRule="auto"/>
              <w:jc w:val="center"/>
              <w:textAlignment w:val="center"/>
              <w:rPr>
                <w:rFonts w:ascii="Arial" w:eastAsia="宋体" w:hAnsi="Arial" w:cs="Arial"/>
                <w:lang w:eastAsia="ja-JP"/>
              </w:rPr>
            </w:pPr>
            <w:r w:rsidRPr="00A120E1">
              <w:rPr>
                <w:rFonts w:ascii="Calibri" w:eastAsia="宋体" w:hAnsi="Calibri" w:cs="Calibri"/>
                <w:color w:val="000000"/>
                <w:kern w:val="24"/>
                <w:lang w:eastAsia="ja-JP"/>
              </w:rPr>
              <w:t>Size (bits)</w:t>
            </w:r>
          </w:p>
        </w:tc>
      </w:tr>
      <w:tr w:rsidR="003A11C1" w:rsidRPr="00A120E1" w14:paraId="3209B1BD" w14:textId="77777777" w:rsidTr="007846CC">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052FEF2"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Flag for 6-0B/6-1B differentiation</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B0B780E"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1</w:t>
            </w:r>
          </w:p>
        </w:tc>
      </w:tr>
      <w:tr w:rsidR="003A11C1" w:rsidRPr="00A120E1" w14:paraId="7CEDCD26" w14:textId="77777777" w:rsidTr="007846CC">
        <w:trPr>
          <w:trHeight w:val="6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8F474DB"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Resource block assignment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533BD31" w14:textId="77777777" w:rsidR="003A11C1" w:rsidRPr="00A120E1" w:rsidRDefault="003A11C1" w:rsidP="007846CC">
            <w:pPr>
              <w:spacing w:after="0" w:line="240" w:lineRule="auto"/>
              <w:jc w:val="center"/>
              <w:textAlignment w:val="bottom"/>
              <w:rPr>
                <w:rFonts w:ascii="Calibri" w:eastAsia="宋体" w:hAnsi="Calibri" w:cs="Calibri"/>
                <w:color w:val="000000"/>
                <w:kern w:val="24"/>
                <w:lang w:eastAsia="ja-JP"/>
              </w:rPr>
            </w:pPr>
            <w:r w:rsidRPr="00A120E1">
              <w:rPr>
                <w:rFonts w:ascii="Arial" w:eastAsia="宋体" w:hAnsi="Arial" w:cs="Times New Roman"/>
                <w:noProof/>
                <w:position w:val="-32"/>
                <w:lang w:val="en-GB" w:eastAsia="en-US"/>
              </w:rPr>
              <w:drawing>
                <wp:inline distT="0" distB="0" distL="0" distR="0" wp14:anchorId="039D641B" wp14:editId="481613BC">
                  <wp:extent cx="776605" cy="474345"/>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76605" cy="474345"/>
                          </a:xfrm>
                          <a:prstGeom prst="rect">
                            <a:avLst/>
                          </a:prstGeom>
                          <a:noFill/>
                          <a:ln>
                            <a:noFill/>
                          </a:ln>
                        </pic:spPr>
                      </pic:pic>
                    </a:graphicData>
                  </a:graphic>
                </wp:inline>
              </w:drawing>
            </w:r>
            <w:r w:rsidRPr="00A120E1">
              <w:rPr>
                <w:rFonts w:ascii="Calibri" w:eastAsia="宋体" w:hAnsi="Calibri" w:cs="Calibri"/>
                <w:lang w:val="en-GB" w:eastAsia="en-US"/>
              </w:rPr>
              <w:t>+1</w:t>
            </w:r>
          </w:p>
        </w:tc>
      </w:tr>
      <w:tr w:rsidR="003A11C1" w:rsidRPr="00A120E1" w14:paraId="2D2BFC0C"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9E42E87"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1D9D778"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3</w:t>
            </w:r>
          </w:p>
        </w:tc>
      </w:tr>
      <w:tr w:rsidR="003A11C1" w:rsidRPr="00A120E1" w14:paraId="6A913532"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B712FF4"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HARQ-ACK resource offset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0496415"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3A11C1" w:rsidRPr="00A120E1" w14:paraId="2BB30B07"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FB2A883" w14:textId="77777777" w:rsidR="003A11C1" w:rsidRPr="00A120E1" w:rsidRDefault="003A11C1" w:rsidP="007846CC">
            <w:pPr>
              <w:spacing w:after="0" w:line="240" w:lineRule="auto"/>
              <w:textAlignment w:val="center"/>
              <w:rPr>
                <w:rFonts w:ascii="Arial" w:eastAsia="宋体" w:hAnsi="Arial" w:cs="Arial"/>
                <w:lang w:eastAsia="ja-JP"/>
              </w:rPr>
            </w:pPr>
            <w:r w:rsidRPr="00A120E1">
              <w:rPr>
                <w:rFonts w:ascii="Calibri" w:eastAsia="宋体" w:hAnsi="Calibri" w:cs="Calibri"/>
                <w:color w:val="000000"/>
                <w:kern w:val="24"/>
                <w:lang w:eastAsia="ja-JP"/>
              </w:rPr>
              <w:t>DCI subframe repetition number</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3F79243" w14:textId="77777777" w:rsidR="003A11C1" w:rsidRPr="00A120E1" w:rsidRDefault="003A11C1" w:rsidP="007846CC">
            <w:pPr>
              <w:spacing w:after="0" w:line="240" w:lineRule="auto"/>
              <w:jc w:val="center"/>
              <w:textAlignment w:val="bottom"/>
              <w:rPr>
                <w:rFonts w:ascii="Arial" w:eastAsia="宋体" w:hAnsi="Arial" w:cs="Arial"/>
                <w:lang w:eastAsia="ja-JP"/>
              </w:rPr>
            </w:pPr>
            <w:r w:rsidRPr="00A120E1">
              <w:rPr>
                <w:rFonts w:ascii="Calibri" w:eastAsia="宋体" w:hAnsi="Calibri" w:cs="Calibri"/>
                <w:color w:val="000000"/>
                <w:kern w:val="24"/>
                <w:lang w:eastAsia="ja-JP"/>
              </w:rPr>
              <w:t>2</w:t>
            </w:r>
          </w:p>
        </w:tc>
      </w:tr>
      <w:tr w:rsidR="003A11C1" w:rsidRPr="00A120E1" w14:paraId="686E7090" w14:textId="77777777" w:rsidTr="007846CC">
        <w:trPr>
          <w:trHeight w:val="300"/>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0EBADA98" w14:textId="77777777" w:rsidR="003A11C1" w:rsidRPr="00A120E1" w:rsidRDefault="003A11C1" w:rsidP="007846CC">
            <w:pPr>
              <w:spacing w:after="0" w:line="240" w:lineRule="auto"/>
              <w:textAlignment w:val="center"/>
              <w:rPr>
                <w:rFonts w:ascii="Calibri" w:eastAsia="宋体" w:hAnsi="Calibri" w:cs="Calibri"/>
                <w:color w:val="000000"/>
                <w:kern w:val="24"/>
                <w:lang w:eastAsia="ja-JP"/>
              </w:rPr>
            </w:pPr>
            <w:r w:rsidRPr="00095351">
              <w:rPr>
                <w:rFonts w:ascii="Calibri" w:eastAsia="宋体" w:hAnsi="Calibri" w:cs="Calibri"/>
                <w:color w:val="000000"/>
                <w:kern w:val="24"/>
                <w:lang w:eastAsia="ja-JP"/>
              </w:rPr>
              <w:t>Scheduling TBs for Unicast</w:t>
            </w:r>
          </w:p>
        </w:tc>
        <w:tc>
          <w:tcPr>
            <w:tcW w:w="213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3160C4E6" w14:textId="77777777" w:rsidR="003A11C1" w:rsidRPr="00A120E1" w:rsidRDefault="003A11C1" w:rsidP="007846CC">
            <w:pPr>
              <w:spacing w:after="0" w:line="240" w:lineRule="auto"/>
              <w:jc w:val="center"/>
              <w:textAlignment w:val="bottom"/>
              <w:rPr>
                <w:rFonts w:ascii="Calibri" w:eastAsia="宋体" w:hAnsi="Calibri" w:cs="Calibri"/>
                <w:color w:val="000000"/>
                <w:kern w:val="24"/>
                <w:lang w:eastAsia="ja-JP"/>
              </w:rPr>
            </w:pPr>
            <w:r>
              <w:rPr>
                <w:rFonts w:ascii="Calibri" w:eastAsia="宋体" w:hAnsi="Calibri" w:cs="Calibri"/>
                <w:color w:val="000000"/>
                <w:kern w:val="24"/>
                <w:lang w:eastAsia="ja-JP"/>
              </w:rPr>
              <w:t>10</w:t>
            </w:r>
          </w:p>
        </w:tc>
      </w:tr>
      <w:tr w:rsidR="003A11C1" w:rsidRPr="00A120E1" w14:paraId="2BFADC92" w14:textId="77777777" w:rsidTr="007846CC">
        <w:trPr>
          <w:trHeight w:val="300"/>
          <w:jc w:val="center"/>
        </w:trPr>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6FE12950" w14:textId="77777777" w:rsidR="003A11C1" w:rsidRPr="00A120E1" w:rsidRDefault="003A11C1" w:rsidP="007846CC">
            <w:pPr>
              <w:spacing w:before="60" w:after="60" w:line="240" w:lineRule="auto"/>
              <w:ind w:left="113"/>
              <w:jc w:val="both"/>
              <w:textAlignment w:val="bottom"/>
              <w:rPr>
                <w:rFonts w:ascii="Calibri" w:eastAsia="宋体" w:hAnsi="Calibri" w:cs="Calibri"/>
                <w:color w:val="000000"/>
                <w:kern w:val="24"/>
                <w:lang w:eastAsia="ja-JP"/>
              </w:rPr>
            </w:pPr>
            <w:r w:rsidRPr="00A120E1">
              <w:rPr>
                <w:rFonts w:ascii="Calibri" w:eastAsia="宋体" w:hAnsi="Calibri" w:cs="Calibri"/>
                <w:color w:val="000000"/>
                <w:kern w:val="24"/>
                <w:lang w:eastAsia="ja-JP"/>
              </w:rPr>
              <w:t>Note:</w:t>
            </w:r>
            <w:r w:rsidRPr="00A120E1">
              <w:rPr>
                <w:rFonts w:ascii="Times New Roman" w:eastAsia="宋体" w:hAnsi="Times New Roman" w:cs="Times New Roman"/>
                <w:color w:val="000000"/>
                <w:kern w:val="24"/>
                <w:lang w:eastAsia="ja-JP"/>
              </w:rPr>
              <w:t xml:space="preserve"> </w:t>
            </w:r>
            <m:oMath>
              <m:sSubSup>
                <m:sSubSupPr>
                  <m:ctrlPr>
                    <w:rPr>
                      <w:rFonts w:ascii="Cambria Math" w:eastAsia="宋体" w:hAnsi="Cambria Math" w:cs="Calibri"/>
                      <w:i/>
                      <w:color w:val="000000"/>
                      <w:kern w:val="24"/>
                      <w:lang w:eastAsia="ja-JP"/>
                    </w:rPr>
                  </m:ctrlPr>
                </m:sSubSupPr>
                <m:e>
                  <m:r>
                    <w:rPr>
                      <w:rFonts w:ascii="Cambria Math" w:eastAsia="宋体" w:hAnsi="Cambria Math" w:cs="Calibri"/>
                      <w:color w:val="000000"/>
                      <w:kern w:val="24"/>
                      <w:lang w:eastAsia="ja-JP"/>
                    </w:rPr>
                    <m:t>N</m:t>
                  </m:r>
                </m:e>
                <m:sub>
                  <m:r>
                    <w:rPr>
                      <w:rFonts w:ascii="Cambria Math" w:eastAsia="宋体" w:hAnsi="Cambria Math" w:cs="Calibri"/>
                      <w:color w:val="000000"/>
                      <w:kern w:val="24"/>
                      <w:lang w:eastAsia="ja-JP"/>
                    </w:rPr>
                    <m:t>RB</m:t>
                  </m:r>
                </m:sub>
                <m:sup>
                  <m:r>
                    <w:rPr>
                      <w:rFonts w:ascii="Cambria Math" w:eastAsia="宋体" w:hAnsi="Cambria Math" w:cs="Calibri"/>
                      <w:color w:val="000000"/>
                      <w:kern w:val="24"/>
                      <w:lang w:eastAsia="ja-JP"/>
                    </w:rPr>
                    <m:t>DL</m:t>
                  </m:r>
                </m:sup>
              </m:sSubSup>
            </m:oMath>
            <w:r w:rsidRPr="00A120E1">
              <w:rPr>
                <w:rFonts w:ascii="Calibri" w:eastAsia="宋体" w:hAnsi="Calibri" w:cs="Calibri"/>
                <w:color w:val="000000"/>
                <w:kern w:val="24"/>
                <w:lang w:eastAsia="ja-JP"/>
              </w:rPr>
              <w:t xml:space="preserve"> is the allocated number of resource blocks.</w:t>
            </w:r>
          </w:p>
        </w:tc>
      </w:tr>
    </w:tbl>
    <w:p w14:paraId="51ECA647" w14:textId="77777777" w:rsidR="003A11C1" w:rsidRDefault="003A11C1" w:rsidP="003A11C1">
      <w:pPr>
        <w:pStyle w:val="Caption"/>
        <w:spacing w:before="240" w:after="60" w:line="240" w:lineRule="auto"/>
        <w:jc w:val="center"/>
        <w:rPr>
          <w:lang w:val="en-GB" w:eastAsia="en-US"/>
        </w:rPr>
      </w:pPr>
      <w:r>
        <w:rPr>
          <w:lang w:val="en-GB" w:eastAsia="en-US"/>
        </w:rPr>
        <w:t>Table 4. DCI format N1 for NPDSCH multi-TB scheduling</w:t>
      </w:r>
    </w:p>
    <w:tbl>
      <w:tblPr>
        <w:tblW w:w="4967" w:type="dxa"/>
        <w:jc w:val="center"/>
        <w:tblCellMar>
          <w:left w:w="0" w:type="dxa"/>
          <w:right w:w="0" w:type="dxa"/>
        </w:tblCellMar>
        <w:tblLook w:val="0600" w:firstRow="0" w:lastRow="0" w:firstColumn="0" w:lastColumn="0" w:noHBand="1" w:noVBand="1"/>
      </w:tblPr>
      <w:tblGrid>
        <w:gridCol w:w="3681"/>
        <w:gridCol w:w="1286"/>
      </w:tblGrid>
      <w:tr w:rsidR="003A11C1" w:rsidRPr="00A120E1" w14:paraId="54836168" w14:textId="77777777" w:rsidTr="007846CC">
        <w:trPr>
          <w:trHeight w:val="300"/>
          <w:jc w:val="center"/>
        </w:trPr>
        <w:tc>
          <w:tcPr>
            <w:tcW w:w="4967" w:type="dxa"/>
            <w:gridSpan w:val="2"/>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7EB3D871"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DCI format N1 for NPDSCH scheduling</w:t>
            </w:r>
          </w:p>
        </w:tc>
      </w:tr>
      <w:tr w:rsidR="003A11C1" w:rsidRPr="00A120E1" w14:paraId="390201F2"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4F3CC472" w14:textId="77777777" w:rsidR="003A11C1" w:rsidRPr="00A120E1" w:rsidRDefault="003A11C1" w:rsidP="007846CC">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Field</w:t>
            </w:r>
          </w:p>
        </w:tc>
        <w:tc>
          <w:tcPr>
            <w:tcW w:w="1286" w:type="dxa"/>
            <w:tcBorders>
              <w:top w:val="single" w:sz="4" w:space="0" w:color="000000"/>
              <w:left w:val="single" w:sz="4" w:space="0" w:color="000000"/>
              <w:bottom w:val="single" w:sz="4" w:space="0" w:color="000000"/>
              <w:right w:val="single" w:sz="4" w:space="0" w:color="000000"/>
            </w:tcBorders>
            <w:shd w:val="clear" w:color="auto" w:fill="D9D9D9"/>
            <w:tcMar>
              <w:top w:w="28" w:type="dxa"/>
              <w:left w:w="57" w:type="dxa"/>
              <w:bottom w:w="28" w:type="dxa"/>
              <w:right w:w="57" w:type="dxa"/>
            </w:tcMar>
            <w:vAlign w:val="center"/>
            <w:hideMark/>
          </w:tcPr>
          <w:p w14:paraId="6949384E" w14:textId="77777777" w:rsidR="003A11C1" w:rsidRPr="00A120E1" w:rsidRDefault="003A11C1" w:rsidP="007846CC">
            <w:pPr>
              <w:spacing w:after="0" w:line="240" w:lineRule="auto"/>
              <w:jc w:val="center"/>
              <w:textAlignment w:val="center"/>
              <w:rPr>
                <w:rFonts w:ascii="Calibri" w:eastAsia="宋体" w:hAnsi="Calibri" w:cs="Calibri"/>
                <w:lang w:eastAsia="ja-JP"/>
              </w:rPr>
            </w:pPr>
            <w:r w:rsidRPr="00A120E1">
              <w:rPr>
                <w:rFonts w:ascii="Calibri" w:eastAsia="ヒラギノ角ゴ Pro W3" w:hAnsi="Calibri" w:cs="Calibri"/>
                <w:kern w:val="24"/>
                <w:lang w:eastAsia="ja-JP"/>
              </w:rPr>
              <w:t>Size (bits)</w:t>
            </w:r>
          </w:p>
        </w:tc>
      </w:tr>
      <w:tr w:rsidR="003A11C1" w:rsidRPr="00A120E1" w14:paraId="6965A473"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D117330"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Flag for N0/N1 differentiation</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17CBCD9"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3A11C1" w:rsidRPr="00A120E1" w14:paraId="7C85F047"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7B62C4E3"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NPDCCH order indicator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7283500"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3A11C1" w:rsidRPr="00A120E1" w14:paraId="6BAC865E"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95FC53C"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Scheduling delay</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A1E68F0"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3A11C1" w:rsidRPr="00A120E1" w14:paraId="07A78E1F"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4ABB36B"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Resource assignment</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0EDFAB"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3</w:t>
            </w:r>
          </w:p>
        </w:tc>
      </w:tr>
      <w:tr w:rsidR="003A11C1" w:rsidRPr="00A120E1" w14:paraId="50189AD6"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4203FD6C"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MCS</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2E1E00FC"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3A11C1" w:rsidRPr="00A120E1" w14:paraId="0E13FFA5"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5AF8F508"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Repetition number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BDD2653"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3A11C1" w:rsidRPr="00A120E1" w14:paraId="4DC851A9"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304306FA"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NDI</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66F7AD7"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1</w:t>
            </w:r>
          </w:p>
        </w:tc>
      </w:tr>
      <w:tr w:rsidR="003A11C1" w:rsidRPr="00A120E1" w14:paraId="7CE5CDD9"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8F1AC25"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HARQ-ACK resource</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0A65C290"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4</w:t>
            </w:r>
          </w:p>
        </w:tc>
      </w:tr>
      <w:tr w:rsidR="003A11C1" w:rsidRPr="00A120E1" w14:paraId="0A8F2511"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1716FF3C" w14:textId="77777777" w:rsidR="003A11C1" w:rsidRPr="00A120E1" w:rsidRDefault="003A11C1" w:rsidP="007846CC">
            <w:pPr>
              <w:spacing w:after="0" w:line="240" w:lineRule="auto"/>
              <w:textAlignment w:val="bottom"/>
              <w:rPr>
                <w:rFonts w:ascii="Calibri" w:eastAsia="宋体" w:hAnsi="Calibri" w:cs="Calibri"/>
                <w:lang w:eastAsia="ja-JP"/>
              </w:rPr>
            </w:pPr>
            <w:r w:rsidRPr="00A120E1">
              <w:rPr>
                <w:rFonts w:ascii="Calibri" w:eastAsia="ヒラギノ角ゴ Pro W3" w:hAnsi="Calibri" w:cs="Calibri"/>
                <w:kern w:val="24"/>
                <w:lang w:eastAsia="ja-JP"/>
              </w:rPr>
              <w:t>DCI subframe repetition number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hideMark/>
          </w:tcPr>
          <w:p w14:paraId="684A6EF2" w14:textId="77777777" w:rsidR="003A11C1" w:rsidRPr="00A120E1" w:rsidRDefault="003A11C1" w:rsidP="007846CC">
            <w:pPr>
              <w:spacing w:after="0" w:line="240" w:lineRule="auto"/>
              <w:jc w:val="center"/>
              <w:textAlignment w:val="bottom"/>
              <w:rPr>
                <w:rFonts w:ascii="Calibri" w:eastAsia="宋体" w:hAnsi="Calibri" w:cs="Calibri"/>
                <w:lang w:eastAsia="ja-JP"/>
              </w:rPr>
            </w:pPr>
            <w:r w:rsidRPr="00A120E1">
              <w:rPr>
                <w:rFonts w:ascii="Calibri" w:eastAsia="ヒラギノ角ゴ Pro W3" w:hAnsi="Calibri" w:cs="Calibri"/>
                <w:kern w:val="24"/>
                <w:lang w:eastAsia="ja-JP"/>
              </w:rPr>
              <w:t>2</w:t>
            </w:r>
          </w:p>
        </w:tc>
      </w:tr>
      <w:tr w:rsidR="003A11C1" w:rsidRPr="00A120E1" w14:paraId="2056C536"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308DA6EA" w14:textId="77777777" w:rsidR="003A11C1" w:rsidRPr="00A120E1" w:rsidRDefault="003A11C1" w:rsidP="007846CC">
            <w:pPr>
              <w:spacing w:after="0" w:line="240" w:lineRule="auto"/>
              <w:textAlignment w:val="bottom"/>
              <w:rPr>
                <w:rFonts w:ascii="Calibri" w:eastAsia="ヒラギノ角ゴ Pro W3" w:hAnsi="Calibri" w:cs="Calibri"/>
                <w:kern w:val="24"/>
                <w:lang w:eastAsia="ja-JP"/>
              </w:rPr>
            </w:pPr>
            <w:bookmarkStart w:id="2" w:name="_Hlk131532090"/>
            <w:r w:rsidRPr="000A5DB6">
              <w:rPr>
                <w:rFonts w:ascii="Calibri" w:eastAsia="ヒラギノ角ゴ Pro W3" w:hAnsi="Calibri" w:cs="Calibri"/>
                <w:kern w:val="24"/>
                <w:lang w:eastAsia="ja-JP"/>
              </w:rPr>
              <w:t>Number of scheduled TB for Unicast</w:t>
            </w:r>
            <w:bookmarkEnd w:id="2"/>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45491927" w14:textId="77777777" w:rsidR="003A11C1" w:rsidRPr="00A120E1" w:rsidRDefault="003A11C1" w:rsidP="007846CC">
            <w:pPr>
              <w:spacing w:after="0" w:line="240" w:lineRule="auto"/>
              <w:jc w:val="center"/>
              <w:textAlignment w:val="bottom"/>
              <w:rPr>
                <w:rFonts w:ascii="Calibri" w:eastAsia="ヒラギノ角ゴ Pro W3" w:hAnsi="Calibri" w:cs="Calibri"/>
                <w:kern w:val="24"/>
                <w:lang w:eastAsia="ja-JP"/>
              </w:rPr>
            </w:pPr>
            <w:r>
              <w:rPr>
                <w:rFonts w:ascii="Calibri" w:eastAsia="ヒラギノ角ゴ Pro W3" w:hAnsi="Calibri" w:cs="Calibri"/>
                <w:kern w:val="24"/>
                <w:lang w:eastAsia="ja-JP"/>
              </w:rPr>
              <w:t>1</w:t>
            </w:r>
          </w:p>
        </w:tc>
      </w:tr>
      <w:tr w:rsidR="003A11C1" w:rsidRPr="00A120E1" w14:paraId="12D729C7" w14:textId="77777777" w:rsidTr="007846CC">
        <w:trPr>
          <w:trHeight w:val="300"/>
          <w:jc w:val="center"/>
        </w:trPr>
        <w:tc>
          <w:tcPr>
            <w:tcW w:w="3681"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3BD86C81" w14:textId="77777777" w:rsidR="003A11C1" w:rsidRPr="000A5DB6" w:rsidRDefault="003A11C1" w:rsidP="007846CC">
            <w:pPr>
              <w:spacing w:after="0" w:line="240" w:lineRule="auto"/>
              <w:textAlignment w:val="bottom"/>
              <w:rPr>
                <w:rFonts w:ascii="Calibri" w:eastAsia="ヒラギノ角ゴ Pro W3" w:hAnsi="Calibri" w:cs="Calibri"/>
                <w:kern w:val="24"/>
                <w:lang w:eastAsia="ja-JP"/>
              </w:rPr>
            </w:pPr>
            <w:r w:rsidRPr="000A5DB6">
              <w:rPr>
                <w:rFonts w:ascii="Calibri" w:eastAsia="ヒラギノ角ゴ Pro W3" w:hAnsi="Calibri" w:cs="Calibri"/>
                <w:kern w:val="24"/>
                <w:lang w:eastAsia="ja-JP"/>
              </w:rPr>
              <w:t>HARQ process number</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vAlign w:val="center"/>
          </w:tcPr>
          <w:p w14:paraId="78C75A11" w14:textId="77777777" w:rsidR="003A11C1" w:rsidRDefault="003A11C1" w:rsidP="007846CC">
            <w:pPr>
              <w:spacing w:after="0" w:line="240" w:lineRule="auto"/>
              <w:jc w:val="center"/>
              <w:textAlignment w:val="bottom"/>
              <w:rPr>
                <w:rFonts w:ascii="Calibri" w:eastAsia="ヒラギノ角ゴ Pro W3" w:hAnsi="Calibri" w:cs="Calibri"/>
                <w:kern w:val="24"/>
                <w:lang w:eastAsia="ja-JP"/>
              </w:rPr>
            </w:pPr>
            <w:r>
              <w:rPr>
                <w:rFonts w:ascii="Calibri" w:eastAsia="ヒラギノ角ゴ Pro W3" w:hAnsi="Calibri" w:cs="Calibri"/>
                <w:kern w:val="24"/>
                <w:lang w:eastAsia="ja-JP"/>
              </w:rPr>
              <w:t>1</w:t>
            </w:r>
          </w:p>
        </w:tc>
      </w:tr>
    </w:tbl>
    <w:p w14:paraId="3D069657" w14:textId="60C9074B" w:rsidR="00FA2AD3" w:rsidRDefault="00FA2AD3" w:rsidP="00D82647">
      <w:pPr>
        <w:spacing w:before="240" w:after="120"/>
        <w:rPr>
          <w:lang w:eastAsia="en-US"/>
        </w:rPr>
      </w:pPr>
      <w:r>
        <w:rPr>
          <w:lang w:eastAsia="en-US"/>
        </w:rPr>
        <w:lastRenderedPageBreak/>
        <w:t xml:space="preserve">In </w:t>
      </w:r>
      <w:r w:rsidR="00DB03FC">
        <w:rPr>
          <w:lang w:eastAsia="en-US"/>
        </w:rPr>
        <w:t>legacy</w:t>
      </w:r>
      <w:r>
        <w:rPr>
          <w:lang w:eastAsia="en-US"/>
        </w:rPr>
        <w:t xml:space="preserve"> specs, HARQ bundling in eMTC multi-TB scheduling is indicated by the DCI field “</w:t>
      </w:r>
      <w:r w:rsidRPr="008D4C23">
        <w:rPr>
          <w:lang w:eastAsia="en-US"/>
        </w:rPr>
        <w:t>Multi-TB HARQ-ACK bundling size</w:t>
      </w:r>
      <w:r>
        <w:rPr>
          <w:lang w:eastAsia="en-US"/>
        </w:rPr>
        <w:t xml:space="preserve">” (TS 36.213, section 7.3) and HARQ-ACK timing depends on whether TB interleaving or HD-FDD is in use (TS 36.213, section 10.2). For NB-IoT, two TBs can be scheduled in two HARQ processes, and HARQ-ACK timing is indicated by the “HARQ-ACK resource” DCI field (TS 36.213, section 16.4.2). </w:t>
      </w:r>
    </w:p>
    <w:p w14:paraId="40C24DBD" w14:textId="77777777" w:rsidR="00FA2AD3" w:rsidRDefault="00FA2AD3" w:rsidP="00FA2AD3">
      <w:pPr>
        <w:spacing w:after="120"/>
        <w:jc w:val="both"/>
        <w:rPr>
          <w:lang w:eastAsia="en-US"/>
        </w:rPr>
      </w:pPr>
      <w:r>
        <w:rPr>
          <w:lang w:eastAsia="en-US"/>
        </w:rPr>
        <w:t>To decide on how HARQ-ACK is reported when some of the HARQ processes of the scheduled TBs are feedback disabled, we need to consider multiple cases such as HARQ bundling, TB interleaving, HD-FDD, and eMTC vs. NB-IoT. Given that the eNB is not expecting HARQ-ACK from a feedback disabled process, the solution should in principle strive for UE power saving, efficient use of UL resource, and less scheduling restriction for new DL data.</w:t>
      </w:r>
    </w:p>
    <w:p w14:paraId="792D2618" w14:textId="72831542" w:rsidR="00FA2AD3" w:rsidRDefault="00FA2AD3" w:rsidP="00FA2AD3">
      <w:pPr>
        <w:spacing w:after="120"/>
        <w:jc w:val="both"/>
        <w:rPr>
          <w:b/>
          <w:bCs/>
          <w:lang w:eastAsia="en-US"/>
        </w:rPr>
      </w:pPr>
      <w:r w:rsidRPr="00AE5930">
        <w:rPr>
          <w:b/>
          <w:bCs/>
          <w:lang w:eastAsia="en-US"/>
        </w:rPr>
        <w:t xml:space="preserve">Proposal </w:t>
      </w:r>
      <w:r w:rsidR="00C86015">
        <w:rPr>
          <w:b/>
          <w:bCs/>
          <w:lang w:eastAsia="en-US"/>
        </w:rPr>
        <w:t>8</w:t>
      </w:r>
      <w:r w:rsidRPr="00AE5930">
        <w:rPr>
          <w:b/>
          <w:bCs/>
          <w:lang w:eastAsia="en-US"/>
        </w:rPr>
        <w:t xml:space="preserve">: </w:t>
      </w:r>
      <w:r>
        <w:rPr>
          <w:b/>
          <w:bCs/>
          <w:lang w:eastAsia="en-US"/>
        </w:rPr>
        <w:t>HARQ-ACK reporting for IoT NTN in multi-TB scheduling should consider the cases of HARQ bundling, TB interleaving, HD-FDD vs FD-FDD, eMTC vs NB-IoT.</w:t>
      </w:r>
    </w:p>
    <w:p w14:paraId="4376362B" w14:textId="29D36AF5" w:rsidR="00625433" w:rsidRDefault="00FA2AD3" w:rsidP="00FA2AD3">
      <w:pPr>
        <w:spacing w:after="120"/>
        <w:jc w:val="both"/>
      </w:pPr>
      <w:r>
        <w:rPr>
          <w:b/>
          <w:bCs/>
          <w:lang w:eastAsia="en-US"/>
        </w:rPr>
        <w:t xml:space="preserve">Proposal </w:t>
      </w:r>
      <w:r w:rsidR="00C86015">
        <w:rPr>
          <w:b/>
          <w:bCs/>
          <w:lang w:eastAsia="en-US"/>
        </w:rPr>
        <w:t>9</w:t>
      </w:r>
      <w:r>
        <w:rPr>
          <w:b/>
          <w:bCs/>
          <w:lang w:eastAsia="en-US"/>
        </w:rPr>
        <w:t>: HARQ-ACK reporting for IoT NTN in multi-TB scheduling should try to avoid unnecessary UE power and UL resource waste and allow for earlier DL data monitoring.</w:t>
      </w:r>
    </w:p>
    <w:p w14:paraId="43B176F1" w14:textId="2B4C3CA2" w:rsidR="0077437D" w:rsidRPr="000708C4" w:rsidRDefault="0077437D" w:rsidP="0077437D">
      <w:pPr>
        <w:jc w:val="both"/>
        <w:rPr>
          <w:rFonts w:ascii="Calibri" w:eastAsia="宋体" w:hAnsi="Calibri" w:cs="Arial"/>
          <w:b/>
          <w:bCs/>
          <w:lang w:val="en-GB"/>
        </w:rPr>
      </w:pPr>
      <w:r w:rsidRPr="000A156F">
        <w:rPr>
          <w:rFonts w:ascii="Calibri" w:eastAsia="宋体" w:hAnsi="Calibri" w:cs="Arial"/>
          <w:b/>
          <w:bCs/>
          <w:lang w:val="en-GB"/>
        </w:rPr>
        <w:t xml:space="preserve"> </w:t>
      </w:r>
    </w:p>
    <w:p w14:paraId="10445A01" w14:textId="5C013A51" w:rsidR="00885580" w:rsidRDefault="007820D0" w:rsidP="00885580">
      <w:pPr>
        <w:pStyle w:val="Heading1"/>
      </w:pPr>
      <w:bookmarkStart w:id="3" w:name="_Hlk68691077"/>
      <w:bookmarkEnd w:id="1"/>
      <w:r>
        <w:t>Conclusion</w:t>
      </w:r>
    </w:p>
    <w:p w14:paraId="384567B8" w14:textId="29FB1AF4" w:rsidR="005E3D1B" w:rsidRDefault="007F4D52" w:rsidP="00825136">
      <w:pPr>
        <w:jc w:val="both"/>
      </w:pPr>
      <w:r w:rsidRPr="00E87A97">
        <w:t xml:space="preserve">In this contribution, we discussed </w:t>
      </w:r>
      <w:r w:rsidR="003418FE">
        <w:t>d</w:t>
      </w:r>
      <w:r w:rsidR="003418FE" w:rsidRPr="003418FE">
        <w:t>isabling of HARQ feedback for NB-IoT/eMTC over NTN</w:t>
      </w:r>
      <w:r w:rsidR="00EC7650" w:rsidRPr="00FC0171">
        <w:t>, our observations and proposals are presented as following:</w:t>
      </w:r>
    </w:p>
    <w:p w14:paraId="0CEB2593" w14:textId="77777777" w:rsidR="00D96B43" w:rsidRDefault="00D96B43" w:rsidP="00D96B43">
      <w:pPr>
        <w:rPr>
          <w:b/>
          <w:bCs/>
          <w:lang w:val="en-GB" w:eastAsia="en-US"/>
        </w:rPr>
      </w:pPr>
      <w:r>
        <w:rPr>
          <w:b/>
          <w:bCs/>
          <w:lang w:val="en-GB" w:eastAsia="en-US"/>
        </w:rPr>
        <w:t xml:space="preserve">Observation 1: Option 1 in DCI to indicate HARQ feedback enabling/disabling, is simple and no impact to other field of DCI, but it </w:t>
      </w:r>
      <w:proofErr w:type="gramStart"/>
      <w:r>
        <w:rPr>
          <w:b/>
          <w:bCs/>
          <w:lang w:val="en-GB" w:eastAsia="en-US"/>
        </w:rPr>
        <w:t>need</w:t>
      </w:r>
      <w:proofErr w:type="gramEnd"/>
      <w:r>
        <w:rPr>
          <w:b/>
          <w:bCs/>
          <w:lang w:val="en-GB" w:eastAsia="en-US"/>
        </w:rPr>
        <w:t xml:space="preserve"> UE to support more DCI size for case when UE is configured or not configured with dynamic HARQ feedback enabling/disabling and some minor impact on DCI decoding performance.</w:t>
      </w:r>
    </w:p>
    <w:p w14:paraId="340D3AA4" w14:textId="77777777" w:rsidR="00D96B43" w:rsidRDefault="00D96B43" w:rsidP="00D96B43">
      <w:pPr>
        <w:rPr>
          <w:b/>
          <w:bCs/>
          <w:lang w:val="en-GB" w:eastAsia="en-US"/>
        </w:rPr>
      </w:pPr>
      <w:r>
        <w:rPr>
          <w:b/>
          <w:bCs/>
          <w:lang w:val="en-GB" w:eastAsia="en-US"/>
        </w:rPr>
        <w:t xml:space="preserve">Observation 2: Option 2A in DCI to indicate HARQ feedback enabling/disabling will not need new DCI </w:t>
      </w:r>
      <w:proofErr w:type="gramStart"/>
      <w:r>
        <w:rPr>
          <w:b/>
          <w:bCs/>
          <w:lang w:val="en-GB" w:eastAsia="en-US"/>
        </w:rPr>
        <w:t>size</w:t>
      </w:r>
      <w:proofErr w:type="gramEnd"/>
      <w:r>
        <w:rPr>
          <w:b/>
          <w:bCs/>
          <w:lang w:val="en-GB" w:eastAsia="en-US"/>
        </w:rPr>
        <w:t xml:space="preserve"> but it should consider different state used for different UE to reduce restriction on scheduling flexibility and HARQ=ACK resource utilization.</w:t>
      </w:r>
    </w:p>
    <w:p w14:paraId="7A8F6EEE" w14:textId="77777777" w:rsidR="00D96B43" w:rsidRPr="00F31C3D" w:rsidRDefault="00D96B43" w:rsidP="00D96B43">
      <w:pPr>
        <w:rPr>
          <w:b/>
          <w:bCs/>
          <w:lang w:val="en-GB" w:eastAsia="en-US"/>
        </w:rPr>
      </w:pPr>
      <w:r>
        <w:rPr>
          <w:b/>
          <w:bCs/>
          <w:lang w:val="en-GB" w:eastAsia="en-US"/>
        </w:rPr>
        <w:t>Observation 3: Option 2B in DCI to indicate HARQ feedback enabling/disabling will not need new DCI size while it may not have much restriction on scheduling as per-UE MCS/repetition number will not change frequently in IoT NTN and it can provide common design for DL feedback enabling/disabling and UL HARQ mode A/B.</w:t>
      </w:r>
    </w:p>
    <w:p w14:paraId="7CAD46A7" w14:textId="77777777" w:rsidR="00D96B43" w:rsidRPr="00473468" w:rsidRDefault="00D96B43" w:rsidP="00D96B43">
      <w:pPr>
        <w:jc w:val="both"/>
        <w:rPr>
          <w:b/>
          <w:bCs/>
          <w:lang w:val="en-GB" w:eastAsia="en-US"/>
        </w:rPr>
      </w:pPr>
      <w:r w:rsidRPr="00473468">
        <w:rPr>
          <w:b/>
          <w:bCs/>
          <w:lang w:val="en-GB" w:eastAsia="en-US"/>
        </w:rPr>
        <w:t xml:space="preserve">Observation </w:t>
      </w:r>
      <w:r>
        <w:rPr>
          <w:b/>
          <w:bCs/>
          <w:lang w:val="en-GB" w:eastAsia="en-US"/>
        </w:rPr>
        <w:t>4</w:t>
      </w:r>
      <w:r w:rsidRPr="00473468">
        <w:rPr>
          <w:b/>
          <w:bCs/>
          <w:lang w:val="en-GB" w:eastAsia="en-US"/>
        </w:rPr>
        <w:t>: When the UE fails to detect a DCI with a toggled NDI, the UE’s NDI state becomes out of sync with the network and results in subsequent TB decoding errors.</w:t>
      </w:r>
    </w:p>
    <w:p w14:paraId="0E7EDA8B" w14:textId="77777777" w:rsidR="00D96B43" w:rsidRPr="004D0F2D" w:rsidRDefault="00D96B43" w:rsidP="00D96B43">
      <w:pPr>
        <w:spacing w:after="120"/>
        <w:jc w:val="both"/>
        <w:rPr>
          <w:b/>
          <w:bCs/>
        </w:rPr>
      </w:pPr>
      <w:r w:rsidRPr="004D0F2D">
        <w:rPr>
          <w:b/>
          <w:bCs/>
        </w:rPr>
        <w:t xml:space="preserve">Observation </w:t>
      </w:r>
      <w:r>
        <w:rPr>
          <w:b/>
          <w:bCs/>
        </w:rPr>
        <w:t>5</w:t>
      </w:r>
      <w:r w:rsidRPr="004D0F2D">
        <w:rPr>
          <w:b/>
          <w:bCs/>
        </w:rPr>
        <w:t xml:space="preserve">: </w:t>
      </w:r>
      <w:r>
        <w:rPr>
          <w:b/>
          <w:bCs/>
        </w:rPr>
        <w:t>DCI indication for HARQ feedback enable/disable in single TB scheduling can be applied to multi-TB scheduling.</w:t>
      </w:r>
    </w:p>
    <w:p w14:paraId="221B0953" w14:textId="4540B7A8" w:rsidR="002B2327" w:rsidRPr="00D96B43" w:rsidRDefault="002B2327" w:rsidP="002B2327">
      <w:pPr>
        <w:spacing w:after="120"/>
        <w:jc w:val="both"/>
      </w:pPr>
    </w:p>
    <w:p w14:paraId="4E3A2942" w14:textId="77777777" w:rsidR="00D96B43" w:rsidRPr="003C5670" w:rsidRDefault="00D96B43" w:rsidP="00D96B43">
      <w:pPr>
        <w:spacing w:before="120" w:line="257" w:lineRule="auto"/>
        <w:jc w:val="both"/>
        <w:rPr>
          <w:rFonts w:ascii="Calibri" w:eastAsia="Calibri" w:hAnsi="Calibri" w:cs="Calibri"/>
          <w:b/>
          <w:bCs/>
          <w:lang w:val="en-GB"/>
        </w:rPr>
      </w:pPr>
      <w:r w:rsidRPr="003C5670">
        <w:rPr>
          <w:rFonts w:ascii="Calibri" w:eastAsia="Calibri" w:hAnsi="Calibri" w:cs="Calibri"/>
          <w:b/>
          <w:bCs/>
          <w:lang w:val="en-GB"/>
        </w:rPr>
        <w:t xml:space="preserve">Proposal </w:t>
      </w:r>
      <w:r>
        <w:rPr>
          <w:rFonts w:ascii="Calibri" w:eastAsia="Calibri" w:hAnsi="Calibri" w:cs="Calibri"/>
          <w:b/>
          <w:bCs/>
          <w:lang w:val="en-GB"/>
        </w:rPr>
        <w:t>1</w:t>
      </w:r>
      <w:r w:rsidRPr="003C5670">
        <w:rPr>
          <w:rFonts w:ascii="Calibri" w:eastAsia="Calibri" w:hAnsi="Calibri" w:cs="Calibri"/>
          <w:b/>
          <w:bCs/>
          <w:lang w:val="en-GB"/>
        </w:rPr>
        <w:t>: When configured with Option 1 and Option 3, the DCI-based overridden mechanism applies to both semi-statically HARQ feedback enabled and disabled processes.</w:t>
      </w:r>
      <w:r>
        <w:rPr>
          <w:rFonts w:ascii="Calibri" w:eastAsia="Calibri" w:hAnsi="Calibri" w:cs="Calibri"/>
          <w:b/>
          <w:bCs/>
          <w:lang w:val="en-GB"/>
        </w:rPr>
        <w:t xml:space="preserve"> Option A-4 for Option A should be supported.</w:t>
      </w:r>
    </w:p>
    <w:p w14:paraId="0A2823E7" w14:textId="77777777" w:rsidR="00D96B43" w:rsidRDefault="00D96B43" w:rsidP="00D96B43">
      <w:pPr>
        <w:rPr>
          <w:b/>
          <w:bCs/>
          <w:lang w:val="en-GB" w:eastAsia="en-US"/>
        </w:rPr>
      </w:pPr>
      <w:r>
        <w:rPr>
          <w:b/>
          <w:bCs/>
          <w:lang w:val="en-GB" w:eastAsia="en-US"/>
        </w:rPr>
        <w:t>Proposal 2: For DCI-based direct indication, support Option 1 (by adding one field) or Option 2</w:t>
      </w:r>
      <w:proofErr w:type="gramStart"/>
      <w:r>
        <w:rPr>
          <w:b/>
          <w:bCs/>
          <w:lang w:val="en-GB" w:eastAsia="en-US"/>
        </w:rPr>
        <w:t>A  or</w:t>
      </w:r>
      <w:proofErr w:type="gramEnd"/>
      <w:r>
        <w:rPr>
          <w:b/>
          <w:bCs/>
          <w:lang w:val="en-GB" w:eastAsia="en-US"/>
        </w:rPr>
        <w:t xml:space="preserve"> Option 2B.</w:t>
      </w:r>
    </w:p>
    <w:p w14:paraId="40F60087" w14:textId="77777777" w:rsidR="00D96B43" w:rsidRDefault="00D96B43" w:rsidP="00D96B43">
      <w:pPr>
        <w:spacing w:before="120" w:line="257" w:lineRule="auto"/>
        <w:jc w:val="both"/>
        <w:rPr>
          <w:lang w:val="en-GB" w:eastAsia="en-US"/>
        </w:rPr>
      </w:pPr>
      <w:r>
        <w:rPr>
          <w:b/>
          <w:bCs/>
          <w:lang w:val="en-GB" w:eastAsia="en-US"/>
        </w:rPr>
        <w:t>Proposal 3: For Option 2A, the HARQ-ACK resource state for HARQ feedback disable indication should be UE specific so as not to limit the network’s HARQ-ACK resource availability.</w:t>
      </w:r>
    </w:p>
    <w:p w14:paraId="25B9767D" w14:textId="77777777" w:rsidR="00D96B43" w:rsidRPr="005437CE" w:rsidRDefault="00D96B43" w:rsidP="00D96B43">
      <w:pPr>
        <w:jc w:val="both"/>
        <w:rPr>
          <w:b/>
          <w:bCs/>
          <w:lang w:val="en-GB" w:eastAsia="en-US"/>
        </w:rPr>
      </w:pPr>
      <w:r w:rsidRPr="005437CE">
        <w:rPr>
          <w:b/>
          <w:bCs/>
          <w:lang w:val="en-GB" w:eastAsia="en-US"/>
        </w:rPr>
        <w:lastRenderedPageBreak/>
        <w:t xml:space="preserve">Proposal </w:t>
      </w:r>
      <w:r>
        <w:rPr>
          <w:b/>
          <w:bCs/>
          <w:lang w:val="en-GB" w:eastAsia="en-US"/>
        </w:rPr>
        <w:t>4</w:t>
      </w:r>
      <w:r w:rsidRPr="005437CE">
        <w:rPr>
          <w:b/>
          <w:bCs/>
          <w:lang w:val="en-GB" w:eastAsia="en-US"/>
        </w:rPr>
        <w:t xml:space="preserve">: Evaluate the impact of NDI out of sync due to DCI detection failure </w:t>
      </w:r>
      <w:r>
        <w:rPr>
          <w:b/>
          <w:bCs/>
          <w:lang w:val="en-GB" w:eastAsia="en-US"/>
        </w:rPr>
        <w:t xml:space="preserve">when HARQ feedback is disabled </w:t>
      </w:r>
      <w:r w:rsidRPr="005437CE">
        <w:rPr>
          <w:b/>
          <w:bCs/>
          <w:lang w:val="en-GB" w:eastAsia="en-US"/>
        </w:rPr>
        <w:t>and study possible solutions.</w:t>
      </w:r>
    </w:p>
    <w:p w14:paraId="35E883C8" w14:textId="77777777" w:rsidR="00D96B43" w:rsidRPr="0043116B" w:rsidRDefault="00D96B43" w:rsidP="00D96B43">
      <w:pPr>
        <w:jc w:val="both"/>
        <w:rPr>
          <w:lang w:val="en-GB" w:eastAsia="en-US"/>
        </w:rPr>
      </w:pPr>
      <w:r w:rsidRPr="00340D6D">
        <w:rPr>
          <w:b/>
          <w:bCs/>
          <w:lang w:val="en-GB" w:eastAsia="en-US"/>
        </w:rPr>
        <w:t xml:space="preserve">Proposal </w:t>
      </w:r>
      <w:r>
        <w:rPr>
          <w:b/>
          <w:bCs/>
          <w:lang w:val="en-GB" w:eastAsia="en-US"/>
        </w:rPr>
        <w:t>5</w:t>
      </w:r>
      <w:r w:rsidRPr="00340D6D">
        <w:rPr>
          <w:b/>
          <w:bCs/>
          <w:lang w:val="en-GB" w:eastAsia="en-US"/>
        </w:rPr>
        <w:t xml:space="preserve">: Consider using HARQ-ACK resource field </w:t>
      </w:r>
      <w:r>
        <w:rPr>
          <w:b/>
          <w:bCs/>
          <w:lang w:val="en-GB" w:eastAsia="en-US"/>
        </w:rPr>
        <w:t xml:space="preserve">for </w:t>
      </w:r>
      <w:r w:rsidRPr="00340D6D">
        <w:rPr>
          <w:b/>
          <w:bCs/>
          <w:lang w:val="en-GB" w:eastAsia="en-US"/>
        </w:rPr>
        <w:t xml:space="preserve">TB identifier </w:t>
      </w:r>
      <w:r>
        <w:rPr>
          <w:b/>
          <w:bCs/>
          <w:lang w:val="en-GB" w:eastAsia="en-US"/>
        </w:rPr>
        <w:t xml:space="preserve">indication </w:t>
      </w:r>
      <w:r w:rsidRPr="00340D6D">
        <w:rPr>
          <w:b/>
          <w:bCs/>
          <w:lang w:val="en-GB" w:eastAsia="en-US"/>
        </w:rPr>
        <w:t xml:space="preserve">to </w:t>
      </w:r>
      <w:r>
        <w:rPr>
          <w:b/>
          <w:bCs/>
          <w:lang w:val="en-GB" w:eastAsia="en-US"/>
        </w:rPr>
        <w:t>mitigate</w:t>
      </w:r>
      <w:r w:rsidRPr="00340D6D">
        <w:rPr>
          <w:b/>
          <w:bCs/>
          <w:lang w:val="en-GB" w:eastAsia="en-US"/>
        </w:rPr>
        <w:t xml:space="preserve"> NDI out of sync when HARQ feedback is disabled.</w:t>
      </w:r>
      <w:r>
        <w:rPr>
          <w:b/>
          <w:bCs/>
          <w:lang w:val="en-GB" w:eastAsia="en-US"/>
        </w:rPr>
        <w:t xml:space="preserve"> </w:t>
      </w:r>
    </w:p>
    <w:p w14:paraId="0D8C4B90" w14:textId="77777777" w:rsidR="00D96B43" w:rsidRDefault="00D96B43" w:rsidP="00D96B43">
      <w:pPr>
        <w:spacing w:after="120"/>
        <w:jc w:val="both"/>
        <w:rPr>
          <w:b/>
          <w:bCs/>
          <w:lang w:eastAsia="en-US"/>
        </w:rPr>
      </w:pPr>
      <w:r w:rsidRPr="004D0F2D">
        <w:rPr>
          <w:b/>
          <w:bCs/>
          <w:lang w:eastAsia="en-US"/>
        </w:rPr>
        <w:t xml:space="preserve">Proposal </w:t>
      </w:r>
      <w:r>
        <w:rPr>
          <w:b/>
          <w:bCs/>
          <w:lang w:eastAsia="en-US"/>
        </w:rPr>
        <w:t>6: The same DCI indication for HARQ feedback enable/disable in single-TB scheduling is used for HARQ feedback enable/disable in multi-TB scheduling.</w:t>
      </w:r>
    </w:p>
    <w:p w14:paraId="5A3B837D" w14:textId="77777777" w:rsidR="00D96B43" w:rsidRPr="00A742EE" w:rsidRDefault="00D96B43" w:rsidP="00D96B43">
      <w:pPr>
        <w:jc w:val="both"/>
        <w:rPr>
          <w:b/>
          <w:bCs/>
        </w:rPr>
      </w:pPr>
      <w:r>
        <w:rPr>
          <w:b/>
          <w:bCs/>
          <w:lang w:eastAsia="en-US"/>
        </w:rPr>
        <w:t xml:space="preserve">Proposal 7: A subset of scheduled TBs can be configured for DCI-based HARQ feedback enable/disable in multi-TB scheduling. </w:t>
      </w:r>
      <w:r w:rsidRPr="00A742EE">
        <w:rPr>
          <w:b/>
          <w:bCs/>
        </w:rPr>
        <w:t xml:space="preserve"> </w:t>
      </w:r>
    </w:p>
    <w:p w14:paraId="1A04E4A0" w14:textId="77777777" w:rsidR="00D96B43" w:rsidRDefault="00D96B43" w:rsidP="00D96B43">
      <w:pPr>
        <w:spacing w:after="120"/>
        <w:jc w:val="both"/>
        <w:rPr>
          <w:b/>
          <w:bCs/>
          <w:lang w:eastAsia="en-US"/>
        </w:rPr>
      </w:pPr>
      <w:r w:rsidRPr="00AE5930">
        <w:rPr>
          <w:b/>
          <w:bCs/>
          <w:lang w:eastAsia="en-US"/>
        </w:rPr>
        <w:t xml:space="preserve">Proposal </w:t>
      </w:r>
      <w:r>
        <w:rPr>
          <w:b/>
          <w:bCs/>
          <w:lang w:eastAsia="en-US"/>
        </w:rPr>
        <w:t>8</w:t>
      </w:r>
      <w:r w:rsidRPr="00AE5930">
        <w:rPr>
          <w:b/>
          <w:bCs/>
          <w:lang w:eastAsia="en-US"/>
        </w:rPr>
        <w:t xml:space="preserve">: </w:t>
      </w:r>
      <w:r>
        <w:rPr>
          <w:b/>
          <w:bCs/>
          <w:lang w:eastAsia="en-US"/>
        </w:rPr>
        <w:t xml:space="preserve">HARQ-ACK reporting for IoT NTN in multi-TB scheduling should consider the cases of HARQ bundling, TB interleaving, HD-FDD vs FD-FDD, </w:t>
      </w:r>
      <w:proofErr w:type="spellStart"/>
      <w:r>
        <w:rPr>
          <w:b/>
          <w:bCs/>
          <w:lang w:eastAsia="en-US"/>
        </w:rPr>
        <w:t>eMTC</w:t>
      </w:r>
      <w:proofErr w:type="spellEnd"/>
      <w:r>
        <w:rPr>
          <w:b/>
          <w:bCs/>
          <w:lang w:eastAsia="en-US"/>
        </w:rPr>
        <w:t xml:space="preserve"> vs NB-IoT.</w:t>
      </w:r>
    </w:p>
    <w:p w14:paraId="48C39B60" w14:textId="77777777" w:rsidR="00D96B43" w:rsidRDefault="00D96B43" w:rsidP="00D96B43">
      <w:pPr>
        <w:spacing w:after="120"/>
        <w:jc w:val="both"/>
      </w:pPr>
      <w:r>
        <w:rPr>
          <w:b/>
          <w:bCs/>
          <w:lang w:eastAsia="en-US"/>
        </w:rPr>
        <w:t>Proposal 9: HARQ-ACK reporting for IoT NTN in multi-TB scheduling should try to avoid unnecessary UE power and UL resource waste and allow for earlier DL data monitoring.</w:t>
      </w:r>
    </w:p>
    <w:p w14:paraId="5ED28B62" w14:textId="77777777" w:rsidR="00D96B43" w:rsidRPr="00D96B43" w:rsidRDefault="00D96B43" w:rsidP="002B2327">
      <w:pPr>
        <w:spacing w:after="120"/>
        <w:jc w:val="both"/>
      </w:pPr>
    </w:p>
    <w:p w14:paraId="53CD9119" w14:textId="5206E1F5" w:rsidR="00885580" w:rsidRDefault="00885580" w:rsidP="00885580">
      <w:pPr>
        <w:pStyle w:val="Heading1"/>
        <w:numPr>
          <w:ilvl w:val="0"/>
          <w:numId w:val="0"/>
        </w:numPr>
      </w:pPr>
      <w:r>
        <w:t>References</w:t>
      </w:r>
    </w:p>
    <w:p w14:paraId="199A6166" w14:textId="0A5FBD6E" w:rsidR="0080410A" w:rsidRDefault="005217AD" w:rsidP="0048015B">
      <w:pPr>
        <w:pStyle w:val="ListParagraph"/>
        <w:numPr>
          <w:ilvl w:val="0"/>
          <w:numId w:val="16"/>
        </w:numPr>
        <w:rPr>
          <w:rFonts w:cstheme="minorHAnsi"/>
          <w:sz w:val="22"/>
          <w:szCs w:val="22"/>
          <w:lang w:val="en-US"/>
        </w:rPr>
      </w:pPr>
      <w:bookmarkStart w:id="4" w:name="_Ref110864604"/>
      <w:bookmarkStart w:id="5" w:name="_Ref101780668"/>
      <w:bookmarkEnd w:id="3"/>
      <w:r w:rsidRPr="005217AD">
        <w:rPr>
          <w:rFonts w:cstheme="minorHAnsi"/>
          <w:sz w:val="22"/>
          <w:szCs w:val="22"/>
          <w:lang w:val="en-US"/>
        </w:rPr>
        <w:t>RP-223519</w:t>
      </w:r>
      <w:r w:rsidR="0080410A" w:rsidRPr="006E7BE0">
        <w:rPr>
          <w:rFonts w:cstheme="minorHAnsi"/>
          <w:sz w:val="22"/>
          <w:szCs w:val="22"/>
          <w:lang w:val="en-US"/>
        </w:rPr>
        <w:t>, Revised WID on IoT NTN enhancements, 3GPP TSG RAN Meeting #9</w:t>
      </w:r>
      <w:r>
        <w:rPr>
          <w:rFonts w:cstheme="minorHAnsi"/>
          <w:sz w:val="22"/>
          <w:szCs w:val="22"/>
          <w:lang w:val="en-US"/>
        </w:rPr>
        <w:t>8e</w:t>
      </w:r>
      <w:r w:rsidR="0080410A" w:rsidRPr="006E7BE0">
        <w:rPr>
          <w:rFonts w:cstheme="minorHAnsi"/>
          <w:sz w:val="22"/>
          <w:szCs w:val="22"/>
          <w:lang w:val="en-US"/>
        </w:rPr>
        <w:t xml:space="preserve">, </w:t>
      </w:r>
      <w:r>
        <w:rPr>
          <w:rFonts w:cstheme="minorHAnsi"/>
          <w:sz w:val="22"/>
          <w:szCs w:val="22"/>
          <w:lang w:val="en-US"/>
        </w:rPr>
        <w:t>December</w:t>
      </w:r>
      <w:r w:rsidR="0080410A" w:rsidRPr="0080410A">
        <w:rPr>
          <w:rFonts w:cstheme="minorHAnsi"/>
          <w:sz w:val="22"/>
          <w:szCs w:val="22"/>
          <w:lang w:val="en-US"/>
        </w:rPr>
        <w:t xml:space="preserve"> </w:t>
      </w:r>
      <w:r>
        <w:rPr>
          <w:rFonts w:cstheme="minorHAnsi"/>
          <w:sz w:val="22"/>
          <w:szCs w:val="22"/>
          <w:lang w:val="en-US"/>
        </w:rPr>
        <w:t>12-16</w:t>
      </w:r>
      <w:r w:rsidR="0080410A" w:rsidRPr="0080410A">
        <w:rPr>
          <w:rFonts w:cstheme="minorHAnsi"/>
          <w:sz w:val="22"/>
          <w:szCs w:val="22"/>
          <w:lang w:val="en-US"/>
        </w:rPr>
        <w:t>, 2022</w:t>
      </w:r>
      <w:r w:rsidR="0080410A" w:rsidRPr="006E7BE0">
        <w:rPr>
          <w:rFonts w:cstheme="minorHAnsi"/>
          <w:sz w:val="22"/>
          <w:szCs w:val="22"/>
          <w:lang w:val="en-US"/>
        </w:rPr>
        <w:t>.</w:t>
      </w:r>
      <w:bookmarkEnd w:id="4"/>
    </w:p>
    <w:p w14:paraId="3C457182" w14:textId="1C3897DA" w:rsidR="00CE2516" w:rsidRDefault="00CE2516" w:rsidP="0048015B">
      <w:pPr>
        <w:pStyle w:val="ListParagraph"/>
        <w:numPr>
          <w:ilvl w:val="0"/>
          <w:numId w:val="16"/>
        </w:numPr>
        <w:rPr>
          <w:rFonts w:cstheme="minorHAnsi"/>
          <w:sz w:val="22"/>
          <w:szCs w:val="22"/>
          <w:lang w:val="en-US"/>
        </w:rPr>
      </w:pPr>
      <w:bookmarkStart w:id="6" w:name="_Ref130930496"/>
      <w:bookmarkStart w:id="7" w:name="_Ref117621126"/>
      <w:bookmarkStart w:id="8" w:name="_Ref110865186"/>
      <w:r w:rsidRPr="00C87A88">
        <w:rPr>
          <w:rFonts w:cstheme="minorHAnsi"/>
          <w:sz w:val="22"/>
          <w:szCs w:val="22"/>
          <w:lang w:val="en-US"/>
        </w:rPr>
        <w:t>RAN1 Chai</w:t>
      </w:r>
      <w:r>
        <w:rPr>
          <w:rFonts w:cstheme="minorHAnsi"/>
          <w:sz w:val="22"/>
          <w:szCs w:val="22"/>
          <w:lang w:val="en-US"/>
        </w:rPr>
        <w:t>rman</w:t>
      </w:r>
      <w:r w:rsidRPr="00C87A88">
        <w:rPr>
          <w:rFonts w:cstheme="minorHAnsi"/>
          <w:sz w:val="22"/>
          <w:szCs w:val="22"/>
          <w:lang w:val="en-US"/>
        </w:rPr>
        <w:t>’s notes</w:t>
      </w:r>
      <w:r>
        <w:rPr>
          <w:rFonts w:cstheme="minorHAnsi"/>
          <w:sz w:val="22"/>
          <w:szCs w:val="22"/>
          <w:lang w:val="en-US"/>
        </w:rPr>
        <w:t>,</w:t>
      </w:r>
      <w:r w:rsidRPr="00CE2516">
        <w:rPr>
          <w:rFonts w:cstheme="minorHAnsi"/>
          <w:sz w:val="22"/>
          <w:szCs w:val="22"/>
          <w:lang w:val="en-US"/>
        </w:rPr>
        <w:t xml:space="preserve"> 3GPP TSG RAN WG1 #112bis-e</w:t>
      </w:r>
      <w:r>
        <w:rPr>
          <w:rFonts w:cstheme="minorHAnsi"/>
          <w:sz w:val="22"/>
          <w:szCs w:val="22"/>
          <w:lang w:val="en-US"/>
        </w:rPr>
        <w:t xml:space="preserve">, </w:t>
      </w:r>
      <w:r w:rsidRPr="00CE2516">
        <w:rPr>
          <w:rFonts w:cstheme="minorHAnsi"/>
          <w:sz w:val="22"/>
          <w:szCs w:val="22"/>
          <w:lang w:val="en-US"/>
        </w:rPr>
        <w:t>e-Meeting, April 17th – April 26th, 2023</w:t>
      </w:r>
      <w:r>
        <w:rPr>
          <w:rFonts w:cstheme="minorHAnsi"/>
          <w:sz w:val="22"/>
          <w:szCs w:val="22"/>
          <w:lang w:val="en-US"/>
        </w:rPr>
        <w:t>.</w:t>
      </w:r>
    </w:p>
    <w:bookmarkEnd w:id="0"/>
    <w:bookmarkEnd w:id="5"/>
    <w:bookmarkEnd w:id="6"/>
    <w:bookmarkEnd w:id="7"/>
    <w:bookmarkEnd w:id="8"/>
    <w:p w14:paraId="04DEEEC4" w14:textId="0A220F5B" w:rsidR="009D7FB1" w:rsidRDefault="009D7FB1">
      <w:pPr>
        <w:spacing w:after="0" w:line="240" w:lineRule="auto"/>
        <w:rPr>
          <w:rFonts w:ascii="Times New Roman" w:hAnsi="Times New Roman" w:cs="Times New Roman"/>
          <w:sz w:val="20"/>
        </w:rPr>
      </w:pPr>
    </w:p>
    <w:p w14:paraId="5F40594F" w14:textId="77777777" w:rsidR="009D7FB1" w:rsidRPr="00074A3A" w:rsidRDefault="009D7FB1" w:rsidP="00074A3A">
      <w:pPr>
        <w:rPr>
          <w:lang w:val="en-GB"/>
        </w:rPr>
      </w:pPr>
    </w:p>
    <w:sectPr w:rsidR="009D7FB1" w:rsidRPr="00074A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3C9CA" w14:textId="77777777" w:rsidR="00101397" w:rsidRDefault="00101397">
      <w:r>
        <w:separator/>
      </w:r>
    </w:p>
  </w:endnote>
  <w:endnote w:type="continuationSeparator" w:id="0">
    <w:p w14:paraId="3A5DC775" w14:textId="77777777" w:rsidR="00101397" w:rsidRDefault="00101397">
      <w:r>
        <w:continuationSeparator/>
      </w:r>
    </w:p>
  </w:endnote>
  <w:endnote w:type="continuationNotice" w:id="1">
    <w:p w14:paraId="7DCC16B3" w14:textId="77777777" w:rsidR="00101397" w:rsidRDefault="00101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8196" w14:textId="77777777" w:rsidR="00101397" w:rsidRDefault="00101397">
      <w:r>
        <w:separator/>
      </w:r>
    </w:p>
  </w:footnote>
  <w:footnote w:type="continuationSeparator" w:id="0">
    <w:p w14:paraId="352E7BAE" w14:textId="77777777" w:rsidR="00101397" w:rsidRDefault="00101397">
      <w:r>
        <w:continuationSeparator/>
      </w:r>
    </w:p>
  </w:footnote>
  <w:footnote w:type="continuationNotice" w:id="1">
    <w:p w14:paraId="173B4A0F" w14:textId="77777777" w:rsidR="00101397" w:rsidRDefault="001013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7CDC5E5"/>
    <w:multiLevelType w:val="hybridMultilevel"/>
    <w:tmpl w:val="E040B372"/>
    <w:lvl w:ilvl="0" w:tplc="976A3340">
      <w:start w:val="1"/>
      <w:numFmt w:val="bullet"/>
      <w:lvlText w:val="·"/>
      <w:lvlJc w:val="left"/>
      <w:pPr>
        <w:ind w:left="720" w:hanging="360"/>
      </w:pPr>
      <w:rPr>
        <w:rFonts w:ascii="Symbol" w:hAnsi="Symbol" w:hint="default"/>
      </w:rPr>
    </w:lvl>
    <w:lvl w:ilvl="1" w:tplc="97BED7E8">
      <w:start w:val="1"/>
      <w:numFmt w:val="bullet"/>
      <w:lvlText w:val="o"/>
      <w:lvlJc w:val="left"/>
      <w:pPr>
        <w:ind w:left="1440" w:hanging="360"/>
      </w:pPr>
      <w:rPr>
        <w:rFonts w:ascii="Courier New" w:hAnsi="Courier New" w:hint="default"/>
      </w:rPr>
    </w:lvl>
    <w:lvl w:ilvl="2" w:tplc="82E4D59C">
      <w:start w:val="1"/>
      <w:numFmt w:val="bullet"/>
      <w:lvlText w:val=""/>
      <w:lvlJc w:val="left"/>
      <w:pPr>
        <w:ind w:left="2160" w:hanging="360"/>
      </w:pPr>
      <w:rPr>
        <w:rFonts w:ascii="Wingdings" w:hAnsi="Wingdings" w:hint="default"/>
      </w:rPr>
    </w:lvl>
    <w:lvl w:ilvl="3" w:tplc="7F4E4BA8">
      <w:start w:val="1"/>
      <w:numFmt w:val="bullet"/>
      <w:lvlText w:val=""/>
      <w:lvlJc w:val="left"/>
      <w:pPr>
        <w:ind w:left="2880" w:hanging="360"/>
      </w:pPr>
      <w:rPr>
        <w:rFonts w:ascii="Symbol" w:hAnsi="Symbol" w:hint="default"/>
      </w:rPr>
    </w:lvl>
    <w:lvl w:ilvl="4" w:tplc="C33A245C">
      <w:start w:val="1"/>
      <w:numFmt w:val="bullet"/>
      <w:lvlText w:val="o"/>
      <w:lvlJc w:val="left"/>
      <w:pPr>
        <w:ind w:left="3600" w:hanging="360"/>
      </w:pPr>
      <w:rPr>
        <w:rFonts w:ascii="Courier New" w:hAnsi="Courier New" w:hint="default"/>
      </w:rPr>
    </w:lvl>
    <w:lvl w:ilvl="5" w:tplc="43509ECC">
      <w:start w:val="1"/>
      <w:numFmt w:val="bullet"/>
      <w:lvlText w:val=""/>
      <w:lvlJc w:val="left"/>
      <w:pPr>
        <w:ind w:left="4320" w:hanging="360"/>
      </w:pPr>
      <w:rPr>
        <w:rFonts w:ascii="Wingdings" w:hAnsi="Wingdings" w:hint="default"/>
      </w:rPr>
    </w:lvl>
    <w:lvl w:ilvl="6" w:tplc="A9BE5F54">
      <w:start w:val="1"/>
      <w:numFmt w:val="bullet"/>
      <w:lvlText w:val=""/>
      <w:lvlJc w:val="left"/>
      <w:pPr>
        <w:ind w:left="5040" w:hanging="360"/>
      </w:pPr>
      <w:rPr>
        <w:rFonts w:ascii="Symbol" w:hAnsi="Symbol" w:hint="default"/>
      </w:rPr>
    </w:lvl>
    <w:lvl w:ilvl="7" w:tplc="7E4496DC">
      <w:start w:val="1"/>
      <w:numFmt w:val="bullet"/>
      <w:lvlText w:val="o"/>
      <w:lvlJc w:val="left"/>
      <w:pPr>
        <w:ind w:left="5760" w:hanging="360"/>
      </w:pPr>
      <w:rPr>
        <w:rFonts w:ascii="Courier New" w:hAnsi="Courier New" w:hint="default"/>
      </w:rPr>
    </w:lvl>
    <w:lvl w:ilvl="8" w:tplc="06DC6A10">
      <w:start w:val="1"/>
      <w:numFmt w:val="bullet"/>
      <w:lvlText w:val=""/>
      <w:lvlJc w:val="left"/>
      <w:pPr>
        <w:ind w:left="6480" w:hanging="360"/>
      </w:pPr>
      <w:rPr>
        <w:rFonts w:ascii="Wingdings" w:hAnsi="Wingdings" w:hint="default"/>
      </w:rPr>
    </w:lvl>
  </w:abstractNum>
  <w:abstractNum w:abstractNumId="3" w15:restartNumberingAfterBreak="0">
    <w:nsid w:val="19E51B80"/>
    <w:multiLevelType w:val="hybridMultilevel"/>
    <w:tmpl w:val="56D47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F113E7"/>
    <w:multiLevelType w:val="hybridMultilevel"/>
    <w:tmpl w:val="6EEA81E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E810044"/>
    <w:multiLevelType w:val="hybridMultilevel"/>
    <w:tmpl w:val="A33CDCA4"/>
    <w:lvl w:ilvl="0" w:tplc="04090001">
      <w:start w:val="1"/>
      <w:numFmt w:val="bullet"/>
      <w:lvlText w:val=""/>
      <w:lvlJc w:val="left"/>
      <w:pPr>
        <w:ind w:left="1402" w:hanging="360"/>
      </w:pPr>
      <w:rPr>
        <w:rFonts w:ascii="Symbol" w:hAnsi="Symbol" w:hint="default"/>
      </w:rPr>
    </w:lvl>
    <w:lvl w:ilvl="1" w:tplc="04090003" w:tentative="1">
      <w:start w:val="1"/>
      <w:numFmt w:val="bullet"/>
      <w:lvlText w:val="o"/>
      <w:lvlJc w:val="left"/>
      <w:pPr>
        <w:ind w:left="2122" w:hanging="360"/>
      </w:pPr>
      <w:rPr>
        <w:rFonts w:ascii="Courier New" w:hAnsi="Courier New" w:cs="Courier New" w:hint="default"/>
      </w:rPr>
    </w:lvl>
    <w:lvl w:ilvl="2" w:tplc="04090005" w:tentative="1">
      <w:start w:val="1"/>
      <w:numFmt w:val="bullet"/>
      <w:lvlText w:val=""/>
      <w:lvlJc w:val="left"/>
      <w:pPr>
        <w:ind w:left="2842" w:hanging="360"/>
      </w:pPr>
      <w:rPr>
        <w:rFonts w:ascii="Wingdings" w:hAnsi="Wingdings" w:hint="default"/>
      </w:rPr>
    </w:lvl>
    <w:lvl w:ilvl="3" w:tplc="04090001" w:tentative="1">
      <w:start w:val="1"/>
      <w:numFmt w:val="bullet"/>
      <w:lvlText w:val=""/>
      <w:lvlJc w:val="left"/>
      <w:pPr>
        <w:ind w:left="3562" w:hanging="360"/>
      </w:pPr>
      <w:rPr>
        <w:rFonts w:ascii="Symbol" w:hAnsi="Symbol" w:hint="default"/>
      </w:rPr>
    </w:lvl>
    <w:lvl w:ilvl="4" w:tplc="04090003" w:tentative="1">
      <w:start w:val="1"/>
      <w:numFmt w:val="bullet"/>
      <w:lvlText w:val="o"/>
      <w:lvlJc w:val="left"/>
      <w:pPr>
        <w:ind w:left="4282" w:hanging="360"/>
      </w:pPr>
      <w:rPr>
        <w:rFonts w:ascii="Courier New" w:hAnsi="Courier New" w:cs="Courier New" w:hint="default"/>
      </w:rPr>
    </w:lvl>
    <w:lvl w:ilvl="5" w:tplc="04090005" w:tentative="1">
      <w:start w:val="1"/>
      <w:numFmt w:val="bullet"/>
      <w:lvlText w:val=""/>
      <w:lvlJc w:val="left"/>
      <w:pPr>
        <w:ind w:left="5002" w:hanging="360"/>
      </w:pPr>
      <w:rPr>
        <w:rFonts w:ascii="Wingdings" w:hAnsi="Wingdings" w:hint="default"/>
      </w:rPr>
    </w:lvl>
    <w:lvl w:ilvl="6" w:tplc="04090001" w:tentative="1">
      <w:start w:val="1"/>
      <w:numFmt w:val="bullet"/>
      <w:lvlText w:val=""/>
      <w:lvlJc w:val="left"/>
      <w:pPr>
        <w:ind w:left="5722" w:hanging="360"/>
      </w:pPr>
      <w:rPr>
        <w:rFonts w:ascii="Symbol" w:hAnsi="Symbol" w:hint="default"/>
      </w:rPr>
    </w:lvl>
    <w:lvl w:ilvl="7" w:tplc="04090003" w:tentative="1">
      <w:start w:val="1"/>
      <w:numFmt w:val="bullet"/>
      <w:lvlText w:val="o"/>
      <w:lvlJc w:val="left"/>
      <w:pPr>
        <w:ind w:left="6442" w:hanging="360"/>
      </w:pPr>
      <w:rPr>
        <w:rFonts w:ascii="Courier New" w:hAnsi="Courier New" w:cs="Courier New" w:hint="default"/>
      </w:rPr>
    </w:lvl>
    <w:lvl w:ilvl="8" w:tplc="04090005" w:tentative="1">
      <w:start w:val="1"/>
      <w:numFmt w:val="bullet"/>
      <w:lvlText w:val=""/>
      <w:lvlJc w:val="left"/>
      <w:pPr>
        <w:ind w:left="7162"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5938F8"/>
    <w:multiLevelType w:val="hybridMultilevel"/>
    <w:tmpl w:val="94E2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B7300B"/>
    <w:multiLevelType w:val="hybridMultilevel"/>
    <w:tmpl w:val="636E05E2"/>
    <w:lvl w:ilvl="0" w:tplc="F97EF4E6">
      <w:start w:val="1"/>
      <w:numFmt w:val="bullet"/>
      <w:lvlText w:val="·"/>
      <w:lvlJc w:val="left"/>
      <w:pPr>
        <w:ind w:left="720" w:hanging="360"/>
      </w:pPr>
      <w:rPr>
        <w:rFonts w:ascii="Symbol" w:hAnsi="Symbol" w:hint="default"/>
      </w:rPr>
    </w:lvl>
    <w:lvl w:ilvl="1" w:tplc="B09E41E2">
      <w:start w:val="1"/>
      <w:numFmt w:val="bullet"/>
      <w:lvlText w:val="o"/>
      <w:lvlJc w:val="left"/>
      <w:pPr>
        <w:ind w:left="1440" w:hanging="360"/>
      </w:pPr>
      <w:rPr>
        <w:rFonts w:ascii="Courier New" w:hAnsi="Courier New" w:hint="default"/>
      </w:rPr>
    </w:lvl>
    <w:lvl w:ilvl="2" w:tplc="D06A2146">
      <w:start w:val="1"/>
      <w:numFmt w:val="bullet"/>
      <w:lvlText w:val=""/>
      <w:lvlJc w:val="left"/>
      <w:pPr>
        <w:ind w:left="2160" w:hanging="360"/>
      </w:pPr>
      <w:rPr>
        <w:rFonts w:ascii="Wingdings" w:hAnsi="Wingdings" w:hint="default"/>
      </w:rPr>
    </w:lvl>
    <w:lvl w:ilvl="3" w:tplc="D0EA1B22">
      <w:start w:val="1"/>
      <w:numFmt w:val="bullet"/>
      <w:lvlText w:val=""/>
      <w:lvlJc w:val="left"/>
      <w:pPr>
        <w:ind w:left="2880" w:hanging="360"/>
      </w:pPr>
      <w:rPr>
        <w:rFonts w:ascii="Symbol" w:hAnsi="Symbol" w:hint="default"/>
      </w:rPr>
    </w:lvl>
    <w:lvl w:ilvl="4" w:tplc="40845796">
      <w:start w:val="1"/>
      <w:numFmt w:val="bullet"/>
      <w:lvlText w:val="o"/>
      <w:lvlJc w:val="left"/>
      <w:pPr>
        <w:ind w:left="3600" w:hanging="360"/>
      </w:pPr>
      <w:rPr>
        <w:rFonts w:ascii="Courier New" w:hAnsi="Courier New" w:hint="default"/>
      </w:rPr>
    </w:lvl>
    <w:lvl w:ilvl="5" w:tplc="A38A9492">
      <w:start w:val="1"/>
      <w:numFmt w:val="bullet"/>
      <w:lvlText w:val=""/>
      <w:lvlJc w:val="left"/>
      <w:pPr>
        <w:ind w:left="4320" w:hanging="360"/>
      </w:pPr>
      <w:rPr>
        <w:rFonts w:ascii="Wingdings" w:hAnsi="Wingdings" w:hint="default"/>
      </w:rPr>
    </w:lvl>
    <w:lvl w:ilvl="6" w:tplc="4C9A2958">
      <w:start w:val="1"/>
      <w:numFmt w:val="bullet"/>
      <w:lvlText w:val=""/>
      <w:lvlJc w:val="left"/>
      <w:pPr>
        <w:ind w:left="5040" w:hanging="360"/>
      </w:pPr>
      <w:rPr>
        <w:rFonts w:ascii="Symbol" w:hAnsi="Symbol" w:hint="default"/>
      </w:rPr>
    </w:lvl>
    <w:lvl w:ilvl="7" w:tplc="6574ACA2">
      <w:start w:val="1"/>
      <w:numFmt w:val="bullet"/>
      <w:lvlText w:val="o"/>
      <w:lvlJc w:val="left"/>
      <w:pPr>
        <w:ind w:left="5760" w:hanging="360"/>
      </w:pPr>
      <w:rPr>
        <w:rFonts w:ascii="Courier New" w:hAnsi="Courier New" w:hint="default"/>
      </w:rPr>
    </w:lvl>
    <w:lvl w:ilvl="8" w:tplc="5DE47516">
      <w:start w:val="1"/>
      <w:numFmt w:val="bullet"/>
      <w:lvlText w:val=""/>
      <w:lvlJc w:val="left"/>
      <w:pPr>
        <w:ind w:left="6480" w:hanging="360"/>
      </w:pPr>
      <w:rPr>
        <w:rFonts w:ascii="Wingdings" w:hAnsi="Wingdings" w:hint="default"/>
      </w:rPr>
    </w:lvl>
  </w:abstractNum>
  <w:abstractNum w:abstractNumId="13" w15:restartNumberingAfterBreak="0">
    <w:nsid w:val="2C9D79DA"/>
    <w:multiLevelType w:val="hybridMultilevel"/>
    <w:tmpl w:val="71621D6C"/>
    <w:lvl w:ilvl="0" w:tplc="33744AA2">
      <w:start w:val="1"/>
      <w:numFmt w:val="bullet"/>
      <w:lvlText w:val="·"/>
      <w:lvlJc w:val="left"/>
      <w:pPr>
        <w:ind w:left="720" w:hanging="360"/>
      </w:pPr>
      <w:rPr>
        <w:rFonts w:ascii="Symbol" w:hAnsi="Symbol" w:hint="default"/>
      </w:rPr>
    </w:lvl>
    <w:lvl w:ilvl="1" w:tplc="8F5EA67C">
      <w:start w:val="1"/>
      <w:numFmt w:val="bullet"/>
      <w:lvlText w:val="o"/>
      <w:lvlJc w:val="left"/>
      <w:pPr>
        <w:ind w:left="1440" w:hanging="360"/>
      </w:pPr>
      <w:rPr>
        <w:rFonts w:ascii="Courier New" w:hAnsi="Courier New" w:hint="default"/>
      </w:rPr>
    </w:lvl>
    <w:lvl w:ilvl="2" w:tplc="5FEC3ACA">
      <w:start w:val="1"/>
      <w:numFmt w:val="bullet"/>
      <w:lvlText w:val=""/>
      <w:lvlJc w:val="left"/>
      <w:pPr>
        <w:ind w:left="2160" w:hanging="360"/>
      </w:pPr>
      <w:rPr>
        <w:rFonts w:ascii="Wingdings" w:hAnsi="Wingdings" w:hint="default"/>
      </w:rPr>
    </w:lvl>
    <w:lvl w:ilvl="3" w:tplc="AB348C74">
      <w:start w:val="1"/>
      <w:numFmt w:val="bullet"/>
      <w:lvlText w:val=""/>
      <w:lvlJc w:val="left"/>
      <w:pPr>
        <w:ind w:left="2880" w:hanging="360"/>
      </w:pPr>
      <w:rPr>
        <w:rFonts w:ascii="Symbol" w:hAnsi="Symbol" w:hint="default"/>
      </w:rPr>
    </w:lvl>
    <w:lvl w:ilvl="4" w:tplc="A32C438A">
      <w:start w:val="1"/>
      <w:numFmt w:val="bullet"/>
      <w:lvlText w:val="o"/>
      <w:lvlJc w:val="left"/>
      <w:pPr>
        <w:ind w:left="3600" w:hanging="360"/>
      </w:pPr>
      <w:rPr>
        <w:rFonts w:ascii="Courier New" w:hAnsi="Courier New" w:hint="default"/>
      </w:rPr>
    </w:lvl>
    <w:lvl w:ilvl="5" w:tplc="8A2C4E7C">
      <w:start w:val="1"/>
      <w:numFmt w:val="bullet"/>
      <w:lvlText w:val=""/>
      <w:lvlJc w:val="left"/>
      <w:pPr>
        <w:ind w:left="4320" w:hanging="360"/>
      </w:pPr>
      <w:rPr>
        <w:rFonts w:ascii="Wingdings" w:hAnsi="Wingdings" w:hint="default"/>
      </w:rPr>
    </w:lvl>
    <w:lvl w:ilvl="6" w:tplc="53987314">
      <w:start w:val="1"/>
      <w:numFmt w:val="bullet"/>
      <w:lvlText w:val=""/>
      <w:lvlJc w:val="left"/>
      <w:pPr>
        <w:ind w:left="5040" w:hanging="360"/>
      </w:pPr>
      <w:rPr>
        <w:rFonts w:ascii="Symbol" w:hAnsi="Symbol" w:hint="default"/>
      </w:rPr>
    </w:lvl>
    <w:lvl w:ilvl="7" w:tplc="1FFEB3C4">
      <w:start w:val="1"/>
      <w:numFmt w:val="bullet"/>
      <w:lvlText w:val="o"/>
      <w:lvlJc w:val="left"/>
      <w:pPr>
        <w:ind w:left="5760" w:hanging="360"/>
      </w:pPr>
      <w:rPr>
        <w:rFonts w:ascii="Courier New" w:hAnsi="Courier New" w:hint="default"/>
      </w:rPr>
    </w:lvl>
    <w:lvl w:ilvl="8" w:tplc="FBDA8084">
      <w:start w:val="1"/>
      <w:numFmt w:val="bullet"/>
      <w:lvlText w:val=""/>
      <w:lvlJc w:val="left"/>
      <w:pPr>
        <w:ind w:left="648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FF0D2CE"/>
    <w:multiLevelType w:val="hybridMultilevel"/>
    <w:tmpl w:val="96EEC992"/>
    <w:lvl w:ilvl="0" w:tplc="5EA07F38">
      <w:start w:val="1"/>
      <w:numFmt w:val="bullet"/>
      <w:lvlText w:val="·"/>
      <w:lvlJc w:val="left"/>
      <w:pPr>
        <w:ind w:left="720" w:hanging="360"/>
      </w:pPr>
      <w:rPr>
        <w:rFonts w:ascii="Symbol" w:hAnsi="Symbol" w:hint="default"/>
      </w:rPr>
    </w:lvl>
    <w:lvl w:ilvl="1" w:tplc="07E67362">
      <w:start w:val="1"/>
      <w:numFmt w:val="bullet"/>
      <w:lvlText w:val="o"/>
      <w:lvlJc w:val="left"/>
      <w:pPr>
        <w:ind w:left="1440" w:hanging="360"/>
      </w:pPr>
      <w:rPr>
        <w:rFonts w:ascii="Courier New" w:hAnsi="Courier New" w:hint="default"/>
      </w:rPr>
    </w:lvl>
    <w:lvl w:ilvl="2" w:tplc="EA8E08FA">
      <w:start w:val="1"/>
      <w:numFmt w:val="bullet"/>
      <w:lvlText w:val=""/>
      <w:lvlJc w:val="left"/>
      <w:pPr>
        <w:ind w:left="2160" w:hanging="360"/>
      </w:pPr>
      <w:rPr>
        <w:rFonts w:ascii="Wingdings" w:hAnsi="Wingdings" w:hint="default"/>
      </w:rPr>
    </w:lvl>
    <w:lvl w:ilvl="3" w:tplc="D3CA682E">
      <w:start w:val="1"/>
      <w:numFmt w:val="bullet"/>
      <w:lvlText w:val=""/>
      <w:lvlJc w:val="left"/>
      <w:pPr>
        <w:ind w:left="2880" w:hanging="360"/>
      </w:pPr>
      <w:rPr>
        <w:rFonts w:ascii="Symbol" w:hAnsi="Symbol" w:hint="default"/>
      </w:rPr>
    </w:lvl>
    <w:lvl w:ilvl="4" w:tplc="06287C9A">
      <w:start w:val="1"/>
      <w:numFmt w:val="bullet"/>
      <w:lvlText w:val="o"/>
      <w:lvlJc w:val="left"/>
      <w:pPr>
        <w:ind w:left="3600" w:hanging="360"/>
      </w:pPr>
      <w:rPr>
        <w:rFonts w:ascii="Courier New" w:hAnsi="Courier New" w:hint="default"/>
      </w:rPr>
    </w:lvl>
    <w:lvl w:ilvl="5" w:tplc="993C03D0">
      <w:start w:val="1"/>
      <w:numFmt w:val="bullet"/>
      <w:lvlText w:val=""/>
      <w:lvlJc w:val="left"/>
      <w:pPr>
        <w:ind w:left="4320" w:hanging="360"/>
      </w:pPr>
      <w:rPr>
        <w:rFonts w:ascii="Wingdings" w:hAnsi="Wingdings" w:hint="default"/>
      </w:rPr>
    </w:lvl>
    <w:lvl w:ilvl="6" w:tplc="B764E4BE">
      <w:start w:val="1"/>
      <w:numFmt w:val="bullet"/>
      <w:lvlText w:val=""/>
      <w:lvlJc w:val="left"/>
      <w:pPr>
        <w:ind w:left="5040" w:hanging="360"/>
      </w:pPr>
      <w:rPr>
        <w:rFonts w:ascii="Symbol" w:hAnsi="Symbol" w:hint="default"/>
      </w:rPr>
    </w:lvl>
    <w:lvl w:ilvl="7" w:tplc="E1424D16">
      <w:start w:val="1"/>
      <w:numFmt w:val="bullet"/>
      <w:lvlText w:val="o"/>
      <w:lvlJc w:val="left"/>
      <w:pPr>
        <w:ind w:left="5760" w:hanging="360"/>
      </w:pPr>
      <w:rPr>
        <w:rFonts w:ascii="Courier New" w:hAnsi="Courier New" w:hint="default"/>
      </w:rPr>
    </w:lvl>
    <w:lvl w:ilvl="8" w:tplc="B0180C6C">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F9597A"/>
    <w:multiLevelType w:val="hybridMultilevel"/>
    <w:tmpl w:val="EF32D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5F3839"/>
    <w:multiLevelType w:val="hybridMultilevel"/>
    <w:tmpl w:val="62086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734AC63"/>
    <w:multiLevelType w:val="hybridMultilevel"/>
    <w:tmpl w:val="898684A6"/>
    <w:lvl w:ilvl="0" w:tplc="6E2860B6">
      <w:start w:val="1"/>
      <w:numFmt w:val="bullet"/>
      <w:lvlText w:val="·"/>
      <w:lvlJc w:val="left"/>
      <w:pPr>
        <w:ind w:left="720" w:hanging="360"/>
      </w:pPr>
      <w:rPr>
        <w:rFonts w:ascii="Symbol" w:hAnsi="Symbol" w:hint="default"/>
      </w:rPr>
    </w:lvl>
    <w:lvl w:ilvl="1" w:tplc="A9F0CDBC">
      <w:start w:val="1"/>
      <w:numFmt w:val="bullet"/>
      <w:lvlText w:val="o"/>
      <w:lvlJc w:val="left"/>
      <w:pPr>
        <w:ind w:left="1440" w:hanging="360"/>
      </w:pPr>
      <w:rPr>
        <w:rFonts w:ascii="Courier New" w:hAnsi="Courier New" w:hint="default"/>
      </w:rPr>
    </w:lvl>
    <w:lvl w:ilvl="2" w:tplc="2436A4F4">
      <w:start w:val="1"/>
      <w:numFmt w:val="bullet"/>
      <w:lvlText w:val=""/>
      <w:lvlJc w:val="left"/>
      <w:pPr>
        <w:ind w:left="2160" w:hanging="360"/>
      </w:pPr>
      <w:rPr>
        <w:rFonts w:ascii="Wingdings" w:hAnsi="Wingdings" w:hint="default"/>
      </w:rPr>
    </w:lvl>
    <w:lvl w:ilvl="3" w:tplc="C9E6FB44">
      <w:start w:val="1"/>
      <w:numFmt w:val="bullet"/>
      <w:lvlText w:val=""/>
      <w:lvlJc w:val="left"/>
      <w:pPr>
        <w:ind w:left="2880" w:hanging="360"/>
      </w:pPr>
      <w:rPr>
        <w:rFonts w:ascii="Symbol" w:hAnsi="Symbol" w:hint="default"/>
      </w:rPr>
    </w:lvl>
    <w:lvl w:ilvl="4" w:tplc="2708B62C">
      <w:start w:val="1"/>
      <w:numFmt w:val="bullet"/>
      <w:lvlText w:val="o"/>
      <w:lvlJc w:val="left"/>
      <w:pPr>
        <w:ind w:left="3600" w:hanging="360"/>
      </w:pPr>
      <w:rPr>
        <w:rFonts w:ascii="Courier New" w:hAnsi="Courier New" w:hint="default"/>
      </w:rPr>
    </w:lvl>
    <w:lvl w:ilvl="5" w:tplc="5AC6FB3C">
      <w:start w:val="1"/>
      <w:numFmt w:val="bullet"/>
      <w:lvlText w:val=""/>
      <w:lvlJc w:val="left"/>
      <w:pPr>
        <w:ind w:left="4320" w:hanging="360"/>
      </w:pPr>
      <w:rPr>
        <w:rFonts w:ascii="Wingdings" w:hAnsi="Wingdings" w:hint="default"/>
      </w:rPr>
    </w:lvl>
    <w:lvl w:ilvl="6" w:tplc="B0BA62CC">
      <w:start w:val="1"/>
      <w:numFmt w:val="bullet"/>
      <w:lvlText w:val=""/>
      <w:lvlJc w:val="left"/>
      <w:pPr>
        <w:ind w:left="5040" w:hanging="360"/>
      </w:pPr>
      <w:rPr>
        <w:rFonts w:ascii="Symbol" w:hAnsi="Symbol" w:hint="default"/>
      </w:rPr>
    </w:lvl>
    <w:lvl w:ilvl="7" w:tplc="8AAED1F8">
      <w:start w:val="1"/>
      <w:numFmt w:val="bullet"/>
      <w:lvlText w:val="o"/>
      <w:lvlJc w:val="left"/>
      <w:pPr>
        <w:ind w:left="5760" w:hanging="360"/>
      </w:pPr>
      <w:rPr>
        <w:rFonts w:ascii="Courier New" w:hAnsi="Courier New" w:hint="default"/>
      </w:rPr>
    </w:lvl>
    <w:lvl w:ilvl="8" w:tplc="D5302686">
      <w:start w:val="1"/>
      <w:numFmt w:val="bullet"/>
      <w:lvlText w:val=""/>
      <w:lvlJc w:val="left"/>
      <w:pPr>
        <w:ind w:left="6480" w:hanging="360"/>
      </w:pPr>
      <w:rPr>
        <w:rFonts w:ascii="Wingdings" w:hAnsi="Wingdings" w:hint="default"/>
      </w:r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38063D"/>
    <w:multiLevelType w:val="hybridMultilevel"/>
    <w:tmpl w:val="26CE3B0A"/>
    <w:lvl w:ilvl="0" w:tplc="737E4B92">
      <w:start w:val="1"/>
      <w:numFmt w:val="bullet"/>
      <w:lvlText w:val="·"/>
      <w:lvlJc w:val="left"/>
      <w:pPr>
        <w:ind w:left="720" w:hanging="360"/>
      </w:pPr>
      <w:rPr>
        <w:rFonts w:ascii="Symbol" w:hAnsi="Symbol" w:hint="default"/>
      </w:rPr>
    </w:lvl>
    <w:lvl w:ilvl="1" w:tplc="AF0AA5F4">
      <w:start w:val="1"/>
      <w:numFmt w:val="bullet"/>
      <w:lvlText w:val="o"/>
      <w:lvlJc w:val="left"/>
      <w:pPr>
        <w:ind w:left="1440" w:hanging="360"/>
      </w:pPr>
      <w:rPr>
        <w:rFonts w:ascii="Courier New" w:hAnsi="Courier New" w:hint="default"/>
      </w:rPr>
    </w:lvl>
    <w:lvl w:ilvl="2" w:tplc="FDF08FB2">
      <w:start w:val="1"/>
      <w:numFmt w:val="bullet"/>
      <w:lvlText w:val=""/>
      <w:lvlJc w:val="left"/>
      <w:pPr>
        <w:ind w:left="2160" w:hanging="360"/>
      </w:pPr>
      <w:rPr>
        <w:rFonts w:ascii="Wingdings" w:hAnsi="Wingdings" w:hint="default"/>
      </w:rPr>
    </w:lvl>
    <w:lvl w:ilvl="3" w:tplc="2760F880">
      <w:start w:val="1"/>
      <w:numFmt w:val="bullet"/>
      <w:lvlText w:val=""/>
      <w:lvlJc w:val="left"/>
      <w:pPr>
        <w:ind w:left="2880" w:hanging="360"/>
      </w:pPr>
      <w:rPr>
        <w:rFonts w:ascii="Symbol" w:hAnsi="Symbol" w:hint="default"/>
      </w:rPr>
    </w:lvl>
    <w:lvl w:ilvl="4" w:tplc="FDCC2198">
      <w:start w:val="1"/>
      <w:numFmt w:val="bullet"/>
      <w:lvlText w:val="o"/>
      <w:lvlJc w:val="left"/>
      <w:pPr>
        <w:ind w:left="3600" w:hanging="360"/>
      </w:pPr>
      <w:rPr>
        <w:rFonts w:ascii="Courier New" w:hAnsi="Courier New" w:hint="default"/>
      </w:rPr>
    </w:lvl>
    <w:lvl w:ilvl="5" w:tplc="4AE80B00">
      <w:start w:val="1"/>
      <w:numFmt w:val="bullet"/>
      <w:lvlText w:val=""/>
      <w:lvlJc w:val="left"/>
      <w:pPr>
        <w:ind w:left="4320" w:hanging="360"/>
      </w:pPr>
      <w:rPr>
        <w:rFonts w:ascii="Wingdings" w:hAnsi="Wingdings" w:hint="default"/>
      </w:rPr>
    </w:lvl>
    <w:lvl w:ilvl="6" w:tplc="68B09C6E">
      <w:start w:val="1"/>
      <w:numFmt w:val="bullet"/>
      <w:lvlText w:val=""/>
      <w:lvlJc w:val="left"/>
      <w:pPr>
        <w:ind w:left="5040" w:hanging="360"/>
      </w:pPr>
      <w:rPr>
        <w:rFonts w:ascii="Symbol" w:hAnsi="Symbol" w:hint="default"/>
      </w:rPr>
    </w:lvl>
    <w:lvl w:ilvl="7" w:tplc="A7E0D492">
      <w:start w:val="1"/>
      <w:numFmt w:val="bullet"/>
      <w:lvlText w:val="o"/>
      <w:lvlJc w:val="left"/>
      <w:pPr>
        <w:ind w:left="5760" w:hanging="360"/>
      </w:pPr>
      <w:rPr>
        <w:rFonts w:ascii="Courier New" w:hAnsi="Courier New" w:hint="default"/>
      </w:rPr>
    </w:lvl>
    <w:lvl w:ilvl="8" w:tplc="8A8E09E2">
      <w:start w:val="1"/>
      <w:numFmt w:val="bullet"/>
      <w:lvlText w:val=""/>
      <w:lvlJc w:val="left"/>
      <w:pPr>
        <w:ind w:left="6480" w:hanging="360"/>
      </w:pPr>
      <w:rPr>
        <w:rFonts w:ascii="Wingdings" w:hAnsi="Wingdings" w:hint="default"/>
      </w:rPr>
    </w:lvl>
  </w:abstractNum>
  <w:abstractNum w:abstractNumId="24" w15:restartNumberingAfterBreak="0">
    <w:nsid w:val="4FEA0742"/>
    <w:multiLevelType w:val="hybridMultilevel"/>
    <w:tmpl w:val="A0E28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DB2C4C"/>
    <w:multiLevelType w:val="hybridMultilevel"/>
    <w:tmpl w:val="59544146"/>
    <w:lvl w:ilvl="0" w:tplc="A37A2990">
      <w:start w:val="1"/>
      <w:numFmt w:val="bullet"/>
      <w:lvlText w:val="·"/>
      <w:lvlJc w:val="left"/>
      <w:pPr>
        <w:ind w:left="720" w:hanging="360"/>
      </w:pPr>
      <w:rPr>
        <w:rFonts w:ascii="Symbol" w:hAnsi="Symbol" w:hint="default"/>
      </w:rPr>
    </w:lvl>
    <w:lvl w:ilvl="1" w:tplc="C1485BBE">
      <w:start w:val="1"/>
      <w:numFmt w:val="bullet"/>
      <w:lvlText w:val="o"/>
      <w:lvlJc w:val="left"/>
      <w:pPr>
        <w:ind w:left="1440" w:hanging="360"/>
      </w:pPr>
      <w:rPr>
        <w:rFonts w:ascii="Courier New" w:hAnsi="Courier New" w:hint="default"/>
      </w:rPr>
    </w:lvl>
    <w:lvl w:ilvl="2" w:tplc="F63052C6">
      <w:start w:val="1"/>
      <w:numFmt w:val="bullet"/>
      <w:lvlText w:val=""/>
      <w:lvlJc w:val="left"/>
      <w:pPr>
        <w:ind w:left="2160" w:hanging="360"/>
      </w:pPr>
      <w:rPr>
        <w:rFonts w:ascii="Wingdings" w:hAnsi="Wingdings" w:hint="default"/>
      </w:rPr>
    </w:lvl>
    <w:lvl w:ilvl="3" w:tplc="112AD826">
      <w:start w:val="1"/>
      <w:numFmt w:val="bullet"/>
      <w:lvlText w:val=""/>
      <w:lvlJc w:val="left"/>
      <w:pPr>
        <w:ind w:left="2880" w:hanging="360"/>
      </w:pPr>
      <w:rPr>
        <w:rFonts w:ascii="Symbol" w:hAnsi="Symbol" w:hint="default"/>
      </w:rPr>
    </w:lvl>
    <w:lvl w:ilvl="4" w:tplc="A5F8C914">
      <w:start w:val="1"/>
      <w:numFmt w:val="bullet"/>
      <w:lvlText w:val="o"/>
      <w:lvlJc w:val="left"/>
      <w:pPr>
        <w:ind w:left="3600" w:hanging="360"/>
      </w:pPr>
      <w:rPr>
        <w:rFonts w:ascii="Courier New" w:hAnsi="Courier New" w:hint="default"/>
      </w:rPr>
    </w:lvl>
    <w:lvl w:ilvl="5" w:tplc="95AE9CFC">
      <w:start w:val="1"/>
      <w:numFmt w:val="bullet"/>
      <w:lvlText w:val=""/>
      <w:lvlJc w:val="left"/>
      <w:pPr>
        <w:ind w:left="4320" w:hanging="360"/>
      </w:pPr>
      <w:rPr>
        <w:rFonts w:ascii="Wingdings" w:hAnsi="Wingdings" w:hint="default"/>
      </w:rPr>
    </w:lvl>
    <w:lvl w:ilvl="6" w:tplc="FEFEDCB8">
      <w:start w:val="1"/>
      <w:numFmt w:val="bullet"/>
      <w:lvlText w:val=""/>
      <w:lvlJc w:val="left"/>
      <w:pPr>
        <w:ind w:left="5040" w:hanging="360"/>
      </w:pPr>
      <w:rPr>
        <w:rFonts w:ascii="Symbol" w:hAnsi="Symbol" w:hint="default"/>
      </w:rPr>
    </w:lvl>
    <w:lvl w:ilvl="7" w:tplc="10DAD0BA">
      <w:start w:val="1"/>
      <w:numFmt w:val="bullet"/>
      <w:lvlText w:val="o"/>
      <w:lvlJc w:val="left"/>
      <w:pPr>
        <w:ind w:left="5760" w:hanging="360"/>
      </w:pPr>
      <w:rPr>
        <w:rFonts w:ascii="Courier New" w:hAnsi="Courier New" w:hint="default"/>
      </w:rPr>
    </w:lvl>
    <w:lvl w:ilvl="8" w:tplc="2F8A3714">
      <w:start w:val="1"/>
      <w:numFmt w:val="bullet"/>
      <w:lvlText w:val=""/>
      <w:lvlJc w:val="left"/>
      <w:pPr>
        <w:ind w:left="6480" w:hanging="360"/>
      </w:pPr>
      <w:rPr>
        <w:rFonts w:ascii="Wingdings" w:hAnsi="Wingdings" w:hint="default"/>
      </w:rPr>
    </w:lvl>
  </w:abstractNum>
  <w:abstractNum w:abstractNumId="26" w15:restartNumberingAfterBreak="0">
    <w:nsid w:val="54854677"/>
    <w:multiLevelType w:val="hybridMultilevel"/>
    <w:tmpl w:val="DB9C8B8E"/>
    <w:lvl w:ilvl="0" w:tplc="5B5E9BCE">
      <w:start w:val="1"/>
      <w:numFmt w:val="bullet"/>
      <w:lvlText w:val="·"/>
      <w:lvlJc w:val="left"/>
      <w:pPr>
        <w:ind w:left="720" w:hanging="360"/>
      </w:pPr>
      <w:rPr>
        <w:rFonts w:ascii="Symbol" w:hAnsi="Symbol" w:hint="default"/>
      </w:rPr>
    </w:lvl>
    <w:lvl w:ilvl="1" w:tplc="C9741486">
      <w:start w:val="1"/>
      <w:numFmt w:val="bullet"/>
      <w:lvlText w:val="o"/>
      <w:lvlJc w:val="left"/>
      <w:pPr>
        <w:ind w:left="1440" w:hanging="360"/>
      </w:pPr>
      <w:rPr>
        <w:rFonts w:ascii="Courier New" w:hAnsi="Courier New" w:hint="default"/>
      </w:rPr>
    </w:lvl>
    <w:lvl w:ilvl="2" w:tplc="BC882D52">
      <w:start w:val="1"/>
      <w:numFmt w:val="bullet"/>
      <w:lvlText w:val=""/>
      <w:lvlJc w:val="left"/>
      <w:pPr>
        <w:ind w:left="2160" w:hanging="360"/>
      </w:pPr>
      <w:rPr>
        <w:rFonts w:ascii="Wingdings" w:hAnsi="Wingdings" w:hint="default"/>
      </w:rPr>
    </w:lvl>
    <w:lvl w:ilvl="3" w:tplc="01149C58">
      <w:start w:val="1"/>
      <w:numFmt w:val="bullet"/>
      <w:lvlText w:val=""/>
      <w:lvlJc w:val="left"/>
      <w:pPr>
        <w:ind w:left="2880" w:hanging="360"/>
      </w:pPr>
      <w:rPr>
        <w:rFonts w:ascii="Symbol" w:hAnsi="Symbol" w:hint="default"/>
      </w:rPr>
    </w:lvl>
    <w:lvl w:ilvl="4" w:tplc="4184DA4C">
      <w:start w:val="1"/>
      <w:numFmt w:val="bullet"/>
      <w:lvlText w:val="o"/>
      <w:lvlJc w:val="left"/>
      <w:pPr>
        <w:ind w:left="3600" w:hanging="360"/>
      </w:pPr>
      <w:rPr>
        <w:rFonts w:ascii="Courier New" w:hAnsi="Courier New" w:hint="default"/>
      </w:rPr>
    </w:lvl>
    <w:lvl w:ilvl="5" w:tplc="5324F2D4">
      <w:start w:val="1"/>
      <w:numFmt w:val="bullet"/>
      <w:lvlText w:val=""/>
      <w:lvlJc w:val="left"/>
      <w:pPr>
        <w:ind w:left="4320" w:hanging="360"/>
      </w:pPr>
      <w:rPr>
        <w:rFonts w:ascii="Wingdings" w:hAnsi="Wingdings" w:hint="default"/>
      </w:rPr>
    </w:lvl>
    <w:lvl w:ilvl="6" w:tplc="3300EA34">
      <w:start w:val="1"/>
      <w:numFmt w:val="bullet"/>
      <w:lvlText w:val=""/>
      <w:lvlJc w:val="left"/>
      <w:pPr>
        <w:ind w:left="5040" w:hanging="360"/>
      </w:pPr>
      <w:rPr>
        <w:rFonts w:ascii="Symbol" w:hAnsi="Symbol" w:hint="default"/>
      </w:rPr>
    </w:lvl>
    <w:lvl w:ilvl="7" w:tplc="64EAFA28">
      <w:start w:val="1"/>
      <w:numFmt w:val="bullet"/>
      <w:lvlText w:val="o"/>
      <w:lvlJc w:val="left"/>
      <w:pPr>
        <w:ind w:left="5760" w:hanging="360"/>
      </w:pPr>
      <w:rPr>
        <w:rFonts w:ascii="Courier New" w:hAnsi="Courier New" w:hint="default"/>
      </w:rPr>
    </w:lvl>
    <w:lvl w:ilvl="8" w:tplc="77C8BECA">
      <w:start w:val="1"/>
      <w:numFmt w:val="bullet"/>
      <w:lvlText w:val=""/>
      <w:lvlJc w:val="left"/>
      <w:pPr>
        <w:ind w:left="6480" w:hanging="360"/>
      </w:pPr>
      <w:rPr>
        <w:rFonts w:ascii="Wingdings" w:hAnsi="Wingdings" w:hint="default"/>
      </w:rPr>
    </w:lvl>
  </w:abstractNum>
  <w:abstractNum w:abstractNumId="27" w15:restartNumberingAfterBreak="0">
    <w:nsid w:val="574EEB7B"/>
    <w:multiLevelType w:val="hybridMultilevel"/>
    <w:tmpl w:val="385A6268"/>
    <w:lvl w:ilvl="0" w:tplc="909E90B4">
      <w:start w:val="1"/>
      <w:numFmt w:val="decimal"/>
      <w:lvlText w:val="%1."/>
      <w:lvlJc w:val="left"/>
      <w:pPr>
        <w:ind w:left="720" w:hanging="360"/>
      </w:pPr>
    </w:lvl>
    <w:lvl w:ilvl="1" w:tplc="E4E274CE">
      <w:start w:val="1"/>
      <w:numFmt w:val="lowerLetter"/>
      <w:lvlText w:val="%2."/>
      <w:lvlJc w:val="left"/>
      <w:pPr>
        <w:ind w:left="1440" w:hanging="360"/>
      </w:pPr>
    </w:lvl>
    <w:lvl w:ilvl="2" w:tplc="978095BE">
      <w:start w:val="1"/>
      <w:numFmt w:val="lowerRoman"/>
      <w:lvlText w:val="%3."/>
      <w:lvlJc w:val="right"/>
      <w:pPr>
        <w:ind w:left="2160" w:hanging="180"/>
      </w:pPr>
    </w:lvl>
    <w:lvl w:ilvl="3" w:tplc="07F48430">
      <w:start w:val="1"/>
      <w:numFmt w:val="decimal"/>
      <w:lvlText w:val="%4."/>
      <w:lvlJc w:val="left"/>
      <w:pPr>
        <w:ind w:left="2880" w:hanging="360"/>
      </w:pPr>
    </w:lvl>
    <w:lvl w:ilvl="4" w:tplc="964204A4">
      <w:start w:val="1"/>
      <w:numFmt w:val="lowerLetter"/>
      <w:lvlText w:val="%5."/>
      <w:lvlJc w:val="left"/>
      <w:pPr>
        <w:ind w:left="3600" w:hanging="360"/>
      </w:pPr>
    </w:lvl>
    <w:lvl w:ilvl="5" w:tplc="6AEE9F16">
      <w:start w:val="1"/>
      <w:numFmt w:val="lowerRoman"/>
      <w:lvlText w:val="%6."/>
      <w:lvlJc w:val="right"/>
      <w:pPr>
        <w:ind w:left="4320" w:hanging="180"/>
      </w:pPr>
    </w:lvl>
    <w:lvl w:ilvl="6" w:tplc="949A5B06">
      <w:start w:val="1"/>
      <w:numFmt w:val="decimal"/>
      <w:lvlText w:val="%7."/>
      <w:lvlJc w:val="left"/>
      <w:pPr>
        <w:ind w:left="5040" w:hanging="360"/>
      </w:pPr>
    </w:lvl>
    <w:lvl w:ilvl="7" w:tplc="559EF88E">
      <w:start w:val="1"/>
      <w:numFmt w:val="lowerLetter"/>
      <w:lvlText w:val="%8."/>
      <w:lvlJc w:val="left"/>
      <w:pPr>
        <w:ind w:left="5760" w:hanging="360"/>
      </w:pPr>
    </w:lvl>
    <w:lvl w:ilvl="8" w:tplc="EDC413EE">
      <w:start w:val="1"/>
      <w:numFmt w:val="lowerRoman"/>
      <w:lvlText w:val="%9."/>
      <w:lvlJc w:val="right"/>
      <w:pPr>
        <w:ind w:left="6480" w:hanging="180"/>
      </w:pPr>
    </w:lvl>
  </w:abstractNum>
  <w:abstractNum w:abstractNumId="28" w15:restartNumberingAfterBreak="0">
    <w:nsid w:val="585320DB"/>
    <w:multiLevelType w:val="hybridMultilevel"/>
    <w:tmpl w:val="58B0B6AA"/>
    <w:lvl w:ilvl="0" w:tplc="2AEAAD14">
      <w:start w:val="1"/>
      <w:numFmt w:val="bullet"/>
      <w:lvlText w:val="•"/>
      <w:lvlJc w:val="left"/>
      <w:pPr>
        <w:tabs>
          <w:tab w:val="num" w:pos="720"/>
        </w:tabs>
        <w:ind w:left="720" w:hanging="360"/>
      </w:pPr>
      <w:rPr>
        <w:rFonts w:ascii="Arial" w:hAnsi="Arial" w:hint="default"/>
      </w:rPr>
    </w:lvl>
    <w:lvl w:ilvl="1" w:tplc="45DEC5D0">
      <w:numFmt w:val="bullet"/>
      <w:lvlText w:val="•"/>
      <w:lvlJc w:val="left"/>
      <w:pPr>
        <w:tabs>
          <w:tab w:val="num" w:pos="1440"/>
        </w:tabs>
        <w:ind w:left="1440" w:hanging="360"/>
      </w:pPr>
      <w:rPr>
        <w:rFonts w:ascii="Arial" w:hAnsi="Arial" w:hint="default"/>
      </w:rPr>
    </w:lvl>
    <w:lvl w:ilvl="2" w:tplc="32CA0166">
      <w:numFmt w:val="bullet"/>
      <w:lvlText w:val="•"/>
      <w:lvlJc w:val="left"/>
      <w:pPr>
        <w:tabs>
          <w:tab w:val="num" w:pos="2160"/>
        </w:tabs>
        <w:ind w:left="2160" w:hanging="360"/>
      </w:pPr>
      <w:rPr>
        <w:rFonts w:ascii="Arial" w:hAnsi="Arial" w:hint="default"/>
      </w:rPr>
    </w:lvl>
    <w:lvl w:ilvl="3" w:tplc="F522A326" w:tentative="1">
      <w:start w:val="1"/>
      <w:numFmt w:val="bullet"/>
      <w:lvlText w:val="•"/>
      <w:lvlJc w:val="left"/>
      <w:pPr>
        <w:tabs>
          <w:tab w:val="num" w:pos="2880"/>
        </w:tabs>
        <w:ind w:left="2880" w:hanging="360"/>
      </w:pPr>
      <w:rPr>
        <w:rFonts w:ascii="Arial" w:hAnsi="Arial" w:hint="default"/>
      </w:rPr>
    </w:lvl>
    <w:lvl w:ilvl="4" w:tplc="7CBA74DE" w:tentative="1">
      <w:start w:val="1"/>
      <w:numFmt w:val="bullet"/>
      <w:lvlText w:val="•"/>
      <w:lvlJc w:val="left"/>
      <w:pPr>
        <w:tabs>
          <w:tab w:val="num" w:pos="3600"/>
        </w:tabs>
        <w:ind w:left="3600" w:hanging="360"/>
      </w:pPr>
      <w:rPr>
        <w:rFonts w:ascii="Arial" w:hAnsi="Arial" w:hint="default"/>
      </w:rPr>
    </w:lvl>
    <w:lvl w:ilvl="5" w:tplc="FFAC33E8" w:tentative="1">
      <w:start w:val="1"/>
      <w:numFmt w:val="bullet"/>
      <w:lvlText w:val="•"/>
      <w:lvlJc w:val="left"/>
      <w:pPr>
        <w:tabs>
          <w:tab w:val="num" w:pos="4320"/>
        </w:tabs>
        <w:ind w:left="4320" w:hanging="360"/>
      </w:pPr>
      <w:rPr>
        <w:rFonts w:ascii="Arial" w:hAnsi="Arial" w:hint="default"/>
      </w:rPr>
    </w:lvl>
    <w:lvl w:ilvl="6" w:tplc="9A92748C" w:tentative="1">
      <w:start w:val="1"/>
      <w:numFmt w:val="bullet"/>
      <w:lvlText w:val="•"/>
      <w:lvlJc w:val="left"/>
      <w:pPr>
        <w:tabs>
          <w:tab w:val="num" w:pos="5040"/>
        </w:tabs>
        <w:ind w:left="5040" w:hanging="360"/>
      </w:pPr>
      <w:rPr>
        <w:rFonts w:ascii="Arial" w:hAnsi="Arial" w:hint="default"/>
      </w:rPr>
    </w:lvl>
    <w:lvl w:ilvl="7" w:tplc="A868172A" w:tentative="1">
      <w:start w:val="1"/>
      <w:numFmt w:val="bullet"/>
      <w:lvlText w:val="•"/>
      <w:lvlJc w:val="left"/>
      <w:pPr>
        <w:tabs>
          <w:tab w:val="num" w:pos="5760"/>
        </w:tabs>
        <w:ind w:left="5760" w:hanging="360"/>
      </w:pPr>
      <w:rPr>
        <w:rFonts w:ascii="Arial" w:hAnsi="Arial" w:hint="default"/>
      </w:rPr>
    </w:lvl>
    <w:lvl w:ilvl="8" w:tplc="289078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0"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E76B9A"/>
    <w:multiLevelType w:val="hybridMultilevel"/>
    <w:tmpl w:val="73C6CD90"/>
    <w:lvl w:ilvl="0" w:tplc="A3EAC60E">
      <w:start w:val="1"/>
      <w:numFmt w:val="bullet"/>
      <w:lvlText w:val="•"/>
      <w:lvlJc w:val="left"/>
      <w:pPr>
        <w:tabs>
          <w:tab w:val="num" w:pos="720"/>
        </w:tabs>
        <w:ind w:left="720" w:hanging="360"/>
      </w:pPr>
      <w:rPr>
        <w:rFonts w:ascii="Arial" w:hAnsi="Arial" w:hint="default"/>
      </w:rPr>
    </w:lvl>
    <w:lvl w:ilvl="1" w:tplc="A6AE0E22">
      <w:numFmt w:val="bullet"/>
      <w:lvlText w:val="•"/>
      <w:lvlJc w:val="left"/>
      <w:pPr>
        <w:tabs>
          <w:tab w:val="num" w:pos="1440"/>
        </w:tabs>
        <w:ind w:left="1440" w:hanging="360"/>
      </w:pPr>
      <w:rPr>
        <w:rFonts w:ascii="Arial" w:hAnsi="Arial" w:hint="default"/>
      </w:rPr>
    </w:lvl>
    <w:lvl w:ilvl="2" w:tplc="86FCEE78" w:tentative="1">
      <w:start w:val="1"/>
      <w:numFmt w:val="bullet"/>
      <w:lvlText w:val="•"/>
      <w:lvlJc w:val="left"/>
      <w:pPr>
        <w:tabs>
          <w:tab w:val="num" w:pos="2160"/>
        </w:tabs>
        <w:ind w:left="2160" w:hanging="360"/>
      </w:pPr>
      <w:rPr>
        <w:rFonts w:ascii="Arial" w:hAnsi="Arial" w:hint="default"/>
      </w:rPr>
    </w:lvl>
    <w:lvl w:ilvl="3" w:tplc="1A6AA81C" w:tentative="1">
      <w:start w:val="1"/>
      <w:numFmt w:val="bullet"/>
      <w:lvlText w:val="•"/>
      <w:lvlJc w:val="left"/>
      <w:pPr>
        <w:tabs>
          <w:tab w:val="num" w:pos="2880"/>
        </w:tabs>
        <w:ind w:left="2880" w:hanging="360"/>
      </w:pPr>
      <w:rPr>
        <w:rFonts w:ascii="Arial" w:hAnsi="Arial" w:hint="default"/>
      </w:rPr>
    </w:lvl>
    <w:lvl w:ilvl="4" w:tplc="E7E85D50" w:tentative="1">
      <w:start w:val="1"/>
      <w:numFmt w:val="bullet"/>
      <w:lvlText w:val="•"/>
      <w:lvlJc w:val="left"/>
      <w:pPr>
        <w:tabs>
          <w:tab w:val="num" w:pos="3600"/>
        </w:tabs>
        <w:ind w:left="3600" w:hanging="360"/>
      </w:pPr>
      <w:rPr>
        <w:rFonts w:ascii="Arial" w:hAnsi="Arial" w:hint="default"/>
      </w:rPr>
    </w:lvl>
    <w:lvl w:ilvl="5" w:tplc="18D4FD14" w:tentative="1">
      <w:start w:val="1"/>
      <w:numFmt w:val="bullet"/>
      <w:lvlText w:val="•"/>
      <w:lvlJc w:val="left"/>
      <w:pPr>
        <w:tabs>
          <w:tab w:val="num" w:pos="4320"/>
        </w:tabs>
        <w:ind w:left="4320" w:hanging="360"/>
      </w:pPr>
      <w:rPr>
        <w:rFonts w:ascii="Arial" w:hAnsi="Arial" w:hint="default"/>
      </w:rPr>
    </w:lvl>
    <w:lvl w:ilvl="6" w:tplc="93244468" w:tentative="1">
      <w:start w:val="1"/>
      <w:numFmt w:val="bullet"/>
      <w:lvlText w:val="•"/>
      <w:lvlJc w:val="left"/>
      <w:pPr>
        <w:tabs>
          <w:tab w:val="num" w:pos="5040"/>
        </w:tabs>
        <w:ind w:left="5040" w:hanging="360"/>
      </w:pPr>
      <w:rPr>
        <w:rFonts w:ascii="Arial" w:hAnsi="Arial" w:hint="default"/>
      </w:rPr>
    </w:lvl>
    <w:lvl w:ilvl="7" w:tplc="B36021CA" w:tentative="1">
      <w:start w:val="1"/>
      <w:numFmt w:val="bullet"/>
      <w:lvlText w:val="•"/>
      <w:lvlJc w:val="left"/>
      <w:pPr>
        <w:tabs>
          <w:tab w:val="num" w:pos="5760"/>
        </w:tabs>
        <w:ind w:left="5760" w:hanging="360"/>
      </w:pPr>
      <w:rPr>
        <w:rFonts w:ascii="Arial" w:hAnsi="Arial" w:hint="default"/>
      </w:rPr>
    </w:lvl>
    <w:lvl w:ilvl="8" w:tplc="B4827E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416767"/>
    <w:multiLevelType w:val="hybridMultilevel"/>
    <w:tmpl w:val="CDC6DB46"/>
    <w:lvl w:ilvl="0" w:tplc="851CF4E0">
      <w:start w:val="1"/>
      <w:numFmt w:val="bullet"/>
      <w:lvlText w:val="·"/>
      <w:lvlJc w:val="left"/>
      <w:pPr>
        <w:ind w:left="720" w:hanging="360"/>
      </w:pPr>
      <w:rPr>
        <w:rFonts w:ascii="Symbol" w:hAnsi="Symbol" w:hint="default"/>
      </w:rPr>
    </w:lvl>
    <w:lvl w:ilvl="1" w:tplc="D24AF1A2">
      <w:start w:val="1"/>
      <w:numFmt w:val="bullet"/>
      <w:lvlText w:val="o"/>
      <w:lvlJc w:val="left"/>
      <w:pPr>
        <w:ind w:left="1440" w:hanging="360"/>
      </w:pPr>
      <w:rPr>
        <w:rFonts w:ascii="Courier New" w:hAnsi="Courier New" w:hint="default"/>
      </w:rPr>
    </w:lvl>
    <w:lvl w:ilvl="2" w:tplc="84C29300">
      <w:start w:val="1"/>
      <w:numFmt w:val="bullet"/>
      <w:lvlText w:val=""/>
      <w:lvlJc w:val="left"/>
      <w:pPr>
        <w:ind w:left="2160" w:hanging="360"/>
      </w:pPr>
      <w:rPr>
        <w:rFonts w:ascii="Wingdings" w:hAnsi="Wingdings" w:hint="default"/>
      </w:rPr>
    </w:lvl>
    <w:lvl w:ilvl="3" w:tplc="0680CE90">
      <w:start w:val="1"/>
      <w:numFmt w:val="bullet"/>
      <w:lvlText w:val=""/>
      <w:lvlJc w:val="left"/>
      <w:pPr>
        <w:ind w:left="2880" w:hanging="360"/>
      </w:pPr>
      <w:rPr>
        <w:rFonts w:ascii="Symbol" w:hAnsi="Symbol" w:hint="default"/>
      </w:rPr>
    </w:lvl>
    <w:lvl w:ilvl="4" w:tplc="EC10AFE8">
      <w:start w:val="1"/>
      <w:numFmt w:val="bullet"/>
      <w:lvlText w:val="o"/>
      <w:lvlJc w:val="left"/>
      <w:pPr>
        <w:ind w:left="3600" w:hanging="360"/>
      </w:pPr>
      <w:rPr>
        <w:rFonts w:ascii="Courier New" w:hAnsi="Courier New" w:hint="default"/>
      </w:rPr>
    </w:lvl>
    <w:lvl w:ilvl="5" w:tplc="C9A667EC">
      <w:start w:val="1"/>
      <w:numFmt w:val="bullet"/>
      <w:lvlText w:val=""/>
      <w:lvlJc w:val="left"/>
      <w:pPr>
        <w:ind w:left="4320" w:hanging="360"/>
      </w:pPr>
      <w:rPr>
        <w:rFonts w:ascii="Wingdings" w:hAnsi="Wingdings" w:hint="default"/>
      </w:rPr>
    </w:lvl>
    <w:lvl w:ilvl="6" w:tplc="50703574">
      <w:start w:val="1"/>
      <w:numFmt w:val="bullet"/>
      <w:lvlText w:val=""/>
      <w:lvlJc w:val="left"/>
      <w:pPr>
        <w:ind w:left="5040" w:hanging="360"/>
      </w:pPr>
      <w:rPr>
        <w:rFonts w:ascii="Symbol" w:hAnsi="Symbol" w:hint="default"/>
      </w:rPr>
    </w:lvl>
    <w:lvl w:ilvl="7" w:tplc="23CE0DE4">
      <w:start w:val="1"/>
      <w:numFmt w:val="bullet"/>
      <w:lvlText w:val="o"/>
      <w:lvlJc w:val="left"/>
      <w:pPr>
        <w:ind w:left="5760" w:hanging="360"/>
      </w:pPr>
      <w:rPr>
        <w:rFonts w:ascii="Courier New" w:hAnsi="Courier New" w:hint="default"/>
      </w:rPr>
    </w:lvl>
    <w:lvl w:ilvl="8" w:tplc="2B90B542">
      <w:start w:val="1"/>
      <w:numFmt w:val="bullet"/>
      <w:lvlText w:val=""/>
      <w:lvlJc w:val="left"/>
      <w:pPr>
        <w:ind w:left="6480" w:hanging="360"/>
      </w:pPr>
      <w:rPr>
        <w:rFonts w:ascii="Wingdings" w:hAnsi="Wingdings" w:hint="default"/>
      </w:rPr>
    </w:lvl>
  </w:abstractNum>
  <w:abstractNum w:abstractNumId="3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2F9C1"/>
    <w:multiLevelType w:val="hybridMultilevel"/>
    <w:tmpl w:val="0B5C25BC"/>
    <w:lvl w:ilvl="0" w:tplc="1A5E010E">
      <w:start w:val="1"/>
      <w:numFmt w:val="bullet"/>
      <w:lvlText w:val="·"/>
      <w:lvlJc w:val="left"/>
      <w:pPr>
        <w:ind w:left="720" w:hanging="360"/>
      </w:pPr>
      <w:rPr>
        <w:rFonts w:ascii="Symbol" w:hAnsi="Symbol" w:hint="default"/>
      </w:rPr>
    </w:lvl>
    <w:lvl w:ilvl="1" w:tplc="F2A66D18">
      <w:start w:val="1"/>
      <w:numFmt w:val="bullet"/>
      <w:lvlText w:val="o"/>
      <w:lvlJc w:val="left"/>
      <w:pPr>
        <w:ind w:left="1440" w:hanging="360"/>
      </w:pPr>
      <w:rPr>
        <w:rFonts w:ascii="Courier New" w:hAnsi="Courier New" w:hint="default"/>
      </w:rPr>
    </w:lvl>
    <w:lvl w:ilvl="2" w:tplc="AE185D70">
      <w:start w:val="1"/>
      <w:numFmt w:val="bullet"/>
      <w:lvlText w:val=""/>
      <w:lvlJc w:val="left"/>
      <w:pPr>
        <w:ind w:left="2160" w:hanging="360"/>
      </w:pPr>
      <w:rPr>
        <w:rFonts w:ascii="Wingdings" w:hAnsi="Wingdings" w:hint="default"/>
      </w:rPr>
    </w:lvl>
    <w:lvl w:ilvl="3" w:tplc="2ADCC022">
      <w:start w:val="1"/>
      <w:numFmt w:val="bullet"/>
      <w:lvlText w:val=""/>
      <w:lvlJc w:val="left"/>
      <w:pPr>
        <w:ind w:left="2880" w:hanging="360"/>
      </w:pPr>
      <w:rPr>
        <w:rFonts w:ascii="Symbol" w:hAnsi="Symbol" w:hint="default"/>
      </w:rPr>
    </w:lvl>
    <w:lvl w:ilvl="4" w:tplc="6B98057C">
      <w:start w:val="1"/>
      <w:numFmt w:val="bullet"/>
      <w:lvlText w:val="o"/>
      <w:lvlJc w:val="left"/>
      <w:pPr>
        <w:ind w:left="3600" w:hanging="360"/>
      </w:pPr>
      <w:rPr>
        <w:rFonts w:ascii="Courier New" w:hAnsi="Courier New" w:hint="default"/>
      </w:rPr>
    </w:lvl>
    <w:lvl w:ilvl="5" w:tplc="DEF01D66">
      <w:start w:val="1"/>
      <w:numFmt w:val="bullet"/>
      <w:lvlText w:val=""/>
      <w:lvlJc w:val="left"/>
      <w:pPr>
        <w:ind w:left="4320" w:hanging="360"/>
      </w:pPr>
      <w:rPr>
        <w:rFonts w:ascii="Wingdings" w:hAnsi="Wingdings" w:hint="default"/>
      </w:rPr>
    </w:lvl>
    <w:lvl w:ilvl="6" w:tplc="3AECD744">
      <w:start w:val="1"/>
      <w:numFmt w:val="bullet"/>
      <w:lvlText w:val=""/>
      <w:lvlJc w:val="left"/>
      <w:pPr>
        <w:ind w:left="5040" w:hanging="360"/>
      </w:pPr>
      <w:rPr>
        <w:rFonts w:ascii="Symbol" w:hAnsi="Symbol" w:hint="default"/>
      </w:rPr>
    </w:lvl>
    <w:lvl w:ilvl="7" w:tplc="F3968220">
      <w:start w:val="1"/>
      <w:numFmt w:val="bullet"/>
      <w:lvlText w:val="o"/>
      <w:lvlJc w:val="left"/>
      <w:pPr>
        <w:ind w:left="5760" w:hanging="360"/>
      </w:pPr>
      <w:rPr>
        <w:rFonts w:ascii="Courier New" w:hAnsi="Courier New" w:hint="default"/>
      </w:rPr>
    </w:lvl>
    <w:lvl w:ilvl="8" w:tplc="A35EB79E">
      <w:start w:val="1"/>
      <w:numFmt w:val="bullet"/>
      <w:lvlText w:val=""/>
      <w:lvlJc w:val="left"/>
      <w:pPr>
        <w:ind w:left="6480" w:hanging="360"/>
      </w:pPr>
      <w:rPr>
        <w:rFonts w:ascii="Wingdings" w:hAnsi="Wingdings" w:hint="default"/>
      </w:rPr>
    </w:lvl>
  </w:abstractNum>
  <w:abstractNum w:abstractNumId="37" w15:restartNumberingAfterBreak="0">
    <w:nsid w:val="7E2C0149"/>
    <w:multiLevelType w:val="hybridMultilevel"/>
    <w:tmpl w:val="945E7DB4"/>
    <w:lvl w:ilvl="0" w:tplc="CAF6D7E6">
      <w:start w:val="1"/>
      <w:numFmt w:val="bullet"/>
      <w:lvlText w:val="·"/>
      <w:lvlJc w:val="left"/>
      <w:pPr>
        <w:ind w:left="720" w:hanging="360"/>
      </w:pPr>
      <w:rPr>
        <w:rFonts w:ascii="Symbol" w:hAnsi="Symbol" w:hint="default"/>
      </w:rPr>
    </w:lvl>
    <w:lvl w:ilvl="1" w:tplc="1C9275C8">
      <w:start w:val="1"/>
      <w:numFmt w:val="bullet"/>
      <w:lvlText w:val="o"/>
      <w:lvlJc w:val="left"/>
      <w:pPr>
        <w:ind w:left="1440" w:hanging="360"/>
      </w:pPr>
      <w:rPr>
        <w:rFonts w:ascii="Courier New" w:hAnsi="Courier New" w:hint="default"/>
      </w:rPr>
    </w:lvl>
    <w:lvl w:ilvl="2" w:tplc="F752B5BC">
      <w:start w:val="1"/>
      <w:numFmt w:val="bullet"/>
      <w:lvlText w:val=""/>
      <w:lvlJc w:val="left"/>
      <w:pPr>
        <w:ind w:left="2160" w:hanging="360"/>
      </w:pPr>
      <w:rPr>
        <w:rFonts w:ascii="Wingdings" w:hAnsi="Wingdings" w:hint="default"/>
      </w:rPr>
    </w:lvl>
    <w:lvl w:ilvl="3" w:tplc="652A724A">
      <w:start w:val="1"/>
      <w:numFmt w:val="bullet"/>
      <w:lvlText w:val=""/>
      <w:lvlJc w:val="left"/>
      <w:pPr>
        <w:ind w:left="2880" w:hanging="360"/>
      </w:pPr>
      <w:rPr>
        <w:rFonts w:ascii="Symbol" w:hAnsi="Symbol" w:hint="default"/>
      </w:rPr>
    </w:lvl>
    <w:lvl w:ilvl="4" w:tplc="DD0A6364">
      <w:start w:val="1"/>
      <w:numFmt w:val="bullet"/>
      <w:lvlText w:val="o"/>
      <w:lvlJc w:val="left"/>
      <w:pPr>
        <w:ind w:left="3600" w:hanging="360"/>
      </w:pPr>
      <w:rPr>
        <w:rFonts w:ascii="Courier New" w:hAnsi="Courier New" w:hint="default"/>
      </w:rPr>
    </w:lvl>
    <w:lvl w:ilvl="5" w:tplc="51BAD7B0">
      <w:start w:val="1"/>
      <w:numFmt w:val="bullet"/>
      <w:lvlText w:val=""/>
      <w:lvlJc w:val="left"/>
      <w:pPr>
        <w:ind w:left="4320" w:hanging="360"/>
      </w:pPr>
      <w:rPr>
        <w:rFonts w:ascii="Wingdings" w:hAnsi="Wingdings" w:hint="default"/>
      </w:rPr>
    </w:lvl>
    <w:lvl w:ilvl="6" w:tplc="FF04CED0">
      <w:start w:val="1"/>
      <w:numFmt w:val="bullet"/>
      <w:lvlText w:val=""/>
      <w:lvlJc w:val="left"/>
      <w:pPr>
        <w:ind w:left="5040" w:hanging="360"/>
      </w:pPr>
      <w:rPr>
        <w:rFonts w:ascii="Symbol" w:hAnsi="Symbol" w:hint="default"/>
      </w:rPr>
    </w:lvl>
    <w:lvl w:ilvl="7" w:tplc="8E3CFAC2">
      <w:start w:val="1"/>
      <w:numFmt w:val="bullet"/>
      <w:lvlText w:val="o"/>
      <w:lvlJc w:val="left"/>
      <w:pPr>
        <w:ind w:left="5760" w:hanging="360"/>
      </w:pPr>
      <w:rPr>
        <w:rFonts w:ascii="Courier New" w:hAnsi="Courier New" w:hint="default"/>
      </w:rPr>
    </w:lvl>
    <w:lvl w:ilvl="8" w:tplc="8E62C908">
      <w:start w:val="1"/>
      <w:numFmt w:val="bullet"/>
      <w:lvlText w:val=""/>
      <w:lvlJc w:val="left"/>
      <w:pPr>
        <w:ind w:left="6480" w:hanging="360"/>
      </w:pPr>
      <w:rPr>
        <w:rFonts w:ascii="Wingdings" w:hAnsi="Wingdings" w:hint="default"/>
      </w:rPr>
    </w:lvl>
  </w:abstractNum>
  <w:num w:numId="1">
    <w:abstractNumId w:val="27"/>
  </w:num>
  <w:num w:numId="2">
    <w:abstractNumId w:val="34"/>
  </w:num>
  <w:num w:numId="3">
    <w:abstractNumId w:val="23"/>
  </w:num>
  <w:num w:numId="4">
    <w:abstractNumId w:val="16"/>
  </w:num>
  <w:num w:numId="5">
    <w:abstractNumId w:val="36"/>
  </w:num>
  <w:num w:numId="6">
    <w:abstractNumId w:val="26"/>
  </w:num>
  <w:num w:numId="7">
    <w:abstractNumId w:val="2"/>
  </w:num>
  <w:num w:numId="8">
    <w:abstractNumId w:val="25"/>
  </w:num>
  <w:num w:numId="9">
    <w:abstractNumId w:val="21"/>
  </w:num>
  <w:num w:numId="10">
    <w:abstractNumId w:val="12"/>
  </w:num>
  <w:num w:numId="11">
    <w:abstractNumId w:val="13"/>
  </w:num>
  <w:num w:numId="12">
    <w:abstractNumId w:val="37"/>
  </w:num>
  <w:num w:numId="13">
    <w:abstractNumId w:val="15"/>
  </w:num>
  <w:num w:numId="14">
    <w:abstractNumId w:val="17"/>
  </w:num>
  <w:num w:numId="15">
    <w:abstractNumId w:val="0"/>
  </w:num>
  <w:num w:numId="16">
    <w:abstractNumId w:val="10"/>
  </w:num>
  <w:num w:numId="17">
    <w:abstractNumId w:val="30"/>
  </w:num>
  <w:num w:numId="18">
    <w:abstractNumId w:val="3"/>
  </w:num>
  <w:num w:numId="19">
    <w:abstractNumId w:val="19"/>
  </w:num>
  <w:num w:numId="20">
    <w:abstractNumId w:val="11"/>
  </w:num>
  <w:num w:numId="21">
    <w:abstractNumId w:val="4"/>
  </w:num>
  <w:num w:numId="22">
    <w:abstractNumId w:val="7"/>
  </w:num>
  <w:num w:numId="23">
    <w:abstractNumId w:val="6"/>
  </w:num>
  <w:num w:numId="24">
    <w:abstractNumId w:val="8"/>
  </w:num>
  <w:num w:numId="25">
    <w:abstractNumId w:val="1"/>
  </w:num>
  <w:num w:numId="26">
    <w:abstractNumId w:val="24"/>
  </w:num>
  <w:num w:numId="27">
    <w:abstractNumId w:val="32"/>
  </w:num>
  <w:num w:numId="28">
    <w:abstractNumId w:val="28"/>
  </w:num>
  <w:num w:numId="29">
    <w:abstractNumId w:val="14"/>
  </w:num>
  <w:num w:numId="30">
    <w:abstractNumId w:val="31"/>
  </w:num>
  <w:num w:numId="31">
    <w:abstractNumId w:val="33"/>
  </w:num>
  <w:num w:numId="32">
    <w:abstractNumId w:val="20"/>
  </w:num>
  <w:num w:numId="33">
    <w:abstractNumId w:val="22"/>
  </w:num>
  <w:num w:numId="34">
    <w:abstractNumId w:val="5"/>
  </w:num>
  <w:num w:numId="35">
    <w:abstractNumId w:val="35"/>
  </w:num>
  <w:num w:numId="36">
    <w:abstractNumId w:val="9"/>
  </w:num>
  <w:num w:numId="37">
    <w:abstractNumId w:val="1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CAF"/>
    <w:rsid w:val="0000147E"/>
    <w:rsid w:val="000014AF"/>
    <w:rsid w:val="0000159F"/>
    <w:rsid w:val="000015C3"/>
    <w:rsid w:val="00001F79"/>
    <w:rsid w:val="00001F91"/>
    <w:rsid w:val="00002266"/>
    <w:rsid w:val="000022EA"/>
    <w:rsid w:val="00002A19"/>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9A6"/>
    <w:rsid w:val="00007AA2"/>
    <w:rsid w:val="00007ED3"/>
    <w:rsid w:val="00010241"/>
    <w:rsid w:val="00010916"/>
    <w:rsid w:val="00010961"/>
    <w:rsid w:val="00010A83"/>
    <w:rsid w:val="00010BBC"/>
    <w:rsid w:val="00010D66"/>
    <w:rsid w:val="00010E2C"/>
    <w:rsid w:val="000117C9"/>
    <w:rsid w:val="00011BB2"/>
    <w:rsid w:val="000121AF"/>
    <w:rsid w:val="00012505"/>
    <w:rsid w:val="00012685"/>
    <w:rsid w:val="000127BD"/>
    <w:rsid w:val="00012BDA"/>
    <w:rsid w:val="00012C4F"/>
    <w:rsid w:val="00012E5C"/>
    <w:rsid w:val="000130B3"/>
    <w:rsid w:val="000131D1"/>
    <w:rsid w:val="0001323D"/>
    <w:rsid w:val="00013350"/>
    <w:rsid w:val="00013390"/>
    <w:rsid w:val="00013455"/>
    <w:rsid w:val="000134E3"/>
    <w:rsid w:val="00013632"/>
    <w:rsid w:val="00013CA6"/>
    <w:rsid w:val="00013E93"/>
    <w:rsid w:val="00013F5E"/>
    <w:rsid w:val="0001403F"/>
    <w:rsid w:val="00014531"/>
    <w:rsid w:val="0001487F"/>
    <w:rsid w:val="00014F35"/>
    <w:rsid w:val="00014FA2"/>
    <w:rsid w:val="0001525B"/>
    <w:rsid w:val="00015A21"/>
    <w:rsid w:val="00015C51"/>
    <w:rsid w:val="00015EAF"/>
    <w:rsid w:val="00015F98"/>
    <w:rsid w:val="0001647D"/>
    <w:rsid w:val="000165EE"/>
    <w:rsid w:val="000166AC"/>
    <w:rsid w:val="00016C33"/>
    <w:rsid w:val="00017845"/>
    <w:rsid w:val="00017B7F"/>
    <w:rsid w:val="00017EDA"/>
    <w:rsid w:val="00020008"/>
    <w:rsid w:val="00020568"/>
    <w:rsid w:val="000212A5"/>
    <w:rsid w:val="00021927"/>
    <w:rsid w:val="00021B89"/>
    <w:rsid w:val="00021E78"/>
    <w:rsid w:val="00022535"/>
    <w:rsid w:val="00022667"/>
    <w:rsid w:val="00022730"/>
    <w:rsid w:val="000229C3"/>
    <w:rsid w:val="00022B8C"/>
    <w:rsid w:val="00022C0E"/>
    <w:rsid w:val="00023005"/>
    <w:rsid w:val="000231C8"/>
    <w:rsid w:val="000233B4"/>
    <w:rsid w:val="00023742"/>
    <w:rsid w:val="00023EA5"/>
    <w:rsid w:val="00024581"/>
    <w:rsid w:val="00024594"/>
    <w:rsid w:val="00024AEF"/>
    <w:rsid w:val="00024D86"/>
    <w:rsid w:val="00025329"/>
    <w:rsid w:val="000258EC"/>
    <w:rsid w:val="00025C1E"/>
    <w:rsid w:val="00026014"/>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79E"/>
    <w:rsid w:val="00034BD3"/>
    <w:rsid w:val="00034C20"/>
    <w:rsid w:val="000350E7"/>
    <w:rsid w:val="00035432"/>
    <w:rsid w:val="00035691"/>
    <w:rsid w:val="00035EAB"/>
    <w:rsid w:val="00035F29"/>
    <w:rsid w:val="00035F57"/>
    <w:rsid w:val="0003642B"/>
    <w:rsid w:val="000366D8"/>
    <w:rsid w:val="00036861"/>
    <w:rsid w:val="00036E5A"/>
    <w:rsid w:val="000370FA"/>
    <w:rsid w:val="000372BE"/>
    <w:rsid w:val="0003742B"/>
    <w:rsid w:val="00037628"/>
    <w:rsid w:val="0003767C"/>
    <w:rsid w:val="00037841"/>
    <w:rsid w:val="00037A5A"/>
    <w:rsid w:val="00037FBE"/>
    <w:rsid w:val="000402B5"/>
    <w:rsid w:val="0004040F"/>
    <w:rsid w:val="000407D4"/>
    <w:rsid w:val="0004088D"/>
    <w:rsid w:val="0004091D"/>
    <w:rsid w:val="00040CE2"/>
    <w:rsid w:val="00040F4F"/>
    <w:rsid w:val="00041052"/>
    <w:rsid w:val="00041326"/>
    <w:rsid w:val="0004132D"/>
    <w:rsid w:val="00041907"/>
    <w:rsid w:val="00041C9D"/>
    <w:rsid w:val="00042268"/>
    <w:rsid w:val="000426DF"/>
    <w:rsid w:val="00042FCB"/>
    <w:rsid w:val="00043475"/>
    <w:rsid w:val="000437B7"/>
    <w:rsid w:val="000440AD"/>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E36"/>
    <w:rsid w:val="000511F9"/>
    <w:rsid w:val="00051B32"/>
    <w:rsid w:val="00051D3B"/>
    <w:rsid w:val="00051E0B"/>
    <w:rsid w:val="00051E1E"/>
    <w:rsid w:val="00051ECD"/>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B05"/>
    <w:rsid w:val="00054D36"/>
    <w:rsid w:val="00054D9D"/>
    <w:rsid w:val="00055236"/>
    <w:rsid w:val="00055676"/>
    <w:rsid w:val="000557D1"/>
    <w:rsid w:val="00055858"/>
    <w:rsid w:val="00055E71"/>
    <w:rsid w:val="00055FEE"/>
    <w:rsid w:val="00056544"/>
    <w:rsid w:val="00056891"/>
    <w:rsid w:val="00056EA1"/>
    <w:rsid w:val="000570B5"/>
    <w:rsid w:val="000571AF"/>
    <w:rsid w:val="00057386"/>
    <w:rsid w:val="0005751D"/>
    <w:rsid w:val="00057B29"/>
    <w:rsid w:val="00060373"/>
    <w:rsid w:val="00060470"/>
    <w:rsid w:val="000604A2"/>
    <w:rsid w:val="00060696"/>
    <w:rsid w:val="00060A01"/>
    <w:rsid w:val="00060D8E"/>
    <w:rsid w:val="00060D96"/>
    <w:rsid w:val="00061093"/>
    <w:rsid w:val="00061EB5"/>
    <w:rsid w:val="00062159"/>
    <w:rsid w:val="00062578"/>
    <w:rsid w:val="00062E4C"/>
    <w:rsid w:val="00063708"/>
    <w:rsid w:val="00063D9E"/>
    <w:rsid w:val="00063F33"/>
    <w:rsid w:val="000646FE"/>
    <w:rsid w:val="00064AD3"/>
    <w:rsid w:val="00064ADD"/>
    <w:rsid w:val="00065088"/>
    <w:rsid w:val="000652D3"/>
    <w:rsid w:val="000654A0"/>
    <w:rsid w:val="000654B8"/>
    <w:rsid w:val="0006593B"/>
    <w:rsid w:val="00065B01"/>
    <w:rsid w:val="00065B6F"/>
    <w:rsid w:val="00065E94"/>
    <w:rsid w:val="00065EE0"/>
    <w:rsid w:val="00066023"/>
    <w:rsid w:val="000661CA"/>
    <w:rsid w:val="00066302"/>
    <w:rsid w:val="00066382"/>
    <w:rsid w:val="000665BA"/>
    <w:rsid w:val="0006663C"/>
    <w:rsid w:val="00066719"/>
    <w:rsid w:val="00066B1C"/>
    <w:rsid w:val="00066CCB"/>
    <w:rsid w:val="00067171"/>
    <w:rsid w:val="00067204"/>
    <w:rsid w:val="000672DB"/>
    <w:rsid w:val="000673CB"/>
    <w:rsid w:val="00067659"/>
    <w:rsid w:val="00067751"/>
    <w:rsid w:val="000677E1"/>
    <w:rsid w:val="000679B7"/>
    <w:rsid w:val="00067EDF"/>
    <w:rsid w:val="0007012D"/>
    <w:rsid w:val="00070195"/>
    <w:rsid w:val="000701AD"/>
    <w:rsid w:val="0007024F"/>
    <w:rsid w:val="0007050D"/>
    <w:rsid w:val="000706C3"/>
    <w:rsid w:val="000707B5"/>
    <w:rsid w:val="000707CA"/>
    <w:rsid w:val="000708C4"/>
    <w:rsid w:val="00070BC5"/>
    <w:rsid w:val="00070D21"/>
    <w:rsid w:val="00070F56"/>
    <w:rsid w:val="000711BC"/>
    <w:rsid w:val="000711ED"/>
    <w:rsid w:val="0007148D"/>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B36"/>
    <w:rsid w:val="00073BA6"/>
    <w:rsid w:val="00073C20"/>
    <w:rsid w:val="0007428C"/>
    <w:rsid w:val="00074881"/>
    <w:rsid w:val="00074A3A"/>
    <w:rsid w:val="000753E0"/>
    <w:rsid w:val="00075965"/>
    <w:rsid w:val="000759A3"/>
    <w:rsid w:val="000759F6"/>
    <w:rsid w:val="00075BE8"/>
    <w:rsid w:val="00075FDA"/>
    <w:rsid w:val="0007602B"/>
    <w:rsid w:val="00076353"/>
    <w:rsid w:val="00076386"/>
    <w:rsid w:val="00076566"/>
    <w:rsid w:val="000767B6"/>
    <w:rsid w:val="00076869"/>
    <w:rsid w:val="00076D82"/>
    <w:rsid w:val="000775B4"/>
    <w:rsid w:val="00077746"/>
    <w:rsid w:val="000777AF"/>
    <w:rsid w:val="00077877"/>
    <w:rsid w:val="00077D34"/>
    <w:rsid w:val="00077F0B"/>
    <w:rsid w:val="000801C6"/>
    <w:rsid w:val="000802AA"/>
    <w:rsid w:val="0008033B"/>
    <w:rsid w:val="0008092A"/>
    <w:rsid w:val="00080CF9"/>
    <w:rsid w:val="00080F4A"/>
    <w:rsid w:val="00081B56"/>
    <w:rsid w:val="00081E02"/>
    <w:rsid w:val="00081EC2"/>
    <w:rsid w:val="00082154"/>
    <w:rsid w:val="00082431"/>
    <w:rsid w:val="0008277C"/>
    <w:rsid w:val="00082A1C"/>
    <w:rsid w:val="00082A8C"/>
    <w:rsid w:val="00082AF8"/>
    <w:rsid w:val="00082C06"/>
    <w:rsid w:val="00083272"/>
    <w:rsid w:val="00083546"/>
    <w:rsid w:val="000837D1"/>
    <w:rsid w:val="00083800"/>
    <w:rsid w:val="00083D11"/>
    <w:rsid w:val="000841EC"/>
    <w:rsid w:val="0008494B"/>
    <w:rsid w:val="00084A65"/>
    <w:rsid w:val="00084E8B"/>
    <w:rsid w:val="0008559A"/>
    <w:rsid w:val="00085B16"/>
    <w:rsid w:val="00085E78"/>
    <w:rsid w:val="0008600D"/>
    <w:rsid w:val="00086334"/>
    <w:rsid w:val="00086C5A"/>
    <w:rsid w:val="00087320"/>
    <w:rsid w:val="000875C9"/>
    <w:rsid w:val="000877E1"/>
    <w:rsid w:val="00087888"/>
    <w:rsid w:val="00087D0A"/>
    <w:rsid w:val="000902C2"/>
    <w:rsid w:val="00090309"/>
    <w:rsid w:val="00090479"/>
    <w:rsid w:val="00090D04"/>
    <w:rsid w:val="0009123A"/>
    <w:rsid w:val="000915B0"/>
    <w:rsid w:val="000917D2"/>
    <w:rsid w:val="00091A92"/>
    <w:rsid w:val="00091AEB"/>
    <w:rsid w:val="00091BB5"/>
    <w:rsid w:val="000929B1"/>
    <w:rsid w:val="00092A0E"/>
    <w:rsid w:val="0009322C"/>
    <w:rsid w:val="00093244"/>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CAE"/>
    <w:rsid w:val="000A305C"/>
    <w:rsid w:val="000A3100"/>
    <w:rsid w:val="000A3287"/>
    <w:rsid w:val="000A3A6B"/>
    <w:rsid w:val="000A3C1E"/>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13E1"/>
    <w:rsid w:val="000B14B0"/>
    <w:rsid w:val="000B16DB"/>
    <w:rsid w:val="000B16F9"/>
    <w:rsid w:val="000B1C4A"/>
    <w:rsid w:val="000B1C5E"/>
    <w:rsid w:val="000B1DF8"/>
    <w:rsid w:val="000B2250"/>
    <w:rsid w:val="000B2282"/>
    <w:rsid w:val="000B2445"/>
    <w:rsid w:val="000B266E"/>
    <w:rsid w:val="000B27E9"/>
    <w:rsid w:val="000B29A7"/>
    <w:rsid w:val="000B2A11"/>
    <w:rsid w:val="000B2A5B"/>
    <w:rsid w:val="000B2C6A"/>
    <w:rsid w:val="000B2C6F"/>
    <w:rsid w:val="000B3157"/>
    <w:rsid w:val="000B3169"/>
    <w:rsid w:val="000B3388"/>
    <w:rsid w:val="000B3456"/>
    <w:rsid w:val="000B3A5E"/>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C7"/>
    <w:rsid w:val="000B7946"/>
    <w:rsid w:val="000C01DB"/>
    <w:rsid w:val="000C0C07"/>
    <w:rsid w:val="000C0DB7"/>
    <w:rsid w:val="000C1113"/>
    <w:rsid w:val="000C147D"/>
    <w:rsid w:val="000C16AF"/>
    <w:rsid w:val="000C1D59"/>
    <w:rsid w:val="000C22F8"/>
    <w:rsid w:val="000C2960"/>
    <w:rsid w:val="000C2B09"/>
    <w:rsid w:val="000C2B46"/>
    <w:rsid w:val="000C2D42"/>
    <w:rsid w:val="000C30CF"/>
    <w:rsid w:val="000C37CD"/>
    <w:rsid w:val="000C38B0"/>
    <w:rsid w:val="000C39EC"/>
    <w:rsid w:val="000C3C28"/>
    <w:rsid w:val="000C3FF4"/>
    <w:rsid w:val="000C41F0"/>
    <w:rsid w:val="000C42D0"/>
    <w:rsid w:val="000C4882"/>
    <w:rsid w:val="000C4941"/>
    <w:rsid w:val="000C501D"/>
    <w:rsid w:val="000C5146"/>
    <w:rsid w:val="000C5771"/>
    <w:rsid w:val="000C5936"/>
    <w:rsid w:val="000C5B5B"/>
    <w:rsid w:val="000C5CBA"/>
    <w:rsid w:val="000C5FE5"/>
    <w:rsid w:val="000C62A1"/>
    <w:rsid w:val="000C6369"/>
    <w:rsid w:val="000C672F"/>
    <w:rsid w:val="000C69EB"/>
    <w:rsid w:val="000C6CE0"/>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286"/>
    <w:rsid w:val="000D32A2"/>
    <w:rsid w:val="000D3436"/>
    <w:rsid w:val="000D344D"/>
    <w:rsid w:val="000D395C"/>
    <w:rsid w:val="000D3B01"/>
    <w:rsid w:val="000D40E7"/>
    <w:rsid w:val="000D416B"/>
    <w:rsid w:val="000D499F"/>
    <w:rsid w:val="000D577E"/>
    <w:rsid w:val="000D584F"/>
    <w:rsid w:val="000D5B38"/>
    <w:rsid w:val="000D6031"/>
    <w:rsid w:val="000D6257"/>
    <w:rsid w:val="000D64F0"/>
    <w:rsid w:val="000D6ABF"/>
    <w:rsid w:val="000D6E57"/>
    <w:rsid w:val="000D6ECB"/>
    <w:rsid w:val="000D719B"/>
    <w:rsid w:val="000D7339"/>
    <w:rsid w:val="000D7690"/>
    <w:rsid w:val="000D76BC"/>
    <w:rsid w:val="000D7750"/>
    <w:rsid w:val="000D79DF"/>
    <w:rsid w:val="000E0281"/>
    <w:rsid w:val="000E036A"/>
    <w:rsid w:val="000E0411"/>
    <w:rsid w:val="000E071E"/>
    <w:rsid w:val="000E0B24"/>
    <w:rsid w:val="000E0DEE"/>
    <w:rsid w:val="000E1034"/>
    <w:rsid w:val="000E1437"/>
    <w:rsid w:val="000E15A7"/>
    <w:rsid w:val="000E181D"/>
    <w:rsid w:val="000E1929"/>
    <w:rsid w:val="000E1995"/>
    <w:rsid w:val="000E1DAA"/>
    <w:rsid w:val="000E1E2C"/>
    <w:rsid w:val="000E24DB"/>
    <w:rsid w:val="000E27AA"/>
    <w:rsid w:val="000E29E8"/>
    <w:rsid w:val="000E337A"/>
    <w:rsid w:val="000E34FD"/>
    <w:rsid w:val="000E3D1D"/>
    <w:rsid w:val="000E3E06"/>
    <w:rsid w:val="000E4069"/>
    <w:rsid w:val="000E4350"/>
    <w:rsid w:val="000E4376"/>
    <w:rsid w:val="000E4408"/>
    <w:rsid w:val="000E4665"/>
    <w:rsid w:val="000E4C54"/>
    <w:rsid w:val="000E53AB"/>
    <w:rsid w:val="000E55FE"/>
    <w:rsid w:val="000E5716"/>
    <w:rsid w:val="000E5CD4"/>
    <w:rsid w:val="000E5E77"/>
    <w:rsid w:val="000E6337"/>
    <w:rsid w:val="000E638F"/>
    <w:rsid w:val="000E639A"/>
    <w:rsid w:val="000E65B6"/>
    <w:rsid w:val="000E67AE"/>
    <w:rsid w:val="000E6A76"/>
    <w:rsid w:val="000E6B0F"/>
    <w:rsid w:val="000E6C55"/>
    <w:rsid w:val="000E703E"/>
    <w:rsid w:val="000E76FE"/>
    <w:rsid w:val="000E7A79"/>
    <w:rsid w:val="000E7E62"/>
    <w:rsid w:val="000F0322"/>
    <w:rsid w:val="000F0CBC"/>
    <w:rsid w:val="000F1112"/>
    <w:rsid w:val="000F1487"/>
    <w:rsid w:val="000F14CC"/>
    <w:rsid w:val="000F15B2"/>
    <w:rsid w:val="000F1902"/>
    <w:rsid w:val="000F19DE"/>
    <w:rsid w:val="000F1BCC"/>
    <w:rsid w:val="000F1DA7"/>
    <w:rsid w:val="000F1FD2"/>
    <w:rsid w:val="000F22DE"/>
    <w:rsid w:val="000F293D"/>
    <w:rsid w:val="000F2A85"/>
    <w:rsid w:val="000F2E1F"/>
    <w:rsid w:val="000F323B"/>
    <w:rsid w:val="000F37B0"/>
    <w:rsid w:val="000F3B89"/>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6E"/>
    <w:rsid w:val="0010090E"/>
    <w:rsid w:val="001011C1"/>
    <w:rsid w:val="00101397"/>
    <w:rsid w:val="00101405"/>
    <w:rsid w:val="0010170B"/>
    <w:rsid w:val="00101744"/>
    <w:rsid w:val="00101786"/>
    <w:rsid w:val="00101C4F"/>
    <w:rsid w:val="001021E5"/>
    <w:rsid w:val="001029EE"/>
    <w:rsid w:val="00102C9F"/>
    <w:rsid w:val="00102E24"/>
    <w:rsid w:val="00102E73"/>
    <w:rsid w:val="00102F96"/>
    <w:rsid w:val="00103131"/>
    <w:rsid w:val="00103283"/>
    <w:rsid w:val="00103557"/>
    <w:rsid w:val="00103586"/>
    <w:rsid w:val="001036D3"/>
    <w:rsid w:val="0010372A"/>
    <w:rsid w:val="00103B75"/>
    <w:rsid w:val="00103FC9"/>
    <w:rsid w:val="0010425E"/>
    <w:rsid w:val="00104BCE"/>
    <w:rsid w:val="0010504B"/>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F25"/>
    <w:rsid w:val="00107404"/>
    <w:rsid w:val="00107734"/>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21"/>
    <w:rsid w:val="00113EC8"/>
    <w:rsid w:val="0011401E"/>
    <w:rsid w:val="00114024"/>
    <w:rsid w:val="00114AC2"/>
    <w:rsid w:val="00114E96"/>
    <w:rsid w:val="00114FA0"/>
    <w:rsid w:val="001152C7"/>
    <w:rsid w:val="00115A2D"/>
    <w:rsid w:val="00115AAF"/>
    <w:rsid w:val="00115C88"/>
    <w:rsid w:val="0011644A"/>
    <w:rsid w:val="00117332"/>
    <w:rsid w:val="00117578"/>
    <w:rsid w:val="001176DC"/>
    <w:rsid w:val="0011784B"/>
    <w:rsid w:val="00117B9E"/>
    <w:rsid w:val="00117D31"/>
    <w:rsid w:val="0012007E"/>
    <w:rsid w:val="00120284"/>
    <w:rsid w:val="001204DD"/>
    <w:rsid w:val="0012062C"/>
    <w:rsid w:val="001206DA"/>
    <w:rsid w:val="001208E0"/>
    <w:rsid w:val="0012101F"/>
    <w:rsid w:val="0012109B"/>
    <w:rsid w:val="0012142E"/>
    <w:rsid w:val="001214C9"/>
    <w:rsid w:val="00121DDB"/>
    <w:rsid w:val="00122187"/>
    <w:rsid w:val="0012274E"/>
    <w:rsid w:val="00122826"/>
    <w:rsid w:val="00122839"/>
    <w:rsid w:val="00123169"/>
    <w:rsid w:val="001235B8"/>
    <w:rsid w:val="001235FB"/>
    <w:rsid w:val="001237AC"/>
    <w:rsid w:val="00123915"/>
    <w:rsid w:val="00123B95"/>
    <w:rsid w:val="00123C61"/>
    <w:rsid w:val="00123EF1"/>
    <w:rsid w:val="00124536"/>
    <w:rsid w:val="001245B7"/>
    <w:rsid w:val="0012476C"/>
    <w:rsid w:val="001249EA"/>
    <w:rsid w:val="00124E12"/>
    <w:rsid w:val="00124E75"/>
    <w:rsid w:val="00125055"/>
    <w:rsid w:val="001255F9"/>
    <w:rsid w:val="00125C52"/>
    <w:rsid w:val="00125C7D"/>
    <w:rsid w:val="00126139"/>
    <w:rsid w:val="001262ED"/>
    <w:rsid w:val="0012673D"/>
    <w:rsid w:val="001269B8"/>
    <w:rsid w:val="00126C77"/>
    <w:rsid w:val="00126C7A"/>
    <w:rsid w:val="00126E7C"/>
    <w:rsid w:val="00127062"/>
    <w:rsid w:val="00127099"/>
    <w:rsid w:val="0012709D"/>
    <w:rsid w:val="001273E7"/>
    <w:rsid w:val="001277A9"/>
    <w:rsid w:val="001304A8"/>
    <w:rsid w:val="001307E9"/>
    <w:rsid w:val="00130DBC"/>
    <w:rsid w:val="0013112E"/>
    <w:rsid w:val="00131F52"/>
    <w:rsid w:val="00131FC0"/>
    <w:rsid w:val="0013249B"/>
    <w:rsid w:val="0013253E"/>
    <w:rsid w:val="001326F5"/>
    <w:rsid w:val="00132830"/>
    <w:rsid w:val="00132923"/>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71B2"/>
    <w:rsid w:val="00137256"/>
    <w:rsid w:val="00137533"/>
    <w:rsid w:val="001378B9"/>
    <w:rsid w:val="00137AB9"/>
    <w:rsid w:val="00137D78"/>
    <w:rsid w:val="001400F3"/>
    <w:rsid w:val="0014060C"/>
    <w:rsid w:val="001406E1"/>
    <w:rsid w:val="001407F1"/>
    <w:rsid w:val="001409A0"/>
    <w:rsid w:val="00140B18"/>
    <w:rsid w:val="0014104E"/>
    <w:rsid w:val="0014143E"/>
    <w:rsid w:val="001416CC"/>
    <w:rsid w:val="00141B19"/>
    <w:rsid w:val="00141C8C"/>
    <w:rsid w:val="00141E40"/>
    <w:rsid w:val="00141F08"/>
    <w:rsid w:val="00141FF2"/>
    <w:rsid w:val="0014220C"/>
    <w:rsid w:val="0014265B"/>
    <w:rsid w:val="00142673"/>
    <w:rsid w:val="0014287A"/>
    <w:rsid w:val="00142C60"/>
    <w:rsid w:val="00142DE2"/>
    <w:rsid w:val="00143065"/>
    <w:rsid w:val="001430BE"/>
    <w:rsid w:val="001432E3"/>
    <w:rsid w:val="001436FA"/>
    <w:rsid w:val="00143A30"/>
    <w:rsid w:val="001443C1"/>
    <w:rsid w:val="0014472C"/>
    <w:rsid w:val="00144C87"/>
    <w:rsid w:val="00144CC0"/>
    <w:rsid w:val="00145264"/>
    <w:rsid w:val="00145879"/>
    <w:rsid w:val="00145EED"/>
    <w:rsid w:val="0014619A"/>
    <w:rsid w:val="001467B1"/>
    <w:rsid w:val="00146D28"/>
    <w:rsid w:val="001470BF"/>
    <w:rsid w:val="001472DB"/>
    <w:rsid w:val="001476BC"/>
    <w:rsid w:val="001479AE"/>
    <w:rsid w:val="00147FCC"/>
    <w:rsid w:val="00148957"/>
    <w:rsid w:val="00150005"/>
    <w:rsid w:val="00150107"/>
    <w:rsid w:val="00150175"/>
    <w:rsid w:val="001502C8"/>
    <w:rsid w:val="001504CE"/>
    <w:rsid w:val="00150A4C"/>
    <w:rsid w:val="00150C10"/>
    <w:rsid w:val="00151011"/>
    <w:rsid w:val="00151224"/>
    <w:rsid w:val="0015130F"/>
    <w:rsid w:val="0015139A"/>
    <w:rsid w:val="00151448"/>
    <w:rsid w:val="0015154C"/>
    <w:rsid w:val="00151946"/>
    <w:rsid w:val="00151E1D"/>
    <w:rsid w:val="00152976"/>
    <w:rsid w:val="00152B05"/>
    <w:rsid w:val="00152C7A"/>
    <w:rsid w:val="00152F8F"/>
    <w:rsid w:val="001530D9"/>
    <w:rsid w:val="001532BA"/>
    <w:rsid w:val="00153313"/>
    <w:rsid w:val="00153799"/>
    <w:rsid w:val="001537E9"/>
    <w:rsid w:val="00153F9A"/>
    <w:rsid w:val="00153FED"/>
    <w:rsid w:val="001545A8"/>
    <w:rsid w:val="0015465F"/>
    <w:rsid w:val="00154988"/>
    <w:rsid w:val="00154C99"/>
    <w:rsid w:val="0015583F"/>
    <w:rsid w:val="00155BFD"/>
    <w:rsid w:val="00156075"/>
    <w:rsid w:val="001560D8"/>
    <w:rsid w:val="001564E9"/>
    <w:rsid w:val="00156ABA"/>
    <w:rsid w:val="00156E65"/>
    <w:rsid w:val="0015720A"/>
    <w:rsid w:val="00157390"/>
    <w:rsid w:val="00157594"/>
    <w:rsid w:val="001577B3"/>
    <w:rsid w:val="00157BFB"/>
    <w:rsid w:val="00157C1C"/>
    <w:rsid w:val="00160232"/>
    <w:rsid w:val="0016072E"/>
    <w:rsid w:val="00160998"/>
    <w:rsid w:val="00160CD6"/>
    <w:rsid w:val="00160F5F"/>
    <w:rsid w:val="001615FB"/>
    <w:rsid w:val="0016175D"/>
    <w:rsid w:val="00162308"/>
    <w:rsid w:val="00162426"/>
    <w:rsid w:val="0016268F"/>
    <w:rsid w:val="001628B5"/>
    <w:rsid w:val="0016316A"/>
    <w:rsid w:val="00163363"/>
    <w:rsid w:val="00163539"/>
    <w:rsid w:val="0016370D"/>
    <w:rsid w:val="0016381F"/>
    <w:rsid w:val="00163C7F"/>
    <w:rsid w:val="00163D1D"/>
    <w:rsid w:val="00163E9B"/>
    <w:rsid w:val="00163FEF"/>
    <w:rsid w:val="00164171"/>
    <w:rsid w:val="00164BB5"/>
    <w:rsid w:val="00164E58"/>
    <w:rsid w:val="00165033"/>
    <w:rsid w:val="00165078"/>
    <w:rsid w:val="0016522C"/>
    <w:rsid w:val="00165926"/>
    <w:rsid w:val="00165B02"/>
    <w:rsid w:val="00165CDF"/>
    <w:rsid w:val="00166124"/>
    <w:rsid w:val="001663C8"/>
    <w:rsid w:val="001665EB"/>
    <w:rsid w:val="0016692E"/>
    <w:rsid w:val="00166A35"/>
    <w:rsid w:val="001670EA"/>
    <w:rsid w:val="001674A0"/>
    <w:rsid w:val="00167676"/>
    <w:rsid w:val="0016797C"/>
    <w:rsid w:val="00167F58"/>
    <w:rsid w:val="00170017"/>
    <w:rsid w:val="0017055C"/>
    <w:rsid w:val="0017059D"/>
    <w:rsid w:val="00170A50"/>
    <w:rsid w:val="001711CA"/>
    <w:rsid w:val="001712F5"/>
    <w:rsid w:val="0017144B"/>
    <w:rsid w:val="001716CB"/>
    <w:rsid w:val="00171919"/>
    <w:rsid w:val="00171A93"/>
    <w:rsid w:val="00171C9D"/>
    <w:rsid w:val="001724DA"/>
    <w:rsid w:val="00172F5D"/>
    <w:rsid w:val="0017345C"/>
    <w:rsid w:val="00173BD8"/>
    <w:rsid w:val="00173DA8"/>
    <w:rsid w:val="001749EC"/>
    <w:rsid w:val="00174B0A"/>
    <w:rsid w:val="00174E7D"/>
    <w:rsid w:val="00174FFD"/>
    <w:rsid w:val="00175246"/>
    <w:rsid w:val="00175440"/>
    <w:rsid w:val="001759CA"/>
    <w:rsid w:val="00175DAA"/>
    <w:rsid w:val="001765E8"/>
    <w:rsid w:val="00176E26"/>
    <w:rsid w:val="00176F0F"/>
    <w:rsid w:val="00176FCA"/>
    <w:rsid w:val="00177083"/>
    <w:rsid w:val="0017726A"/>
    <w:rsid w:val="00177AB9"/>
    <w:rsid w:val="00177DD3"/>
    <w:rsid w:val="00177F05"/>
    <w:rsid w:val="00180278"/>
    <w:rsid w:val="00180561"/>
    <w:rsid w:val="001807F2"/>
    <w:rsid w:val="00180A3C"/>
    <w:rsid w:val="00180CCB"/>
    <w:rsid w:val="00181689"/>
    <w:rsid w:val="0018182D"/>
    <w:rsid w:val="001818A7"/>
    <w:rsid w:val="0018199F"/>
    <w:rsid w:val="00181BA0"/>
    <w:rsid w:val="00181EFB"/>
    <w:rsid w:val="00182589"/>
    <w:rsid w:val="00182725"/>
    <w:rsid w:val="001829C8"/>
    <w:rsid w:val="00182D1E"/>
    <w:rsid w:val="00183079"/>
    <w:rsid w:val="001830FC"/>
    <w:rsid w:val="00184895"/>
    <w:rsid w:val="00184FB1"/>
    <w:rsid w:val="00184FBC"/>
    <w:rsid w:val="001850CD"/>
    <w:rsid w:val="00185111"/>
    <w:rsid w:val="0018581D"/>
    <w:rsid w:val="001858B2"/>
    <w:rsid w:val="00185D88"/>
    <w:rsid w:val="00186076"/>
    <w:rsid w:val="00186224"/>
    <w:rsid w:val="00186538"/>
    <w:rsid w:val="00186904"/>
    <w:rsid w:val="00186B0A"/>
    <w:rsid w:val="0018748E"/>
    <w:rsid w:val="0018748F"/>
    <w:rsid w:val="0018773A"/>
    <w:rsid w:val="00187AB3"/>
    <w:rsid w:val="00187C67"/>
    <w:rsid w:val="001905BD"/>
    <w:rsid w:val="001905E2"/>
    <w:rsid w:val="00190629"/>
    <w:rsid w:val="0019073E"/>
    <w:rsid w:val="00190B1C"/>
    <w:rsid w:val="00191131"/>
    <w:rsid w:val="001917BC"/>
    <w:rsid w:val="0019181B"/>
    <w:rsid w:val="00191E79"/>
    <w:rsid w:val="0019235B"/>
    <w:rsid w:val="00192FE6"/>
    <w:rsid w:val="00193057"/>
    <w:rsid w:val="0019360B"/>
    <w:rsid w:val="00193986"/>
    <w:rsid w:val="00193B08"/>
    <w:rsid w:val="00194012"/>
    <w:rsid w:val="001941D5"/>
    <w:rsid w:val="00194570"/>
    <w:rsid w:val="001946A0"/>
    <w:rsid w:val="00194BAD"/>
    <w:rsid w:val="00194CFB"/>
    <w:rsid w:val="00194DF6"/>
    <w:rsid w:val="00194F67"/>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A0254"/>
    <w:rsid w:val="001A02F6"/>
    <w:rsid w:val="001A050E"/>
    <w:rsid w:val="001A076E"/>
    <w:rsid w:val="001A07D1"/>
    <w:rsid w:val="001A0869"/>
    <w:rsid w:val="001A0A66"/>
    <w:rsid w:val="001A11B5"/>
    <w:rsid w:val="001A15C6"/>
    <w:rsid w:val="001A16FA"/>
    <w:rsid w:val="001A194F"/>
    <w:rsid w:val="001A1A08"/>
    <w:rsid w:val="001A1B4E"/>
    <w:rsid w:val="001A2E46"/>
    <w:rsid w:val="001A2E5C"/>
    <w:rsid w:val="001A31B6"/>
    <w:rsid w:val="001A3416"/>
    <w:rsid w:val="001A36E5"/>
    <w:rsid w:val="001A3A3B"/>
    <w:rsid w:val="001A3D27"/>
    <w:rsid w:val="001A4216"/>
    <w:rsid w:val="001A4471"/>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5A5"/>
    <w:rsid w:val="001B065B"/>
    <w:rsid w:val="001B0832"/>
    <w:rsid w:val="001B0875"/>
    <w:rsid w:val="001B0C98"/>
    <w:rsid w:val="001B0CB0"/>
    <w:rsid w:val="001B1321"/>
    <w:rsid w:val="001B164A"/>
    <w:rsid w:val="001B16C1"/>
    <w:rsid w:val="001B187E"/>
    <w:rsid w:val="001B18A7"/>
    <w:rsid w:val="001B1DB4"/>
    <w:rsid w:val="001B1FB4"/>
    <w:rsid w:val="001B2182"/>
    <w:rsid w:val="001B2762"/>
    <w:rsid w:val="001B2CB8"/>
    <w:rsid w:val="001B335A"/>
    <w:rsid w:val="001B3416"/>
    <w:rsid w:val="001B341B"/>
    <w:rsid w:val="001B347D"/>
    <w:rsid w:val="001B36DA"/>
    <w:rsid w:val="001B36FC"/>
    <w:rsid w:val="001B3AC6"/>
    <w:rsid w:val="001B3CB5"/>
    <w:rsid w:val="001B40C5"/>
    <w:rsid w:val="001B4133"/>
    <w:rsid w:val="001B41ED"/>
    <w:rsid w:val="001B43EB"/>
    <w:rsid w:val="001B4607"/>
    <w:rsid w:val="001B489C"/>
    <w:rsid w:val="001B493D"/>
    <w:rsid w:val="001B4E18"/>
    <w:rsid w:val="001B523B"/>
    <w:rsid w:val="001B59AE"/>
    <w:rsid w:val="001B6417"/>
    <w:rsid w:val="001B6558"/>
    <w:rsid w:val="001B67C6"/>
    <w:rsid w:val="001B6914"/>
    <w:rsid w:val="001B6A19"/>
    <w:rsid w:val="001B6AA1"/>
    <w:rsid w:val="001B6B29"/>
    <w:rsid w:val="001B70D6"/>
    <w:rsid w:val="001B7196"/>
    <w:rsid w:val="001B71C9"/>
    <w:rsid w:val="001B776A"/>
    <w:rsid w:val="001B7E0C"/>
    <w:rsid w:val="001C00D0"/>
    <w:rsid w:val="001C01C8"/>
    <w:rsid w:val="001C053A"/>
    <w:rsid w:val="001C05DB"/>
    <w:rsid w:val="001C0674"/>
    <w:rsid w:val="001C08A2"/>
    <w:rsid w:val="001C0A5C"/>
    <w:rsid w:val="001C0A7F"/>
    <w:rsid w:val="001C1405"/>
    <w:rsid w:val="001C1775"/>
    <w:rsid w:val="001C1B93"/>
    <w:rsid w:val="001C1ED7"/>
    <w:rsid w:val="001C226F"/>
    <w:rsid w:val="001C27CC"/>
    <w:rsid w:val="001C29B4"/>
    <w:rsid w:val="001C2EC7"/>
    <w:rsid w:val="001C300C"/>
    <w:rsid w:val="001C3012"/>
    <w:rsid w:val="001C3271"/>
    <w:rsid w:val="001C34A8"/>
    <w:rsid w:val="001C398F"/>
    <w:rsid w:val="001C406C"/>
    <w:rsid w:val="001C4306"/>
    <w:rsid w:val="001C4510"/>
    <w:rsid w:val="001C4612"/>
    <w:rsid w:val="001C4681"/>
    <w:rsid w:val="001C47D1"/>
    <w:rsid w:val="001C4A5F"/>
    <w:rsid w:val="001C4BEA"/>
    <w:rsid w:val="001C4C7E"/>
    <w:rsid w:val="001C51A8"/>
    <w:rsid w:val="001C5296"/>
    <w:rsid w:val="001C557B"/>
    <w:rsid w:val="001C585C"/>
    <w:rsid w:val="001C5C66"/>
    <w:rsid w:val="001C5FC3"/>
    <w:rsid w:val="001C6195"/>
    <w:rsid w:val="001C66AC"/>
    <w:rsid w:val="001C6754"/>
    <w:rsid w:val="001C70D3"/>
    <w:rsid w:val="001C75FF"/>
    <w:rsid w:val="001C7672"/>
    <w:rsid w:val="001C77F0"/>
    <w:rsid w:val="001C7B5C"/>
    <w:rsid w:val="001D028E"/>
    <w:rsid w:val="001D02C7"/>
    <w:rsid w:val="001D034F"/>
    <w:rsid w:val="001D07E2"/>
    <w:rsid w:val="001D0AF5"/>
    <w:rsid w:val="001D1FCA"/>
    <w:rsid w:val="001D213B"/>
    <w:rsid w:val="001D28F7"/>
    <w:rsid w:val="001D2C15"/>
    <w:rsid w:val="001D30C9"/>
    <w:rsid w:val="001D30EE"/>
    <w:rsid w:val="001D3159"/>
    <w:rsid w:val="001D32DE"/>
    <w:rsid w:val="001D3356"/>
    <w:rsid w:val="001D3551"/>
    <w:rsid w:val="001D3862"/>
    <w:rsid w:val="001D4438"/>
    <w:rsid w:val="001D445B"/>
    <w:rsid w:val="001D46A0"/>
    <w:rsid w:val="001D4E26"/>
    <w:rsid w:val="001D50C2"/>
    <w:rsid w:val="001D5677"/>
    <w:rsid w:val="001D5B99"/>
    <w:rsid w:val="001D5D37"/>
    <w:rsid w:val="001D5D6F"/>
    <w:rsid w:val="001D5F02"/>
    <w:rsid w:val="001D6043"/>
    <w:rsid w:val="001D6062"/>
    <w:rsid w:val="001D6312"/>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D47"/>
    <w:rsid w:val="001E4D4F"/>
    <w:rsid w:val="001E4DA4"/>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E78"/>
    <w:rsid w:val="001F201D"/>
    <w:rsid w:val="001F219B"/>
    <w:rsid w:val="001F21BC"/>
    <w:rsid w:val="001F22D5"/>
    <w:rsid w:val="001F23BD"/>
    <w:rsid w:val="001F2569"/>
    <w:rsid w:val="001F28C6"/>
    <w:rsid w:val="001F2DBD"/>
    <w:rsid w:val="001F2F2E"/>
    <w:rsid w:val="001F34DA"/>
    <w:rsid w:val="001F39A1"/>
    <w:rsid w:val="001F39A5"/>
    <w:rsid w:val="001F3F3A"/>
    <w:rsid w:val="001F4034"/>
    <w:rsid w:val="001F44EB"/>
    <w:rsid w:val="001F4771"/>
    <w:rsid w:val="001F4A31"/>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7299"/>
    <w:rsid w:val="001F72BE"/>
    <w:rsid w:val="001F738D"/>
    <w:rsid w:val="001F7392"/>
    <w:rsid w:val="001F7599"/>
    <w:rsid w:val="0020006A"/>
    <w:rsid w:val="0020096C"/>
    <w:rsid w:val="00200A47"/>
    <w:rsid w:val="0020160A"/>
    <w:rsid w:val="00201669"/>
    <w:rsid w:val="00201D0B"/>
    <w:rsid w:val="00201D3C"/>
    <w:rsid w:val="00201F41"/>
    <w:rsid w:val="0020209A"/>
    <w:rsid w:val="002024D8"/>
    <w:rsid w:val="0020265E"/>
    <w:rsid w:val="0020293F"/>
    <w:rsid w:val="002029F4"/>
    <w:rsid w:val="0020329A"/>
    <w:rsid w:val="0020341C"/>
    <w:rsid w:val="002035E2"/>
    <w:rsid w:val="0020370A"/>
    <w:rsid w:val="00203808"/>
    <w:rsid w:val="00203A90"/>
    <w:rsid w:val="00203AB1"/>
    <w:rsid w:val="002042D3"/>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91"/>
    <w:rsid w:val="00206903"/>
    <w:rsid w:val="00206955"/>
    <w:rsid w:val="00206A79"/>
    <w:rsid w:val="00206E10"/>
    <w:rsid w:val="00207351"/>
    <w:rsid w:val="0020769D"/>
    <w:rsid w:val="002077FC"/>
    <w:rsid w:val="00207A38"/>
    <w:rsid w:val="00207B10"/>
    <w:rsid w:val="00210309"/>
    <w:rsid w:val="00210B3F"/>
    <w:rsid w:val="002110AD"/>
    <w:rsid w:val="00211519"/>
    <w:rsid w:val="002117A7"/>
    <w:rsid w:val="00211926"/>
    <w:rsid w:val="00211F13"/>
    <w:rsid w:val="0021210E"/>
    <w:rsid w:val="0021224B"/>
    <w:rsid w:val="0021229D"/>
    <w:rsid w:val="002124D1"/>
    <w:rsid w:val="00212668"/>
    <w:rsid w:val="002126E8"/>
    <w:rsid w:val="00212950"/>
    <w:rsid w:val="00212FB8"/>
    <w:rsid w:val="0021362F"/>
    <w:rsid w:val="00213693"/>
    <w:rsid w:val="00213709"/>
    <w:rsid w:val="0021498D"/>
    <w:rsid w:val="002149AF"/>
    <w:rsid w:val="00214A86"/>
    <w:rsid w:val="00215491"/>
    <w:rsid w:val="0021555A"/>
    <w:rsid w:val="002158A1"/>
    <w:rsid w:val="002158D1"/>
    <w:rsid w:val="00215AAA"/>
    <w:rsid w:val="00216319"/>
    <w:rsid w:val="00216810"/>
    <w:rsid w:val="0021683C"/>
    <w:rsid w:val="00216F5F"/>
    <w:rsid w:val="00217726"/>
    <w:rsid w:val="00220363"/>
    <w:rsid w:val="00220433"/>
    <w:rsid w:val="0022057F"/>
    <w:rsid w:val="00220615"/>
    <w:rsid w:val="0022109C"/>
    <w:rsid w:val="002213CF"/>
    <w:rsid w:val="00221985"/>
    <w:rsid w:val="00221E0D"/>
    <w:rsid w:val="00221EC5"/>
    <w:rsid w:val="002221CF"/>
    <w:rsid w:val="00222556"/>
    <w:rsid w:val="002229B1"/>
    <w:rsid w:val="00222A7A"/>
    <w:rsid w:val="00222BC3"/>
    <w:rsid w:val="00223128"/>
    <w:rsid w:val="002236B0"/>
    <w:rsid w:val="00224056"/>
    <w:rsid w:val="00224700"/>
    <w:rsid w:val="00224A2C"/>
    <w:rsid w:val="00224E5B"/>
    <w:rsid w:val="00224E66"/>
    <w:rsid w:val="00225139"/>
    <w:rsid w:val="00225217"/>
    <w:rsid w:val="002256D9"/>
    <w:rsid w:val="00225B8E"/>
    <w:rsid w:val="00225E1C"/>
    <w:rsid w:val="00225E91"/>
    <w:rsid w:val="002260E8"/>
    <w:rsid w:val="00226577"/>
    <w:rsid w:val="0022687C"/>
    <w:rsid w:val="00226AED"/>
    <w:rsid w:val="00226C4B"/>
    <w:rsid w:val="002270DD"/>
    <w:rsid w:val="00227552"/>
    <w:rsid w:val="002305F9"/>
    <w:rsid w:val="002306F8"/>
    <w:rsid w:val="002309EE"/>
    <w:rsid w:val="002309FE"/>
    <w:rsid w:val="00230C7D"/>
    <w:rsid w:val="00230CBC"/>
    <w:rsid w:val="00231083"/>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403"/>
    <w:rsid w:val="00233440"/>
    <w:rsid w:val="002336D9"/>
    <w:rsid w:val="002339E0"/>
    <w:rsid w:val="00233D0E"/>
    <w:rsid w:val="00233FBB"/>
    <w:rsid w:val="0023432C"/>
    <w:rsid w:val="00234AA7"/>
    <w:rsid w:val="00234E13"/>
    <w:rsid w:val="00234F3E"/>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B37"/>
    <w:rsid w:val="00241311"/>
    <w:rsid w:val="002418E8"/>
    <w:rsid w:val="002419E2"/>
    <w:rsid w:val="00241DC0"/>
    <w:rsid w:val="00242204"/>
    <w:rsid w:val="002423CF"/>
    <w:rsid w:val="002425FA"/>
    <w:rsid w:val="00242BD5"/>
    <w:rsid w:val="00242E22"/>
    <w:rsid w:val="0024336B"/>
    <w:rsid w:val="0024396E"/>
    <w:rsid w:val="00243A8F"/>
    <w:rsid w:val="00244194"/>
    <w:rsid w:val="0024424F"/>
    <w:rsid w:val="00244527"/>
    <w:rsid w:val="00244625"/>
    <w:rsid w:val="00244D28"/>
    <w:rsid w:val="00245486"/>
    <w:rsid w:val="00245689"/>
    <w:rsid w:val="00245720"/>
    <w:rsid w:val="0024587C"/>
    <w:rsid w:val="00245A6F"/>
    <w:rsid w:val="00245B33"/>
    <w:rsid w:val="00245FD5"/>
    <w:rsid w:val="00246503"/>
    <w:rsid w:val="00246894"/>
    <w:rsid w:val="00246BC3"/>
    <w:rsid w:val="00247011"/>
    <w:rsid w:val="0024762B"/>
    <w:rsid w:val="0024775D"/>
    <w:rsid w:val="002477DF"/>
    <w:rsid w:val="00247B7B"/>
    <w:rsid w:val="0024CF96"/>
    <w:rsid w:val="00250755"/>
    <w:rsid w:val="0025106A"/>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E01"/>
    <w:rsid w:val="00253F45"/>
    <w:rsid w:val="002541FD"/>
    <w:rsid w:val="00254232"/>
    <w:rsid w:val="002543FA"/>
    <w:rsid w:val="00254567"/>
    <w:rsid w:val="002546FC"/>
    <w:rsid w:val="002551BD"/>
    <w:rsid w:val="00255269"/>
    <w:rsid w:val="00255C44"/>
    <w:rsid w:val="002560F2"/>
    <w:rsid w:val="00256281"/>
    <w:rsid w:val="002567FE"/>
    <w:rsid w:val="002568D0"/>
    <w:rsid w:val="002568E6"/>
    <w:rsid w:val="002569D0"/>
    <w:rsid w:val="00256E4D"/>
    <w:rsid w:val="00257F8F"/>
    <w:rsid w:val="002600AF"/>
    <w:rsid w:val="00260226"/>
    <w:rsid w:val="00260467"/>
    <w:rsid w:val="00260AEE"/>
    <w:rsid w:val="00260ED8"/>
    <w:rsid w:val="00260FDF"/>
    <w:rsid w:val="002611CF"/>
    <w:rsid w:val="0026196A"/>
    <w:rsid w:val="00261AB8"/>
    <w:rsid w:val="00261BE6"/>
    <w:rsid w:val="00261F78"/>
    <w:rsid w:val="002621A6"/>
    <w:rsid w:val="00262345"/>
    <w:rsid w:val="00262661"/>
    <w:rsid w:val="00262B93"/>
    <w:rsid w:val="00262D9D"/>
    <w:rsid w:val="002632DF"/>
    <w:rsid w:val="002632E8"/>
    <w:rsid w:val="0026351C"/>
    <w:rsid w:val="00263946"/>
    <w:rsid w:val="00263DF6"/>
    <w:rsid w:val="00263EB5"/>
    <w:rsid w:val="00263F9F"/>
    <w:rsid w:val="00263FB5"/>
    <w:rsid w:val="002640BA"/>
    <w:rsid w:val="0026449F"/>
    <w:rsid w:val="002646DB"/>
    <w:rsid w:val="00264BCA"/>
    <w:rsid w:val="00264CF2"/>
    <w:rsid w:val="00264E15"/>
    <w:rsid w:val="0026529F"/>
    <w:rsid w:val="0026532C"/>
    <w:rsid w:val="0026539E"/>
    <w:rsid w:val="002656D2"/>
    <w:rsid w:val="002659F9"/>
    <w:rsid w:val="00265AD5"/>
    <w:rsid w:val="00265D57"/>
    <w:rsid w:val="00266224"/>
    <w:rsid w:val="00266295"/>
    <w:rsid w:val="002667A8"/>
    <w:rsid w:val="0026695E"/>
    <w:rsid w:val="00266A6E"/>
    <w:rsid w:val="00266C3A"/>
    <w:rsid w:val="00267587"/>
    <w:rsid w:val="002675C8"/>
    <w:rsid w:val="0026763B"/>
    <w:rsid w:val="00267760"/>
    <w:rsid w:val="0027006E"/>
    <w:rsid w:val="00270304"/>
    <w:rsid w:val="00270460"/>
    <w:rsid w:val="002706B8"/>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55B"/>
    <w:rsid w:val="00274600"/>
    <w:rsid w:val="002749FD"/>
    <w:rsid w:val="00274AA9"/>
    <w:rsid w:val="00275074"/>
    <w:rsid w:val="00275136"/>
    <w:rsid w:val="0027576E"/>
    <w:rsid w:val="00275B59"/>
    <w:rsid w:val="00276304"/>
    <w:rsid w:val="002763E9"/>
    <w:rsid w:val="00276736"/>
    <w:rsid w:val="002768B7"/>
    <w:rsid w:val="00276F4E"/>
    <w:rsid w:val="002771DC"/>
    <w:rsid w:val="00277338"/>
    <w:rsid w:val="0027773D"/>
    <w:rsid w:val="002778BD"/>
    <w:rsid w:val="00277E9E"/>
    <w:rsid w:val="002802C6"/>
    <w:rsid w:val="00280461"/>
    <w:rsid w:val="00280491"/>
    <w:rsid w:val="00280869"/>
    <w:rsid w:val="00280BDE"/>
    <w:rsid w:val="00280E15"/>
    <w:rsid w:val="002815FA"/>
    <w:rsid w:val="0028173C"/>
    <w:rsid w:val="0028188B"/>
    <w:rsid w:val="00281A13"/>
    <w:rsid w:val="00281BC1"/>
    <w:rsid w:val="002824C2"/>
    <w:rsid w:val="00282A27"/>
    <w:rsid w:val="00282A72"/>
    <w:rsid w:val="00282D36"/>
    <w:rsid w:val="00284071"/>
    <w:rsid w:val="002844D6"/>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152"/>
    <w:rsid w:val="00291242"/>
    <w:rsid w:val="00291338"/>
    <w:rsid w:val="0029136E"/>
    <w:rsid w:val="00291955"/>
    <w:rsid w:val="00291D49"/>
    <w:rsid w:val="00291F36"/>
    <w:rsid w:val="00292399"/>
    <w:rsid w:val="00292483"/>
    <w:rsid w:val="002929D9"/>
    <w:rsid w:val="00292A22"/>
    <w:rsid w:val="00293419"/>
    <w:rsid w:val="0029370F"/>
    <w:rsid w:val="00293A41"/>
    <w:rsid w:val="00293B50"/>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926"/>
    <w:rsid w:val="002979BF"/>
    <w:rsid w:val="002A02C9"/>
    <w:rsid w:val="002A034A"/>
    <w:rsid w:val="002A04FF"/>
    <w:rsid w:val="002A05C2"/>
    <w:rsid w:val="002A1062"/>
    <w:rsid w:val="002A1A9A"/>
    <w:rsid w:val="002A1B96"/>
    <w:rsid w:val="002A1D5B"/>
    <w:rsid w:val="002A1FDA"/>
    <w:rsid w:val="002A2012"/>
    <w:rsid w:val="002A222F"/>
    <w:rsid w:val="002A2413"/>
    <w:rsid w:val="002A2522"/>
    <w:rsid w:val="002A2638"/>
    <w:rsid w:val="002A269A"/>
    <w:rsid w:val="002A2793"/>
    <w:rsid w:val="002A288D"/>
    <w:rsid w:val="002A2C26"/>
    <w:rsid w:val="002A2F5E"/>
    <w:rsid w:val="002A34C7"/>
    <w:rsid w:val="002A352A"/>
    <w:rsid w:val="002A37B7"/>
    <w:rsid w:val="002A37FE"/>
    <w:rsid w:val="002A393E"/>
    <w:rsid w:val="002A3BA0"/>
    <w:rsid w:val="002A4116"/>
    <w:rsid w:val="002A4546"/>
    <w:rsid w:val="002A48A7"/>
    <w:rsid w:val="002A4971"/>
    <w:rsid w:val="002A4D8C"/>
    <w:rsid w:val="002A5DA6"/>
    <w:rsid w:val="002A5E11"/>
    <w:rsid w:val="002A607D"/>
    <w:rsid w:val="002A6129"/>
    <w:rsid w:val="002A6511"/>
    <w:rsid w:val="002A6582"/>
    <w:rsid w:val="002A669F"/>
    <w:rsid w:val="002A6AC6"/>
    <w:rsid w:val="002A6C8D"/>
    <w:rsid w:val="002A6D07"/>
    <w:rsid w:val="002A7401"/>
    <w:rsid w:val="002A74D9"/>
    <w:rsid w:val="002A7FF8"/>
    <w:rsid w:val="002B0A10"/>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52E"/>
    <w:rsid w:val="002B3B31"/>
    <w:rsid w:val="002B3BAA"/>
    <w:rsid w:val="002B3BBD"/>
    <w:rsid w:val="002B3C5C"/>
    <w:rsid w:val="002B3F05"/>
    <w:rsid w:val="002B5005"/>
    <w:rsid w:val="002B5210"/>
    <w:rsid w:val="002B581C"/>
    <w:rsid w:val="002B598A"/>
    <w:rsid w:val="002B5AD0"/>
    <w:rsid w:val="002B6369"/>
    <w:rsid w:val="002B650B"/>
    <w:rsid w:val="002B661E"/>
    <w:rsid w:val="002B684E"/>
    <w:rsid w:val="002B68E1"/>
    <w:rsid w:val="002B6AAD"/>
    <w:rsid w:val="002B6D46"/>
    <w:rsid w:val="002B6E79"/>
    <w:rsid w:val="002B6E84"/>
    <w:rsid w:val="002B6F75"/>
    <w:rsid w:val="002B7063"/>
    <w:rsid w:val="002B7480"/>
    <w:rsid w:val="002B7B24"/>
    <w:rsid w:val="002B7F2D"/>
    <w:rsid w:val="002C00F1"/>
    <w:rsid w:val="002C0633"/>
    <w:rsid w:val="002C06F9"/>
    <w:rsid w:val="002C0C4B"/>
    <w:rsid w:val="002C0DB3"/>
    <w:rsid w:val="002C1161"/>
    <w:rsid w:val="002C1378"/>
    <w:rsid w:val="002C1500"/>
    <w:rsid w:val="002C17BB"/>
    <w:rsid w:val="002C1C01"/>
    <w:rsid w:val="002C1CD8"/>
    <w:rsid w:val="002C1EEA"/>
    <w:rsid w:val="002C200F"/>
    <w:rsid w:val="002C20F7"/>
    <w:rsid w:val="002C2A0F"/>
    <w:rsid w:val="002C2B16"/>
    <w:rsid w:val="002C30EB"/>
    <w:rsid w:val="002C32CE"/>
    <w:rsid w:val="002C341F"/>
    <w:rsid w:val="002C36A7"/>
    <w:rsid w:val="002C3750"/>
    <w:rsid w:val="002C3759"/>
    <w:rsid w:val="002C4638"/>
    <w:rsid w:val="002C47AD"/>
    <w:rsid w:val="002C4804"/>
    <w:rsid w:val="002C4D7D"/>
    <w:rsid w:val="002C4DE7"/>
    <w:rsid w:val="002C5110"/>
    <w:rsid w:val="002C5208"/>
    <w:rsid w:val="002C5510"/>
    <w:rsid w:val="002C598F"/>
    <w:rsid w:val="002C5ADA"/>
    <w:rsid w:val="002C603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BC6"/>
    <w:rsid w:val="002D0F2F"/>
    <w:rsid w:val="002D0FAC"/>
    <w:rsid w:val="002D12DB"/>
    <w:rsid w:val="002D132F"/>
    <w:rsid w:val="002D1486"/>
    <w:rsid w:val="002D17C5"/>
    <w:rsid w:val="002D17CA"/>
    <w:rsid w:val="002D197B"/>
    <w:rsid w:val="002D1B22"/>
    <w:rsid w:val="002D1B9D"/>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80C"/>
    <w:rsid w:val="002D6892"/>
    <w:rsid w:val="002D68C2"/>
    <w:rsid w:val="002D6C24"/>
    <w:rsid w:val="002D6F23"/>
    <w:rsid w:val="002D7C86"/>
    <w:rsid w:val="002E0161"/>
    <w:rsid w:val="002E01EF"/>
    <w:rsid w:val="002E0540"/>
    <w:rsid w:val="002E0692"/>
    <w:rsid w:val="002E076F"/>
    <w:rsid w:val="002E0A7F"/>
    <w:rsid w:val="002E131F"/>
    <w:rsid w:val="002E143B"/>
    <w:rsid w:val="002E152D"/>
    <w:rsid w:val="002E1D74"/>
    <w:rsid w:val="002E1FD9"/>
    <w:rsid w:val="002E215A"/>
    <w:rsid w:val="002E23F0"/>
    <w:rsid w:val="002E2943"/>
    <w:rsid w:val="002E2BD1"/>
    <w:rsid w:val="002E2CF1"/>
    <w:rsid w:val="002E34AF"/>
    <w:rsid w:val="002E37E5"/>
    <w:rsid w:val="002E3FDD"/>
    <w:rsid w:val="002E407F"/>
    <w:rsid w:val="002E4AAC"/>
    <w:rsid w:val="002E50FB"/>
    <w:rsid w:val="002E5106"/>
    <w:rsid w:val="002E53DE"/>
    <w:rsid w:val="002E55EE"/>
    <w:rsid w:val="002E563B"/>
    <w:rsid w:val="002E5729"/>
    <w:rsid w:val="002E58B2"/>
    <w:rsid w:val="002E597F"/>
    <w:rsid w:val="002E5C37"/>
    <w:rsid w:val="002E5E1D"/>
    <w:rsid w:val="002E60FF"/>
    <w:rsid w:val="002E62D2"/>
    <w:rsid w:val="002E68F0"/>
    <w:rsid w:val="002E6AD9"/>
    <w:rsid w:val="002E6BC5"/>
    <w:rsid w:val="002E6F41"/>
    <w:rsid w:val="002E734F"/>
    <w:rsid w:val="002E73B3"/>
    <w:rsid w:val="002E74AF"/>
    <w:rsid w:val="002E758C"/>
    <w:rsid w:val="002E75FF"/>
    <w:rsid w:val="002E7B04"/>
    <w:rsid w:val="002E7DE9"/>
    <w:rsid w:val="002F020A"/>
    <w:rsid w:val="002F1038"/>
    <w:rsid w:val="002F1344"/>
    <w:rsid w:val="002F1713"/>
    <w:rsid w:val="002F19AC"/>
    <w:rsid w:val="002F1ABA"/>
    <w:rsid w:val="002F1B11"/>
    <w:rsid w:val="002F1BEC"/>
    <w:rsid w:val="002F1DE5"/>
    <w:rsid w:val="002F1F6D"/>
    <w:rsid w:val="002F205E"/>
    <w:rsid w:val="002F2201"/>
    <w:rsid w:val="002F2245"/>
    <w:rsid w:val="002F22FF"/>
    <w:rsid w:val="002F2587"/>
    <w:rsid w:val="002F2624"/>
    <w:rsid w:val="002F2D8F"/>
    <w:rsid w:val="002F2E80"/>
    <w:rsid w:val="002F3746"/>
    <w:rsid w:val="002F3B20"/>
    <w:rsid w:val="002F3D28"/>
    <w:rsid w:val="002F4011"/>
    <w:rsid w:val="002F4919"/>
    <w:rsid w:val="002F4FC3"/>
    <w:rsid w:val="002F53D3"/>
    <w:rsid w:val="002F5554"/>
    <w:rsid w:val="002F5635"/>
    <w:rsid w:val="002F599E"/>
    <w:rsid w:val="002F5BE4"/>
    <w:rsid w:val="002F5FA3"/>
    <w:rsid w:val="002F6314"/>
    <w:rsid w:val="002F6510"/>
    <w:rsid w:val="002F695B"/>
    <w:rsid w:val="002F6BB6"/>
    <w:rsid w:val="002F6CA8"/>
    <w:rsid w:val="002F6F33"/>
    <w:rsid w:val="002F6F5F"/>
    <w:rsid w:val="002F723C"/>
    <w:rsid w:val="002F72DA"/>
    <w:rsid w:val="002F76B1"/>
    <w:rsid w:val="002F7A46"/>
    <w:rsid w:val="002F7D66"/>
    <w:rsid w:val="002F7DBE"/>
    <w:rsid w:val="0030011F"/>
    <w:rsid w:val="0030090B"/>
    <w:rsid w:val="00300EEB"/>
    <w:rsid w:val="00300F48"/>
    <w:rsid w:val="00301135"/>
    <w:rsid w:val="0030130F"/>
    <w:rsid w:val="00301387"/>
    <w:rsid w:val="00301CAD"/>
    <w:rsid w:val="00301DC3"/>
    <w:rsid w:val="00301DF2"/>
    <w:rsid w:val="00302523"/>
    <w:rsid w:val="00302A20"/>
    <w:rsid w:val="00302A6B"/>
    <w:rsid w:val="00302AE8"/>
    <w:rsid w:val="00302BB1"/>
    <w:rsid w:val="00302C4F"/>
    <w:rsid w:val="003030F0"/>
    <w:rsid w:val="00303373"/>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2A3"/>
    <w:rsid w:val="00311B64"/>
    <w:rsid w:val="00311C08"/>
    <w:rsid w:val="003125E0"/>
    <w:rsid w:val="00312E60"/>
    <w:rsid w:val="00312ECE"/>
    <w:rsid w:val="003131D9"/>
    <w:rsid w:val="00313409"/>
    <w:rsid w:val="0031393C"/>
    <w:rsid w:val="00313C6B"/>
    <w:rsid w:val="00313CB0"/>
    <w:rsid w:val="00313EEC"/>
    <w:rsid w:val="00313F96"/>
    <w:rsid w:val="003148A2"/>
    <w:rsid w:val="00314A3B"/>
    <w:rsid w:val="00314B0A"/>
    <w:rsid w:val="00314DF4"/>
    <w:rsid w:val="00314E4D"/>
    <w:rsid w:val="003150CE"/>
    <w:rsid w:val="003154E1"/>
    <w:rsid w:val="003156BA"/>
    <w:rsid w:val="003158AA"/>
    <w:rsid w:val="00315AAB"/>
    <w:rsid w:val="00316416"/>
    <w:rsid w:val="00316526"/>
    <w:rsid w:val="0031708C"/>
    <w:rsid w:val="003175E1"/>
    <w:rsid w:val="0031789C"/>
    <w:rsid w:val="00317A63"/>
    <w:rsid w:val="00320299"/>
    <w:rsid w:val="00320A5F"/>
    <w:rsid w:val="00320A9D"/>
    <w:rsid w:val="00320E19"/>
    <w:rsid w:val="00321154"/>
    <w:rsid w:val="003211B0"/>
    <w:rsid w:val="00321225"/>
    <w:rsid w:val="003212BE"/>
    <w:rsid w:val="00321605"/>
    <w:rsid w:val="00321B1F"/>
    <w:rsid w:val="00321C12"/>
    <w:rsid w:val="00321C66"/>
    <w:rsid w:val="00321EDA"/>
    <w:rsid w:val="003221AA"/>
    <w:rsid w:val="003224AA"/>
    <w:rsid w:val="003224E7"/>
    <w:rsid w:val="0032308B"/>
    <w:rsid w:val="003233CA"/>
    <w:rsid w:val="003235BC"/>
    <w:rsid w:val="0032390D"/>
    <w:rsid w:val="0032399C"/>
    <w:rsid w:val="0032410A"/>
    <w:rsid w:val="0032458D"/>
    <w:rsid w:val="00324CE7"/>
    <w:rsid w:val="00324DAB"/>
    <w:rsid w:val="00324F7E"/>
    <w:rsid w:val="0032521A"/>
    <w:rsid w:val="003253A4"/>
    <w:rsid w:val="003256CD"/>
    <w:rsid w:val="003259A7"/>
    <w:rsid w:val="00325C4E"/>
    <w:rsid w:val="00325D7A"/>
    <w:rsid w:val="00326145"/>
    <w:rsid w:val="00326237"/>
    <w:rsid w:val="00326302"/>
    <w:rsid w:val="00326398"/>
    <w:rsid w:val="003265AC"/>
    <w:rsid w:val="00327163"/>
    <w:rsid w:val="00327305"/>
    <w:rsid w:val="00327407"/>
    <w:rsid w:val="00327518"/>
    <w:rsid w:val="00327531"/>
    <w:rsid w:val="00327692"/>
    <w:rsid w:val="00327744"/>
    <w:rsid w:val="0032795D"/>
    <w:rsid w:val="00327B81"/>
    <w:rsid w:val="00327C80"/>
    <w:rsid w:val="00327EF2"/>
    <w:rsid w:val="003300BD"/>
    <w:rsid w:val="00330187"/>
    <w:rsid w:val="00330339"/>
    <w:rsid w:val="003303B4"/>
    <w:rsid w:val="003306BB"/>
    <w:rsid w:val="0033115A"/>
    <w:rsid w:val="00331619"/>
    <w:rsid w:val="00331787"/>
    <w:rsid w:val="00331C77"/>
    <w:rsid w:val="00331DB6"/>
    <w:rsid w:val="00331EDE"/>
    <w:rsid w:val="00331F96"/>
    <w:rsid w:val="003322E4"/>
    <w:rsid w:val="00332360"/>
    <w:rsid w:val="00332447"/>
    <w:rsid w:val="003327B6"/>
    <w:rsid w:val="00332919"/>
    <w:rsid w:val="00332979"/>
    <w:rsid w:val="00332B55"/>
    <w:rsid w:val="00332CD2"/>
    <w:rsid w:val="00332D05"/>
    <w:rsid w:val="00332D40"/>
    <w:rsid w:val="00332EE4"/>
    <w:rsid w:val="0033309E"/>
    <w:rsid w:val="003334CA"/>
    <w:rsid w:val="003336B9"/>
    <w:rsid w:val="00333723"/>
    <w:rsid w:val="00333820"/>
    <w:rsid w:val="003338BB"/>
    <w:rsid w:val="003338D9"/>
    <w:rsid w:val="00333ACD"/>
    <w:rsid w:val="003344D4"/>
    <w:rsid w:val="0033476C"/>
    <w:rsid w:val="00334D50"/>
    <w:rsid w:val="00334D89"/>
    <w:rsid w:val="00334DA9"/>
    <w:rsid w:val="0033509E"/>
    <w:rsid w:val="003351EB"/>
    <w:rsid w:val="003352B1"/>
    <w:rsid w:val="003354B3"/>
    <w:rsid w:val="00335B01"/>
    <w:rsid w:val="00335EA8"/>
    <w:rsid w:val="00336020"/>
    <w:rsid w:val="003363DD"/>
    <w:rsid w:val="00336B94"/>
    <w:rsid w:val="00336D17"/>
    <w:rsid w:val="00336D2C"/>
    <w:rsid w:val="00337155"/>
    <w:rsid w:val="003372FC"/>
    <w:rsid w:val="003374BB"/>
    <w:rsid w:val="00337810"/>
    <w:rsid w:val="00337F26"/>
    <w:rsid w:val="00340361"/>
    <w:rsid w:val="00340731"/>
    <w:rsid w:val="00340795"/>
    <w:rsid w:val="003407CF"/>
    <w:rsid w:val="00340A3A"/>
    <w:rsid w:val="0034111C"/>
    <w:rsid w:val="003411A6"/>
    <w:rsid w:val="003418FE"/>
    <w:rsid w:val="00341947"/>
    <w:rsid w:val="00341C00"/>
    <w:rsid w:val="00341E60"/>
    <w:rsid w:val="00341F96"/>
    <w:rsid w:val="0034217F"/>
    <w:rsid w:val="0034276C"/>
    <w:rsid w:val="00342AD2"/>
    <w:rsid w:val="00342D8B"/>
    <w:rsid w:val="00342F49"/>
    <w:rsid w:val="00342FD9"/>
    <w:rsid w:val="00343004"/>
    <w:rsid w:val="00343143"/>
    <w:rsid w:val="00343954"/>
    <w:rsid w:val="00343ADB"/>
    <w:rsid w:val="0034421E"/>
    <w:rsid w:val="0034487F"/>
    <w:rsid w:val="00344956"/>
    <w:rsid w:val="00344AC2"/>
    <w:rsid w:val="003451C8"/>
    <w:rsid w:val="00345386"/>
    <w:rsid w:val="00345405"/>
    <w:rsid w:val="00345499"/>
    <w:rsid w:val="0034565E"/>
    <w:rsid w:val="00345CC0"/>
    <w:rsid w:val="00345D17"/>
    <w:rsid w:val="00345DDD"/>
    <w:rsid w:val="00345FBB"/>
    <w:rsid w:val="00346A79"/>
    <w:rsid w:val="00346FED"/>
    <w:rsid w:val="00347000"/>
    <w:rsid w:val="003474D2"/>
    <w:rsid w:val="003479B2"/>
    <w:rsid w:val="00347E22"/>
    <w:rsid w:val="00350576"/>
    <w:rsid w:val="0035135E"/>
    <w:rsid w:val="00351CEC"/>
    <w:rsid w:val="00351E01"/>
    <w:rsid w:val="003521B7"/>
    <w:rsid w:val="0035232E"/>
    <w:rsid w:val="00352570"/>
    <w:rsid w:val="00352968"/>
    <w:rsid w:val="0035298B"/>
    <w:rsid w:val="00352A23"/>
    <w:rsid w:val="00352D21"/>
    <w:rsid w:val="0035301E"/>
    <w:rsid w:val="003534E7"/>
    <w:rsid w:val="00353534"/>
    <w:rsid w:val="003538B7"/>
    <w:rsid w:val="0035408F"/>
    <w:rsid w:val="0035437B"/>
    <w:rsid w:val="0035443D"/>
    <w:rsid w:val="0035456F"/>
    <w:rsid w:val="00354AA2"/>
    <w:rsid w:val="00354FEE"/>
    <w:rsid w:val="00356275"/>
    <w:rsid w:val="003564B1"/>
    <w:rsid w:val="00356791"/>
    <w:rsid w:val="0035680B"/>
    <w:rsid w:val="003569C7"/>
    <w:rsid w:val="00356C0B"/>
    <w:rsid w:val="00356F1C"/>
    <w:rsid w:val="00357088"/>
    <w:rsid w:val="0035741B"/>
    <w:rsid w:val="00357536"/>
    <w:rsid w:val="00357723"/>
    <w:rsid w:val="00357ADE"/>
    <w:rsid w:val="00357B9C"/>
    <w:rsid w:val="00357DF1"/>
    <w:rsid w:val="00360BE2"/>
    <w:rsid w:val="003613E3"/>
    <w:rsid w:val="00361412"/>
    <w:rsid w:val="003614C6"/>
    <w:rsid w:val="00361582"/>
    <w:rsid w:val="003615CA"/>
    <w:rsid w:val="00361942"/>
    <w:rsid w:val="00361B51"/>
    <w:rsid w:val="00361D5B"/>
    <w:rsid w:val="00362132"/>
    <w:rsid w:val="003624E9"/>
    <w:rsid w:val="00362634"/>
    <w:rsid w:val="00362907"/>
    <w:rsid w:val="003629FF"/>
    <w:rsid w:val="00362A2C"/>
    <w:rsid w:val="00362AC2"/>
    <w:rsid w:val="0036369B"/>
    <w:rsid w:val="003637BF"/>
    <w:rsid w:val="0036391A"/>
    <w:rsid w:val="00363B2B"/>
    <w:rsid w:val="00363B2C"/>
    <w:rsid w:val="00363CB9"/>
    <w:rsid w:val="003642A6"/>
    <w:rsid w:val="003645DC"/>
    <w:rsid w:val="003645E2"/>
    <w:rsid w:val="00364648"/>
    <w:rsid w:val="00364763"/>
    <w:rsid w:val="00364856"/>
    <w:rsid w:val="0036577B"/>
    <w:rsid w:val="00365B33"/>
    <w:rsid w:val="00365C3D"/>
    <w:rsid w:val="00365E9F"/>
    <w:rsid w:val="00365FB6"/>
    <w:rsid w:val="00366297"/>
    <w:rsid w:val="0036647D"/>
    <w:rsid w:val="003664BF"/>
    <w:rsid w:val="003664E3"/>
    <w:rsid w:val="003665DD"/>
    <w:rsid w:val="00366C1B"/>
    <w:rsid w:val="00367110"/>
    <w:rsid w:val="00367156"/>
    <w:rsid w:val="00367337"/>
    <w:rsid w:val="00367367"/>
    <w:rsid w:val="0036736D"/>
    <w:rsid w:val="003675CF"/>
    <w:rsid w:val="003676C4"/>
    <w:rsid w:val="00367747"/>
    <w:rsid w:val="0036781E"/>
    <w:rsid w:val="00367ED1"/>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789"/>
    <w:rsid w:val="003737C1"/>
    <w:rsid w:val="00373F9B"/>
    <w:rsid w:val="00374452"/>
    <w:rsid w:val="00374529"/>
    <w:rsid w:val="00374848"/>
    <w:rsid w:val="0037489B"/>
    <w:rsid w:val="00374C1F"/>
    <w:rsid w:val="003757A1"/>
    <w:rsid w:val="00375A59"/>
    <w:rsid w:val="00375CC2"/>
    <w:rsid w:val="00375D09"/>
    <w:rsid w:val="003762DC"/>
    <w:rsid w:val="00376329"/>
    <w:rsid w:val="0037635B"/>
    <w:rsid w:val="00377047"/>
    <w:rsid w:val="0037739D"/>
    <w:rsid w:val="0037751C"/>
    <w:rsid w:val="00377D61"/>
    <w:rsid w:val="00380550"/>
    <w:rsid w:val="0038091C"/>
    <w:rsid w:val="00380B6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96A"/>
    <w:rsid w:val="00385C1A"/>
    <w:rsid w:val="00385E8F"/>
    <w:rsid w:val="00385F3C"/>
    <w:rsid w:val="00386053"/>
    <w:rsid w:val="0038634B"/>
    <w:rsid w:val="003864A8"/>
    <w:rsid w:val="00386523"/>
    <w:rsid w:val="00386D89"/>
    <w:rsid w:val="00386EA8"/>
    <w:rsid w:val="00387459"/>
    <w:rsid w:val="0038771D"/>
    <w:rsid w:val="00387C65"/>
    <w:rsid w:val="00390154"/>
    <w:rsid w:val="00390935"/>
    <w:rsid w:val="00390E6C"/>
    <w:rsid w:val="00391D5E"/>
    <w:rsid w:val="00391EAA"/>
    <w:rsid w:val="00392202"/>
    <w:rsid w:val="00392304"/>
    <w:rsid w:val="003923D8"/>
    <w:rsid w:val="0039241F"/>
    <w:rsid w:val="00392434"/>
    <w:rsid w:val="00392491"/>
    <w:rsid w:val="00392493"/>
    <w:rsid w:val="003927C5"/>
    <w:rsid w:val="00392AA2"/>
    <w:rsid w:val="00392FD3"/>
    <w:rsid w:val="003931D2"/>
    <w:rsid w:val="003935B0"/>
    <w:rsid w:val="00393E0B"/>
    <w:rsid w:val="00393E2A"/>
    <w:rsid w:val="00393E44"/>
    <w:rsid w:val="0039412A"/>
    <w:rsid w:val="00394301"/>
    <w:rsid w:val="003946BC"/>
    <w:rsid w:val="00394D3C"/>
    <w:rsid w:val="00394E26"/>
    <w:rsid w:val="00395090"/>
    <w:rsid w:val="0039519F"/>
    <w:rsid w:val="0039560E"/>
    <w:rsid w:val="0039615F"/>
    <w:rsid w:val="00396203"/>
    <w:rsid w:val="003969AE"/>
    <w:rsid w:val="00396EBA"/>
    <w:rsid w:val="003972BB"/>
    <w:rsid w:val="0039747B"/>
    <w:rsid w:val="00397793"/>
    <w:rsid w:val="00397810"/>
    <w:rsid w:val="00397961"/>
    <w:rsid w:val="00397AB6"/>
    <w:rsid w:val="00397ACA"/>
    <w:rsid w:val="003A024C"/>
    <w:rsid w:val="003A02CF"/>
    <w:rsid w:val="003A10C3"/>
    <w:rsid w:val="003A11C1"/>
    <w:rsid w:val="003A1648"/>
    <w:rsid w:val="003A1DAB"/>
    <w:rsid w:val="003A22CD"/>
    <w:rsid w:val="003A2606"/>
    <w:rsid w:val="003A2785"/>
    <w:rsid w:val="003A28F8"/>
    <w:rsid w:val="003A2BDD"/>
    <w:rsid w:val="003A313C"/>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EB"/>
    <w:rsid w:val="003B46F2"/>
    <w:rsid w:val="003B473F"/>
    <w:rsid w:val="003B48F4"/>
    <w:rsid w:val="003B49CE"/>
    <w:rsid w:val="003B4A34"/>
    <w:rsid w:val="003B4FAA"/>
    <w:rsid w:val="003B547A"/>
    <w:rsid w:val="003B55CD"/>
    <w:rsid w:val="003B59F4"/>
    <w:rsid w:val="003B60A9"/>
    <w:rsid w:val="003B65D4"/>
    <w:rsid w:val="003B65E1"/>
    <w:rsid w:val="003B6768"/>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2F8"/>
    <w:rsid w:val="003C17EC"/>
    <w:rsid w:val="003C1A18"/>
    <w:rsid w:val="003C206C"/>
    <w:rsid w:val="003C22EA"/>
    <w:rsid w:val="003C23C8"/>
    <w:rsid w:val="003C279C"/>
    <w:rsid w:val="003C2A33"/>
    <w:rsid w:val="003C2E66"/>
    <w:rsid w:val="003C2F05"/>
    <w:rsid w:val="003C30CD"/>
    <w:rsid w:val="003C314B"/>
    <w:rsid w:val="003C33E2"/>
    <w:rsid w:val="003C3741"/>
    <w:rsid w:val="003C3FA6"/>
    <w:rsid w:val="003C40C4"/>
    <w:rsid w:val="003C40F7"/>
    <w:rsid w:val="003C492E"/>
    <w:rsid w:val="003C56B6"/>
    <w:rsid w:val="003C5C09"/>
    <w:rsid w:val="003C5C41"/>
    <w:rsid w:val="003C669D"/>
    <w:rsid w:val="003C6877"/>
    <w:rsid w:val="003C695A"/>
    <w:rsid w:val="003C7062"/>
    <w:rsid w:val="003C7461"/>
    <w:rsid w:val="003C761F"/>
    <w:rsid w:val="003C7741"/>
    <w:rsid w:val="003C7A56"/>
    <w:rsid w:val="003D051D"/>
    <w:rsid w:val="003D05DA"/>
    <w:rsid w:val="003D0788"/>
    <w:rsid w:val="003D0DB4"/>
    <w:rsid w:val="003D0E44"/>
    <w:rsid w:val="003D0F00"/>
    <w:rsid w:val="003D132A"/>
    <w:rsid w:val="003D1517"/>
    <w:rsid w:val="003D1D50"/>
    <w:rsid w:val="003D2213"/>
    <w:rsid w:val="003D232D"/>
    <w:rsid w:val="003D24DD"/>
    <w:rsid w:val="003D25D8"/>
    <w:rsid w:val="003D25E2"/>
    <w:rsid w:val="003D286B"/>
    <w:rsid w:val="003D2938"/>
    <w:rsid w:val="003D2DE5"/>
    <w:rsid w:val="003D3345"/>
    <w:rsid w:val="003D33F9"/>
    <w:rsid w:val="003D397A"/>
    <w:rsid w:val="003D3EC2"/>
    <w:rsid w:val="003D3FBA"/>
    <w:rsid w:val="003D3FD8"/>
    <w:rsid w:val="003D402B"/>
    <w:rsid w:val="003D40E2"/>
    <w:rsid w:val="003D42CB"/>
    <w:rsid w:val="003D46F4"/>
    <w:rsid w:val="003D54B0"/>
    <w:rsid w:val="003D5500"/>
    <w:rsid w:val="003D5566"/>
    <w:rsid w:val="003D5611"/>
    <w:rsid w:val="003D56DF"/>
    <w:rsid w:val="003D57C7"/>
    <w:rsid w:val="003D5C6D"/>
    <w:rsid w:val="003D5DE7"/>
    <w:rsid w:val="003D64B1"/>
    <w:rsid w:val="003D64B9"/>
    <w:rsid w:val="003D688F"/>
    <w:rsid w:val="003D6E68"/>
    <w:rsid w:val="003D739F"/>
    <w:rsid w:val="003D764F"/>
    <w:rsid w:val="003D76EF"/>
    <w:rsid w:val="003D77AE"/>
    <w:rsid w:val="003D7BC8"/>
    <w:rsid w:val="003D7F11"/>
    <w:rsid w:val="003E0042"/>
    <w:rsid w:val="003E0667"/>
    <w:rsid w:val="003E0BCE"/>
    <w:rsid w:val="003E0DF3"/>
    <w:rsid w:val="003E1017"/>
    <w:rsid w:val="003E1086"/>
    <w:rsid w:val="003E13E0"/>
    <w:rsid w:val="003E1660"/>
    <w:rsid w:val="003E1CD1"/>
    <w:rsid w:val="003E1EEE"/>
    <w:rsid w:val="003E1FF1"/>
    <w:rsid w:val="003E2198"/>
    <w:rsid w:val="003E265B"/>
    <w:rsid w:val="003E2A2D"/>
    <w:rsid w:val="003E2B3E"/>
    <w:rsid w:val="003E31EF"/>
    <w:rsid w:val="003E3438"/>
    <w:rsid w:val="003E3548"/>
    <w:rsid w:val="003E3715"/>
    <w:rsid w:val="003E3A09"/>
    <w:rsid w:val="003E3B1E"/>
    <w:rsid w:val="003E3D44"/>
    <w:rsid w:val="003E405C"/>
    <w:rsid w:val="003E4123"/>
    <w:rsid w:val="003E46D1"/>
    <w:rsid w:val="003E46DB"/>
    <w:rsid w:val="003E47D4"/>
    <w:rsid w:val="003E4904"/>
    <w:rsid w:val="003E4E72"/>
    <w:rsid w:val="003E50B9"/>
    <w:rsid w:val="003E5587"/>
    <w:rsid w:val="003E5AFA"/>
    <w:rsid w:val="003E5B73"/>
    <w:rsid w:val="003E5D39"/>
    <w:rsid w:val="003E5DC4"/>
    <w:rsid w:val="003E61EB"/>
    <w:rsid w:val="003E64A9"/>
    <w:rsid w:val="003E64F6"/>
    <w:rsid w:val="003E6A02"/>
    <w:rsid w:val="003E6EE1"/>
    <w:rsid w:val="003E7905"/>
    <w:rsid w:val="003E7B3D"/>
    <w:rsid w:val="003E7B76"/>
    <w:rsid w:val="003E7EE0"/>
    <w:rsid w:val="003F0171"/>
    <w:rsid w:val="003F0336"/>
    <w:rsid w:val="003F0F2A"/>
    <w:rsid w:val="003F160B"/>
    <w:rsid w:val="003F17E9"/>
    <w:rsid w:val="003F17F9"/>
    <w:rsid w:val="003F1845"/>
    <w:rsid w:val="003F1974"/>
    <w:rsid w:val="003F1B0C"/>
    <w:rsid w:val="003F2071"/>
    <w:rsid w:val="003F2997"/>
    <w:rsid w:val="003F29F2"/>
    <w:rsid w:val="003F2A6B"/>
    <w:rsid w:val="003F2E6F"/>
    <w:rsid w:val="003F3126"/>
    <w:rsid w:val="003F349B"/>
    <w:rsid w:val="003F39DA"/>
    <w:rsid w:val="003F3B22"/>
    <w:rsid w:val="003F3C65"/>
    <w:rsid w:val="003F3D64"/>
    <w:rsid w:val="003F3FCC"/>
    <w:rsid w:val="003F416B"/>
    <w:rsid w:val="003F4257"/>
    <w:rsid w:val="003F4360"/>
    <w:rsid w:val="003F456B"/>
    <w:rsid w:val="003F489A"/>
    <w:rsid w:val="003F49B5"/>
    <w:rsid w:val="003F5547"/>
    <w:rsid w:val="003F5862"/>
    <w:rsid w:val="003F5C40"/>
    <w:rsid w:val="003F6136"/>
    <w:rsid w:val="003F6572"/>
    <w:rsid w:val="003F65AB"/>
    <w:rsid w:val="003F6A79"/>
    <w:rsid w:val="003F6E0F"/>
    <w:rsid w:val="003F6E12"/>
    <w:rsid w:val="003F6F8B"/>
    <w:rsid w:val="003F75B5"/>
    <w:rsid w:val="003F75ED"/>
    <w:rsid w:val="003F7CA0"/>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F8C"/>
    <w:rsid w:val="004023BA"/>
    <w:rsid w:val="00402C83"/>
    <w:rsid w:val="00402FC2"/>
    <w:rsid w:val="00403171"/>
    <w:rsid w:val="004031DC"/>
    <w:rsid w:val="0040341C"/>
    <w:rsid w:val="004039A7"/>
    <w:rsid w:val="00403B77"/>
    <w:rsid w:val="0040414D"/>
    <w:rsid w:val="00404245"/>
    <w:rsid w:val="004043B8"/>
    <w:rsid w:val="004046ED"/>
    <w:rsid w:val="00404FCE"/>
    <w:rsid w:val="00405211"/>
    <w:rsid w:val="004052F1"/>
    <w:rsid w:val="0040558B"/>
    <w:rsid w:val="004058CB"/>
    <w:rsid w:val="00406419"/>
    <w:rsid w:val="004065E3"/>
    <w:rsid w:val="00406863"/>
    <w:rsid w:val="00406B4D"/>
    <w:rsid w:val="004075AE"/>
    <w:rsid w:val="00407823"/>
    <w:rsid w:val="00407D63"/>
    <w:rsid w:val="00407E57"/>
    <w:rsid w:val="004105B1"/>
    <w:rsid w:val="00410668"/>
    <w:rsid w:val="0041069A"/>
    <w:rsid w:val="00410BB6"/>
    <w:rsid w:val="00410EFF"/>
    <w:rsid w:val="004111B1"/>
    <w:rsid w:val="0041123E"/>
    <w:rsid w:val="0041145C"/>
    <w:rsid w:val="00411525"/>
    <w:rsid w:val="00411537"/>
    <w:rsid w:val="004117C0"/>
    <w:rsid w:val="0041188C"/>
    <w:rsid w:val="00411E16"/>
    <w:rsid w:val="00411EC4"/>
    <w:rsid w:val="0041256F"/>
    <w:rsid w:val="00412B61"/>
    <w:rsid w:val="00412FC1"/>
    <w:rsid w:val="00413000"/>
    <w:rsid w:val="004133DC"/>
    <w:rsid w:val="00413763"/>
    <w:rsid w:val="00413D69"/>
    <w:rsid w:val="004141BA"/>
    <w:rsid w:val="0041443C"/>
    <w:rsid w:val="0041488F"/>
    <w:rsid w:val="00414D38"/>
    <w:rsid w:val="00414FF0"/>
    <w:rsid w:val="00415196"/>
    <w:rsid w:val="004154F7"/>
    <w:rsid w:val="00415986"/>
    <w:rsid w:val="00415E04"/>
    <w:rsid w:val="00415F13"/>
    <w:rsid w:val="00415F5F"/>
    <w:rsid w:val="00416745"/>
    <w:rsid w:val="0041679A"/>
    <w:rsid w:val="00416D44"/>
    <w:rsid w:val="00417289"/>
    <w:rsid w:val="00417507"/>
    <w:rsid w:val="004175C0"/>
    <w:rsid w:val="004176FF"/>
    <w:rsid w:val="00417A1E"/>
    <w:rsid w:val="00420182"/>
    <w:rsid w:val="00420192"/>
    <w:rsid w:val="0042037E"/>
    <w:rsid w:val="00420516"/>
    <w:rsid w:val="00420EC1"/>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66"/>
    <w:rsid w:val="004305CD"/>
    <w:rsid w:val="004306C2"/>
    <w:rsid w:val="004307C7"/>
    <w:rsid w:val="0043085C"/>
    <w:rsid w:val="004309D8"/>
    <w:rsid w:val="00430FC7"/>
    <w:rsid w:val="0043116B"/>
    <w:rsid w:val="004311BE"/>
    <w:rsid w:val="004313D1"/>
    <w:rsid w:val="004313FC"/>
    <w:rsid w:val="00431502"/>
    <w:rsid w:val="0043197C"/>
    <w:rsid w:val="00431DF2"/>
    <w:rsid w:val="00432110"/>
    <w:rsid w:val="00432143"/>
    <w:rsid w:val="004323EC"/>
    <w:rsid w:val="004325F3"/>
    <w:rsid w:val="004328EE"/>
    <w:rsid w:val="004329E1"/>
    <w:rsid w:val="0043360F"/>
    <w:rsid w:val="004336DE"/>
    <w:rsid w:val="00433BB9"/>
    <w:rsid w:val="00433D1D"/>
    <w:rsid w:val="00433EBE"/>
    <w:rsid w:val="00434406"/>
    <w:rsid w:val="00434473"/>
    <w:rsid w:val="004344AE"/>
    <w:rsid w:val="00434513"/>
    <w:rsid w:val="00434B5C"/>
    <w:rsid w:val="00434DE8"/>
    <w:rsid w:val="00434DF4"/>
    <w:rsid w:val="004350FD"/>
    <w:rsid w:val="004351F6"/>
    <w:rsid w:val="00435DBA"/>
    <w:rsid w:val="00436095"/>
    <w:rsid w:val="004364FF"/>
    <w:rsid w:val="0043657A"/>
    <w:rsid w:val="0043701D"/>
    <w:rsid w:val="0043742F"/>
    <w:rsid w:val="00437CA4"/>
    <w:rsid w:val="00437EC0"/>
    <w:rsid w:val="004404DF"/>
    <w:rsid w:val="00440509"/>
    <w:rsid w:val="00440A50"/>
    <w:rsid w:val="00440FED"/>
    <w:rsid w:val="004410B3"/>
    <w:rsid w:val="004412E2"/>
    <w:rsid w:val="0044137C"/>
    <w:rsid w:val="00441742"/>
    <w:rsid w:val="00441A1A"/>
    <w:rsid w:val="00441A1E"/>
    <w:rsid w:val="00441AB8"/>
    <w:rsid w:val="00441ABD"/>
    <w:rsid w:val="00441B92"/>
    <w:rsid w:val="00441F2D"/>
    <w:rsid w:val="00441FE9"/>
    <w:rsid w:val="0044228D"/>
    <w:rsid w:val="004425B9"/>
    <w:rsid w:val="004427F5"/>
    <w:rsid w:val="00442847"/>
    <w:rsid w:val="0044286C"/>
    <w:rsid w:val="004429A4"/>
    <w:rsid w:val="00442C07"/>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E7"/>
    <w:rsid w:val="004467E2"/>
    <w:rsid w:val="00446D14"/>
    <w:rsid w:val="00446E2C"/>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8A8"/>
    <w:rsid w:val="00452971"/>
    <w:rsid w:val="00452CA7"/>
    <w:rsid w:val="00452DC7"/>
    <w:rsid w:val="00452E28"/>
    <w:rsid w:val="00452EB1"/>
    <w:rsid w:val="00453341"/>
    <w:rsid w:val="004536AA"/>
    <w:rsid w:val="00453988"/>
    <w:rsid w:val="00453A70"/>
    <w:rsid w:val="00453B01"/>
    <w:rsid w:val="00453B23"/>
    <w:rsid w:val="00454393"/>
    <w:rsid w:val="00454433"/>
    <w:rsid w:val="004545C6"/>
    <w:rsid w:val="004548C7"/>
    <w:rsid w:val="004548CC"/>
    <w:rsid w:val="00454BEB"/>
    <w:rsid w:val="00454DCA"/>
    <w:rsid w:val="00454E26"/>
    <w:rsid w:val="00455530"/>
    <w:rsid w:val="004556CD"/>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CE6"/>
    <w:rsid w:val="00460E0A"/>
    <w:rsid w:val="00461210"/>
    <w:rsid w:val="004613C9"/>
    <w:rsid w:val="00461700"/>
    <w:rsid w:val="00461848"/>
    <w:rsid w:val="00461A4B"/>
    <w:rsid w:val="00461AAC"/>
    <w:rsid w:val="00461EB7"/>
    <w:rsid w:val="004621FD"/>
    <w:rsid w:val="00462221"/>
    <w:rsid w:val="00462490"/>
    <w:rsid w:val="004628D7"/>
    <w:rsid w:val="0046290A"/>
    <w:rsid w:val="00462AC9"/>
    <w:rsid w:val="00462E53"/>
    <w:rsid w:val="004639F9"/>
    <w:rsid w:val="00463A57"/>
    <w:rsid w:val="00463D33"/>
    <w:rsid w:val="00463DC3"/>
    <w:rsid w:val="004648DE"/>
    <w:rsid w:val="00464DBE"/>
    <w:rsid w:val="004650A6"/>
    <w:rsid w:val="0046523D"/>
    <w:rsid w:val="00465299"/>
    <w:rsid w:val="00466252"/>
    <w:rsid w:val="004663AC"/>
    <w:rsid w:val="004666D6"/>
    <w:rsid w:val="00466840"/>
    <w:rsid w:val="00466A0F"/>
    <w:rsid w:val="004672A2"/>
    <w:rsid w:val="00467407"/>
    <w:rsid w:val="004676A2"/>
    <w:rsid w:val="004677C4"/>
    <w:rsid w:val="004678AA"/>
    <w:rsid w:val="0046795B"/>
    <w:rsid w:val="00467F54"/>
    <w:rsid w:val="0047054D"/>
    <w:rsid w:val="004705F6"/>
    <w:rsid w:val="00470765"/>
    <w:rsid w:val="00470868"/>
    <w:rsid w:val="004708C0"/>
    <w:rsid w:val="004708F4"/>
    <w:rsid w:val="00470C0B"/>
    <w:rsid w:val="00470CB4"/>
    <w:rsid w:val="0047115F"/>
    <w:rsid w:val="004715CB"/>
    <w:rsid w:val="00471863"/>
    <w:rsid w:val="004723D2"/>
    <w:rsid w:val="00472727"/>
    <w:rsid w:val="00472790"/>
    <w:rsid w:val="0047286A"/>
    <w:rsid w:val="00472F37"/>
    <w:rsid w:val="004730E4"/>
    <w:rsid w:val="00473215"/>
    <w:rsid w:val="00473777"/>
    <w:rsid w:val="00473A09"/>
    <w:rsid w:val="00473A14"/>
    <w:rsid w:val="004741B1"/>
    <w:rsid w:val="004742FB"/>
    <w:rsid w:val="00474389"/>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D4"/>
    <w:rsid w:val="00482E68"/>
    <w:rsid w:val="004830E6"/>
    <w:rsid w:val="00483261"/>
    <w:rsid w:val="0048328A"/>
    <w:rsid w:val="00483349"/>
    <w:rsid w:val="004838F6"/>
    <w:rsid w:val="004838FE"/>
    <w:rsid w:val="00483B61"/>
    <w:rsid w:val="00483F57"/>
    <w:rsid w:val="0048429D"/>
    <w:rsid w:val="00484366"/>
    <w:rsid w:val="00484377"/>
    <w:rsid w:val="00484529"/>
    <w:rsid w:val="00484C3C"/>
    <w:rsid w:val="00484D01"/>
    <w:rsid w:val="0048542E"/>
    <w:rsid w:val="00485B23"/>
    <w:rsid w:val="00485B50"/>
    <w:rsid w:val="00485E81"/>
    <w:rsid w:val="00485EB1"/>
    <w:rsid w:val="0048606E"/>
    <w:rsid w:val="00486969"/>
    <w:rsid w:val="00486E25"/>
    <w:rsid w:val="004874E4"/>
    <w:rsid w:val="00487ADC"/>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74B"/>
    <w:rsid w:val="00493EE5"/>
    <w:rsid w:val="004940D8"/>
    <w:rsid w:val="0049427E"/>
    <w:rsid w:val="0049452A"/>
    <w:rsid w:val="00494B83"/>
    <w:rsid w:val="00494D33"/>
    <w:rsid w:val="00494DD9"/>
    <w:rsid w:val="00494EAF"/>
    <w:rsid w:val="00494EF3"/>
    <w:rsid w:val="00495A37"/>
    <w:rsid w:val="00495BA6"/>
    <w:rsid w:val="00495CE7"/>
    <w:rsid w:val="00496529"/>
    <w:rsid w:val="004967A2"/>
    <w:rsid w:val="004967A9"/>
    <w:rsid w:val="004968F0"/>
    <w:rsid w:val="00496D0D"/>
    <w:rsid w:val="00496DC2"/>
    <w:rsid w:val="00496E75"/>
    <w:rsid w:val="0049734B"/>
    <w:rsid w:val="00497731"/>
    <w:rsid w:val="00497B92"/>
    <w:rsid w:val="00497D1C"/>
    <w:rsid w:val="004A00AA"/>
    <w:rsid w:val="004A014C"/>
    <w:rsid w:val="004A0A4C"/>
    <w:rsid w:val="004A0AA8"/>
    <w:rsid w:val="004A124D"/>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1C3"/>
    <w:rsid w:val="004A7327"/>
    <w:rsid w:val="004A7769"/>
    <w:rsid w:val="004A77B1"/>
    <w:rsid w:val="004A77FE"/>
    <w:rsid w:val="004A7814"/>
    <w:rsid w:val="004A79D9"/>
    <w:rsid w:val="004B0AB3"/>
    <w:rsid w:val="004B14C4"/>
    <w:rsid w:val="004B165F"/>
    <w:rsid w:val="004B181E"/>
    <w:rsid w:val="004B1C55"/>
    <w:rsid w:val="004B23AD"/>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58E8"/>
    <w:rsid w:val="004B5A98"/>
    <w:rsid w:val="004B5B9C"/>
    <w:rsid w:val="004B5E52"/>
    <w:rsid w:val="004B5E91"/>
    <w:rsid w:val="004B5EF5"/>
    <w:rsid w:val="004B6830"/>
    <w:rsid w:val="004B6B25"/>
    <w:rsid w:val="004B6B4B"/>
    <w:rsid w:val="004B7455"/>
    <w:rsid w:val="004B74FF"/>
    <w:rsid w:val="004B7CE4"/>
    <w:rsid w:val="004B7FB2"/>
    <w:rsid w:val="004C0366"/>
    <w:rsid w:val="004C0401"/>
    <w:rsid w:val="004C0AE1"/>
    <w:rsid w:val="004C0C49"/>
    <w:rsid w:val="004C0EAC"/>
    <w:rsid w:val="004C1096"/>
    <w:rsid w:val="004C1475"/>
    <w:rsid w:val="004C1585"/>
    <w:rsid w:val="004C16D4"/>
    <w:rsid w:val="004C180B"/>
    <w:rsid w:val="004C183D"/>
    <w:rsid w:val="004C1964"/>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C31"/>
    <w:rsid w:val="004D2629"/>
    <w:rsid w:val="004D26B8"/>
    <w:rsid w:val="004D2C2C"/>
    <w:rsid w:val="004D2F13"/>
    <w:rsid w:val="004D38C2"/>
    <w:rsid w:val="004D41DC"/>
    <w:rsid w:val="004D46B6"/>
    <w:rsid w:val="004D494F"/>
    <w:rsid w:val="004D4FBD"/>
    <w:rsid w:val="004D4FC0"/>
    <w:rsid w:val="004D50E7"/>
    <w:rsid w:val="004D5121"/>
    <w:rsid w:val="004D518D"/>
    <w:rsid w:val="004D5746"/>
    <w:rsid w:val="004D589E"/>
    <w:rsid w:val="004D5AC3"/>
    <w:rsid w:val="004D5CE7"/>
    <w:rsid w:val="004D6381"/>
    <w:rsid w:val="004D66EC"/>
    <w:rsid w:val="004D675E"/>
    <w:rsid w:val="004D6815"/>
    <w:rsid w:val="004D75D7"/>
    <w:rsid w:val="004D76E0"/>
    <w:rsid w:val="004D778F"/>
    <w:rsid w:val="004D7865"/>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D74"/>
    <w:rsid w:val="004E3FF3"/>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806"/>
    <w:rsid w:val="004F0DB4"/>
    <w:rsid w:val="004F0E04"/>
    <w:rsid w:val="004F0EFB"/>
    <w:rsid w:val="004F10B4"/>
    <w:rsid w:val="004F10CF"/>
    <w:rsid w:val="004F12F8"/>
    <w:rsid w:val="004F15C7"/>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B4B"/>
    <w:rsid w:val="004F3B71"/>
    <w:rsid w:val="004F3FE5"/>
    <w:rsid w:val="004F419D"/>
    <w:rsid w:val="004F5154"/>
    <w:rsid w:val="004F534E"/>
    <w:rsid w:val="004F53CC"/>
    <w:rsid w:val="004F5642"/>
    <w:rsid w:val="004F56E0"/>
    <w:rsid w:val="004F5835"/>
    <w:rsid w:val="004F5866"/>
    <w:rsid w:val="004F5AA8"/>
    <w:rsid w:val="004F64D5"/>
    <w:rsid w:val="004F661C"/>
    <w:rsid w:val="004F6658"/>
    <w:rsid w:val="004F6760"/>
    <w:rsid w:val="004F682B"/>
    <w:rsid w:val="004F6CC5"/>
    <w:rsid w:val="004F6D58"/>
    <w:rsid w:val="004F6D99"/>
    <w:rsid w:val="004F7183"/>
    <w:rsid w:val="00500357"/>
    <w:rsid w:val="00500572"/>
    <w:rsid w:val="00500701"/>
    <w:rsid w:val="00500E28"/>
    <w:rsid w:val="00501187"/>
    <w:rsid w:val="00501304"/>
    <w:rsid w:val="00501425"/>
    <w:rsid w:val="005014E0"/>
    <w:rsid w:val="00501602"/>
    <w:rsid w:val="00501ADB"/>
    <w:rsid w:val="005020AF"/>
    <w:rsid w:val="005022F8"/>
    <w:rsid w:val="00502346"/>
    <w:rsid w:val="005028D6"/>
    <w:rsid w:val="005030C2"/>
    <w:rsid w:val="0050318B"/>
    <w:rsid w:val="00503496"/>
    <w:rsid w:val="005036B1"/>
    <w:rsid w:val="00503746"/>
    <w:rsid w:val="00503A63"/>
    <w:rsid w:val="00503CF2"/>
    <w:rsid w:val="00503DC5"/>
    <w:rsid w:val="0050423B"/>
    <w:rsid w:val="0050430E"/>
    <w:rsid w:val="00504311"/>
    <w:rsid w:val="0050485C"/>
    <w:rsid w:val="005048CD"/>
    <w:rsid w:val="00504A64"/>
    <w:rsid w:val="00504AC6"/>
    <w:rsid w:val="00504D75"/>
    <w:rsid w:val="00504FC7"/>
    <w:rsid w:val="0050510F"/>
    <w:rsid w:val="00505160"/>
    <w:rsid w:val="0050527A"/>
    <w:rsid w:val="00505C10"/>
    <w:rsid w:val="00505CC5"/>
    <w:rsid w:val="00505D51"/>
    <w:rsid w:val="00506198"/>
    <w:rsid w:val="0050667B"/>
    <w:rsid w:val="00506D8C"/>
    <w:rsid w:val="00506DB6"/>
    <w:rsid w:val="0050774A"/>
    <w:rsid w:val="00507DD3"/>
    <w:rsid w:val="00507F12"/>
    <w:rsid w:val="00510ABC"/>
    <w:rsid w:val="00510E52"/>
    <w:rsid w:val="00510FC6"/>
    <w:rsid w:val="00511079"/>
    <w:rsid w:val="00511411"/>
    <w:rsid w:val="00511A5F"/>
    <w:rsid w:val="00511CDF"/>
    <w:rsid w:val="00511FED"/>
    <w:rsid w:val="005126BA"/>
    <w:rsid w:val="00512829"/>
    <w:rsid w:val="00512854"/>
    <w:rsid w:val="005128B3"/>
    <w:rsid w:val="00512A4C"/>
    <w:rsid w:val="00512ABF"/>
    <w:rsid w:val="00513839"/>
    <w:rsid w:val="005138FF"/>
    <w:rsid w:val="00513935"/>
    <w:rsid w:val="00513DEF"/>
    <w:rsid w:val="0051423C"/>
    <w:rsid w:val="00514518"/>
    <w:rsid w:val="0051457B"/>
    <w:rsid w:val="0051475B"/>
    <w:rsid w:val="005148D4"/>
    <w:rsid w:val="00514C7E"/>
    <w:rsid w:val="00514C91"/>
    <w:rsid w:val="00514F67"/>
    <w:rsid w:val="005153CE"/>
    <w:rsid w:val="0051547D"/>
    <w:rsid w:val="005155CD"/>
    <w:rsid w:val="005155FE"/>
    <w:rsid w:val="00515A72"/>
    <w:rsid w:val="0051619B"/>
    <w:rsid w:val="00516241"/>
    <w:rsid w:val="00516F1F"/>
    <w:rsid w:val="00516FD9"/>
    <w:rsid w:val="0051701F"/>
    <w:rsid w:val="00517202"/>
    <w:rsid w:val="005174C5"/>
    <w:rsid w:val="005178E9"/>
    <w:rsid w:val="0051791D"/>
    <w:rsid w:val="00517BD1"/>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6CC"/>
    <w:rsid w:val="00522950"/>
    <w:rsid w:val="00522BD8"/>
    <w:rsid w:val="00522BDA"/>
    <w:rsid w:val="00523417"/>
    <w:rsid w:val="0052369A"/>
    <w:rsid w:val="00523A25"/>
    <w:rsid w:val="00523D4A"/>
    <w:rsid w:val="00523E75"/>
    <w:rsid w:val="00523ECC"/>
    <w:rsid w:val="00523F07"/>
    <w:rsid w:val="00524385"/>
    <w:rsid w:val="005243E0"/>
    <w:rsid w:val="00524611"/>
    <w:rsid w:val="00524EC3"/>
    <w:rsid w:val="005256F3"/>
    <w:rsid w:val="00525D28"/>
    <w:rsid w:val="00525DBE"/>
    <w:rsid w:val="00525F20"/>
    <w:rsid w:val="00526381"/>
    <w:rsid w:val="00526432"/>
    <w:rsid w:val="005265A3"/>
    <w:rsid w:val="00526783"/>
    <w:rsid w:val="0052724D"/>
    <w:rsid w:val="005272BF"/>
    <w:rsid w:val="0052773A"/>
    <w:rsid w:val="0052778D"/>
    <w:rsid w:val="00527B0C"/>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BA7"/>
    <w:rsid w:val="00531FCB"/>
    <w:rsid w:val="005322AB"/>
    <w:rsid w:val="0053260B"/>
    <w:rsid w:val="0053281C"/>
    <w:rsid w:val="005328C2"/>
    <w:rsid w:val="00532AD0"/>
    <w:rsid w:val="00532B00"/>
    <w:rsid w:val="00532C39"/>
    <w:rsid w:val="0053311D"/>
    <w:rsid w:val="00533331"/>
    <w:rsid w:val="00533A42"/>
    <w:rsid w:val="00533B93"/>
    <w:rsid w:val="00533D17"/>
    <w:rsid w:val="00533E7C"/>
    <w:rsid w:val="005340C9"/>
    <w:rsid w:val="00534197"/>
    <w:rsid w:val="00534999"/>
    <w:rsid w:val="00534BF4"/>
    <w:rsid w:val="00534EDC"/>
    <w:rsid w:val="0053551E"/>
    <w:rsid w:val="0053553E"/>
    <w:rsid w:val="005355D6"/>
    <w:rsid w:val="005358D2"/>
    <w:rsid w:val="00535E84"/>
    <w:rsid w:val="0053642E"/>
    <w:rsid w:val="00536698"/>
    <w:rsid w:val="005367AD"/>
    <w:rsid w:val="00536941"/>
    <w:rsid w:val="00536B5C"/>
    <w:rsid w:val="00536C87"/>
    <w:rsid w:val="0053712C"/>
    <w:rsid w:val="005372A7"/>
    <w:rsid w:val="0053749E"/>
    <w:rsid w:val="005375FE"/>
    <w:rsid w:val="00537663"/>
    <w:rsid w:val="005378AC"/>
    <w:rsid w:val="00537E33"/>
    <w:rsid w:val="005402F9"/>
    <w:rsid w:val="00540AC5"/>
    <w:rsid w:val="00540B4A"/>
    <w:rsid w:val="00540BC4"/>
    <w:rsid w:val="00540BFC"/>
    <w:rsid w:val="005413E3"/>
    <w:rsid w:val="00541956"/>
    <w:rsid w:val="0054195A"/>
    <w:rsid w:val="00541C6B"/>
    <w:rsid w:val="00541E1F"/>
    <w:rsid w:val="005420DE"/>
    <w:rsid w:val="00542185"/>
    <w:rsid w:val="00542249"/>
    <w:rsid w:val="0054255D"/>
    <w:rsid w:val="00542A00"/>
    <w:rsid w:val="00542D2A"/>
    <w:rsid w:val="00542FAA"/>
    <w:rsid w:val="005431F5"/>
    <w:rsid w:val="00543707"/>
    <w:rsid w:val="005439D2"/>
    <w:rsid w:val="00543EBB"/>
    <w:rsid w:val="00544213"/>
    <w:rsid w:val="0054486D"/>
    <w:rsid w:val="00544C0C"/>
    <w:rsid w:val="00545316"/>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5AA"/>
    <w:rsid w:val="005518ED"/>
    <w:rsid w:val="00551F89"/>
    <w:rsid w:val="00552093"/>
    <w:rsid w:val="005525BA"/>
    <w:rsid w:val="00552821"/>
    <w:rsid w:val="00552F33"/>
    <w:rsid w:val="00552FB1"/>
    <w:rsid w:val="00553509"/>
    <w:rsid w:val="00553AAB"/>
    <w:rsid w:val="00553B50"/>
    <w:rsid w:val="00553F09"/>
    <w:rsid w:val="00553F43"/>
    <w:rsid w:val="005543B2"/>
    <w:rsid w:val="005543D9"/>
    <w:rsid w:val="00554851"/>
    <w:rsid w:val="00554C49"/>
    <w:rsid w:val="00554C9C"/>
    <w:rsid w:val="00554E06"/>
    <w:rsid w:val="00554E4B"/>
    <w:rsid w:val="00554EFA"/>
    <w:rsid w:val="0055519C"/>
    <w:rsid w:val="005554C1"/>
    <w:rsid w:val="0055579E"/>
    <w:rsid w:val="00555960"/>
    <w:rsid w:val="005559D1"/>
    <w:rsid w:val="00555F67"/>
    <w:rsid w:val="005561E7"/>
    <w:rsid w:val="005562C1"/>
    <w:rsid w:val="00556742"/>
    <w:rsid w:val="00556944"/>
    <w:rsid w:val="00556E32"/>
    <w:rsid w:val="00556F15"/>
    <w:rsid w:val="00557191"/>
    <w:rsid w:val="00557459"/>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106A"/>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15C"/>
    <w:rsid w:val="005645C8"/>
    <w:rsid w:val="005647E6"/>
    <w:rsid w:val="005648D3"/>
    <w:rsid w:val="005649BF"/>
    <w:rsid w:val="00564C16"/>
    <w:rsid w:val="005650ED"/>
    <w:rsid w:val="005651B3"/>
    <w:rsid w:val="00565289"/>
    <w:rsid w:val="005656E5"/>
    <w:rsid w:val="005657C6"/>
    <w:rsid w:val="00565863"/>
    <w:rsid w:val="00565869"/>
    <w:rsid w:val="005658B1"/>
    <w:rsid w:val="0056657C"/>
    <w:rsid w:val="00566AEF"/>
    <w:rsid w:val="00566B8B"/>
    <w:rsid w:val="00566F58"/>
    <w:rsid w:val="00567415"/>
    <w:rsid w:val="00567610"/>
    <w:rsid w:val="00567658"/>
    <w:rsid w:val="005676DE"/>
    <w:rsid w:val="0056784B"/>
    <w:rsid w:val="00567D81"/>
    <w:rsid w:val="005701D1"/>
    <w:rsid w:val="005703E8"/>
    <w:rsid w:val="0057074A"/>
    <w:rsid w:val="005708AC"/>
    <w:rsid w:val="00570A57"/>
    <w:rsid w:val="00570B48"/>
    <w:rsid w:val="00570D9F"/>
    <w:rsid w:val="0057100F"/>
    <w:rsid w:val="00571248"/>
    <w:rsid w:val="0057185C"/>
    <w:rsid w:val="005719F3"/>
    <w:rsid w:val="00571BF8"/>
    <w:rsid w:val="00571C47"/>
    <w:rsid w:val="00571CA8"/>
    <w:rsid w:val="00571D92"/>
    <w:rsid w:val="00571F49"/>
    <w:rsid w:val="00571F72"/>
    <w:rsid w:val="00571FB1"/>
    <w:rsid w:val="00572320"/>
    <w:rsid w:val="00572947"/>
    <w:rsid w:val="00572948"/>
    <w:rsid w:val="00572EA5"/>
    <w:rsid w:val="00572EE0"/>
    <w:rsid w:val="00573138"/>
    <w:rsid w:val="005734A7"/>
    <w:rsid w:val="0057354A"/>
    <w:rsid w:val="005737F1"/>
    <w:rsid w:val="00573A91"/>
    <w:rsid w:val="00573EEF"/>
    <w:rsid w:val="005741F7"/>
    <w:rsid w:val="00574648"/>
    <w:rsid w:val="005746C4"/>
    <w:rsid w:val="005749F0"/>
    <w:rsid w:val="00574B50"/>
    <w:rsid w:val="00574BA8"/>
    <w:rsid w:val="00575156"/>
    <w:rsid w:val="00575290"/>
    <w:rsid w:val="0057534A"/>
    <w:rsid w:val="00575AD0"/>
    <w:rsid w:val="00575CDD"/>
    <w:rsid w:val="0057624A"/>
    <w:rsid w:val="00576D9F"/>
    <w:rsid w:val="00577350"/>
    <w:rsid w:val="00577656"/>
    <w:rsid w:val="00577835"/>
    <w:rsid w:val="0057783C"/>
    <w:rsid w:val="00577D97"/>
    <w:rsid w:val="00577DFC"/>
    <w:rsid w:val="00580519"/>
    <w:rsid w:val="0058059F"/>
    <w:rsid w:val="00580793"/>
    <w:rsid w:val="005808B6"/>
    <w:rsid w:val="00580A1C"/>
    <w:rsid w:val="00580AD8"/>
    <w:rsid w:val="00580CAB"/>
    <w:rsid w:val="00580CF4"/>
    <w:rsid w:val="00581470"/>
    <w:rsid w:val="00581628"/>
    <w:rsid w:val="005819EB"/>
    <w:rsid w:val="00581B62"/>
    <w:rsid w:val="00581B94"/>
    <w:rsid w:val="00581BAD"/>
    <w:rsid w:val="00581D62"/>
    <w:rsid w:val="00581D9F"/>
    <w:rsid w:val="00581F1B"/>
    <w:rsid w:val="00582087"/>
    <w:rsid w:val="0058208F"/>
    <w:rsid w:val="00582691"/>
    <w:rsid w:val="00582B4C"/>
    <w:rsid w:val="00582C71"/>
    <w:rsid w:val="00582F21"/>
    <w:rsid w:val="00582FD5"/>
    <w:rsid w:val="00582FE3"/>
    <w:rsid w:val="005831DD"/>
    <w:rsid w:val="00583204"/>
    <w:rsid w:val="00583CC2"/>
    <w:rsid w:val="00583E51"/>
    <w:rsid w:val="00584295"/>
    <w:rsid w:val="00584320"/>
    <w:rsid w:val="00584B1B"/>
    <w:rsid w:val="00584E34"/>
    <w:rsid w:val="0058538C"/>
    <w:rsid w:val="00585484"/>
    <w:rsid w:val="0058597D"/>
    <w:rsid w:val="00585B0D"/>
    <w:rsid w:val="00586462"/>
    <w:rsid w:val="0058668C"/>
    <w:rsid w:val="00586A28"/>
    <w:rsid w:val="00586DE6"/>
    <w:rsid w:val="00587229"/>
    <w:rsid w:val="00587503"/>
    <w:rsid w:val="00587E1B"/>
    <w:rsid w:val="00587F7F"/>
    <w:rsid w:val="0059023F"/>
    <w:rsid w:val="005902FD"/>
    <w:rsid w:val="005903B3"/>
    <w:rsid w:val="00590DF9"/>
    <w:rsid w:val="00590E41"/>
    <w:rsid w:val="00590E5C"/>
    <w:rsid w:val="00590E8D"/>
    <w:rsid w:val="005914DA"/>
    <w:rsid w:val="00591511"/>
    <w:rsid w:val="00591AF6"/>
    <w:rsid w:val="00591D5D"/>
    <w:rsid w:val="00591E50"/>
    <w:rsid w:val="00592026"/>
    <w:rsid w:val="00592331"/>
    <w:rsid w:val="005924EC"/>
    <w:rsid w:val="005925B8"/>
    <w:rsid w:val="00592906"/>
    <w:rsid w:val="005929DA"/>
    <w:rsid w:val="00592CDA"/>
    <w:rsid w:val="0059331A"/>
    <w:rsid w:val="00593A72"/>
    <w:rsid w:val="00593DAF"/>
    <w:rsid w:val="00594330"/>
    <w:rsid w:val="00594344"/>
    <w:rsid w:val="005946ED"/>
    <w:rsid w:val="00594722"/>
    <w:rsid w:val="00594C54"/>
    <w:rsid w:val="00594C7F"/>
    <w:rsid w:val="00595479"/>
    <w:rsid w:val="00595837"/>
    <w:rsid w:val="00595A8C"/>
    <w:rsid w:val="00595C2C"/>
    <w:rsid w:val="00596524"/>
    <w:rsid w:val="00596BBA"/>
    <w:rsid w:val="0059717E"/>
    <w:rsid w:val="00597386"/>
    <w:rsid w:val="005975C4"/>
    <w:rsid w:val="00597815"/>
    <w:rsid w:val="00597B2D"/>
    <w:rsid w:val="00597ED8"/>
    <w:rsid w:val="005A0365"/>
    <w:rsid w:val="005A0921"/>
    <w:rsid w:val="005A0D04"/>
    <w:rsid w:val="005A10D0"/>
    <w:rsid w:val="005A12A9"/>
    <w:rsid w:val="005A17AE"/>
    <w:rsid w:val="005A182D"/>
    <w:rsid w:val="005A19A3"/>
    <w:rsid w:val="005A1D96"/>
    <w:rsid w:val="005A2066"/>
    <w:rsid w:val="005A241E"/>
    <w:rsid w:val="005A26F9"/>
    <w:rsid w:val="005A2821"/>
    <w:rsid w:val="005A2974"/>
    <w:rsid w:val="005A2B20"/>
    <w:rsid w:val="005A2B26"/>
    <w:rsid w:val="005A34D5"/>
    <w:rsid w:val="005A38E1"/>
    <w:rsid w:val="005A3943"/>
    <w:rsid w:val="005A470F"/>
    <w:rsid w:val="005A4904"/>
    <w:rsid w:val="005A4965"/>
    <w:rsid w:val="005A5081"/>
    <w:rsid w:val="005A50BA"/>
    <w:rsid w:val="005A510D"/>
    <w:rsid w:val="005A515A"/>
    <w:rsid w:val="005A5B21"/>
    <w:rsid w:val="005A5D06"/>
    <w:rsid w:val="005A6A4C"/>
    <w:rsid w:val="005A704D"/>
    <w:rsid w:val="005A70AC"/>
    <w:rsid w:val="005A7239"/>
    <w:rsid w:val="005A72E3"/>
    <w:rsid w:val="005A7FA9"/>
    <w:rsid w:val="005B0F3D"/>
    <w:rsid w:val="005B151E"/>
    <w:rsid w:val="005B15D1"/>
    <w:rsid w:val="005B1E64"/>
    <w:rsid w:val="005B2796"/>
    <w:rsid w:val="005B28E9"/>
    <w:rsid w:val="005B3105"/>
    <w:rsid w:val="005B3359"/>
    <w:rsid w:val="005B388F"/>
    <w:rsid w:val="005B3C6D"/>
    <w:rsid w:val="005B3CEB"/>
    <w:rsid w:val="005B4045"/>
    <w:rsid w:val="005B4175"/>
    <w:rsid w:val="005B4977"/>
    <w:rsid w:val="005B4D46"/>
    <w:rsid w:val="005B4F0F"/>
    <w:rsid w:val="005B5168"/>
    <w:rsid w:val="005B535E"/>
    <w:rsid w:val="005B59E2"/>
    <w:rsid w:val="005B5CBB"/>
    <w:rsid w:val="005B609E"/>
    <w:rsid w:val="005B60D3"/>
    <w:rsid w:val="005B620A"/>
    <w:rsid w:val="005B6658"/>
    <w:rsid w:val="005B6BB5"/>
    <w:rsid w:val="005B6CA6"/>
    <w:rsid w:val="005B6DF6"/>
    <w:rsid w:val="005B6E4B"/>
    <w:rsid w:val="005B7665"/>
    <w:rsid w:val="005B7B7D"/>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47FB"/>
    <w:rsid w:val="005C4873"/>
    <w:rsid w:val="005C4B5E"/>
    <w:rsid w:val="005C4BFB"/>
    <w:rsid w:val="005C5046"/>
    <w:rsid w:val="005C545F"/>
    <w:rsid w:val="005C57B4"/>
    <w:rsid w:val="005C5870"/>
    <w:rsid w:val="005C589C"/>
    <w:rsid w:val="005C5903"/>
    <w:rsid w:val="005C5AB0"/>
    <w:rsid w:val="005C602F"/>
    <w:rsid w:val="005C6500"/>
    <w:rsid w:val="005C6A03"/>
    <w:rsid w:val="005C6F44"/>
    <w:rsid w:val="005C725C"/>
    <w:rsid w:val="005C7BFE"/>
    <w:rsid w:val="005C7C23"/>
    <w:rsid w:val="005C7F3D"/>
    <w:rsid w:val="005D0347"/>
    <w:rsid w:val="005D03AA"/>
    <w:rsid w:val="005D059A"/>
    <w:rsid w:val="005D07C5"/>
    <w:rsid w:val="005D0CC3"/>
    <w:rsid w:val="005D143E"/>
    <w:rsid w:val="005D21B7"/>
    <w:rsid w:val="005D22A1"/>
    <w:rsid w:val="005D24BB"/>
    <w:rsid w:val="005D2712"/>
    <w:rsid w:val="005D285C"/>
    <w:rsid w:val="005D2A88"/>
    <w:rsid w:val="005D2C2B"/>
    <w:rsid w:val="005D2D48"/>
    <w:rsid w:val="005D2DAD"/>
    <w:rsid w:val="005D3171"/>
    <w:rsid w:val="005D33A5"/>
    <w:rsid w:val="005D37DC"/>
    <w:rsid w:val="005D37F1"/>
    <w:rsid w:val="005D3AEC"/>
    <w:rsid w:val="005D3BEF"/>
    <w:rsid w:val="005D4302"/>
    <w:rsid w:val="005D4C88"/>
    <w:rsid w:val="005D5086"/>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286A"/>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E1B"/>
    <w:rsid w:val="005F0108"/>
    <w:rsid w:val="005F0291"/>
    <w:rsid w:val="005F07AA"/>
    <w:rsid w:val="005F0C4F"/>
    <w:rsid w:val="005F0DA0"/>
    <w:rsid w:val="005F0ECC"/>
    <w:rsid w:val="005F1705"/>
    <w:rsid w:val="005F1DFD"/>
    <w:rsid w:val="005F21A5"/>
    <w:rsid w:val="005F2448"/>
    <w:rsid w:val="005F2470"/>
    <w:rsid w:val="005F26DD"/>
    <w:rsid w:val="005F28C6"/>
    <w:rsid w:val="005F2DFF"/>
    <w:rsid w:val="005F2EA8"/>
    <w:rsid w:val="005F34A4"/>
    <w:rsid w:val="005F34F6"/>
    <w:rsid w:val="005F353D"/>
    <w:rsid w:val="005F365A"/>
    <w:rsid w:val="005F3731"/>
    <w:rsid w:val="005F3F16"/>
    <w:rsid w:val="005F400B"/>
    <w:rsid w:val="005F4320"/>
    <w:rsid w:val="005F4A51"/>
    <w:rsid w:val="005F50FF"/>
    <w:rsid w:val="005F52CC"/>
    <w:rsid w:val="005F5663"/>
    <w:rsid w:val="005F57FB"/>
    <w:rsid w:val="005F5E6F"/>
    <w:rsid w:val="005F6146"/>
    <w:rsid w:val="005F6510"/>
    <w:rsid w:val="005F6816"/>
    <w:rsid w:val="005F681C"/>
    <w:rsid w:val="005F6BD4"/>
    <w:rsid w:val="005F7088"/>
    <w:rsid w:val="005F7188"/>
    <w:rsid w:val="005F763C"/>
    <w:rsid w:val="005F78D3"/>
    <w:rsid w:val="005F7985"/>
    <w:rsid w:val="00600420"/>
    <w:rsid w:val="00600B46"/>
    <w:rsid w:val="00600CEB"/>
    <w:rsid w:val="006019F1"/>
    <w:rsid w:val="00601D91"/>
    <w:rsid w:val="00601ED7"/>
    <w:rsid w:val="006023FB"/>
    <w:rsid w:val="00602A78"/>
    <w:rsid w:val="00602A84"/>
    <w:rsid w:val="00602AA1"/>
    <w:rsid w:val="00602BD1"/>
    <w:rsid w:val="00602C00"/>
    <w:rsid w:val="00602CB1"/>
    <w:rsid w:val="00602D43"/>
    <w:rsid w:val="00602EF4"/>
    <w:rsid w:val="00603123"/>
    <w:rsid w:val="006031EC"/>
    <w:rsid w:val="006036F4"/>
    <w:rsid w:val="00603A82"/>
    <w:rsid w:val="00604151"/>
    <w:rsid w:val="00604249"/>
    <w:rsid w:val="00604367"/>
    <w:rsid w:val="006043A1"/>
    <w:rsid w:val="006044BE"/>
    <w:rsid w:val="0060475F"/>
    <w:rsid w:val="006047DF"/>
    <w:rsid w:val="00604804"/>
    <w:rsid w:val="006048AD"/>
    <w:rsid w:val="00604DE1"/>
    <w:rsid w:val="00604ECB"/>
    <w:rsid w:val="0060547F"/>
    <w:rsid w:val="006055E5"/>
    <w:rsid w:val="006058A9"/>
    <w:rsid w:val="00605BE3"/>
    <w:rsid w:val="00605C69"/>
    <w:rsid w:val="006060C2"/>
    <w:rsid w:val="0060661F"/>
    <w:rsid w:val="00606A26"/>
    <w:rsid w:val="0060740B"/>
    <w:rsid w:val="006076A8"/>
    <w:rsid w:val="00607D81"/>
    <w:rsid w:val="00607D99"/>
    <w:rsid w:val="006102A1"/>
    <w:rsid w:val="006102AB"/>
    <w:rsid w:val="00610468"/>
    <w:rsid w:val="00610747"/>
    <w:rsid w:val="00610787"/>
    <w:rsid w:val="00610A87"/>
    <w:rsid w:val="00610E03"/>
    <w:rsid w:val="00611030"/>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7285"/>
    <w:rsid w:val="00617661"/>
    <w:rsid w:val="00617678"/>
    <w:rsid w:val="00617866"/>
    <w:rsid w:val="00620044"/>
    <w:rsid w:val="006208E5"/>
    <w:rsid w:val="0062152A"/>
    <w:rsid w:val="00621566"/>
    <w:rsid w:val="00621753"/>
    <w:rsid w:val="00622322"/>
    <w:rsid w:val="006223BF"/>
    <w:rsid w:val="006225AD"/>
    <w:rsid w:val="006226E8"/>
    <w:rsid w:val="00622DCF"/>
    <w:rsid w:val="00623125"/>
    <w:rsid w:val="0062343A"/>
    <w:rsid w:val="006234D7"/>
    <w:rsid w:val="00623583"/>
    <w:rsid w:val="00623A5F"/>
    <w:rsid w:val="00623BB1"/>
    <w:rsid w:val="00624343"/>
    <w:rsid w:val="006244C0"/>
    <w:rsid w:val="0062462F"/>
    <w:rsid w:val="00624718"/>
    <w:rsid w:val="0062473A"/>
    <w:rsid w:val="0062489F"/>
    <w:rsid w:val="00624BA1"/>
    <w:rsid w:val="00625433"/>
    <w:rsid w:val="0062558C"/>
    <w:rsid w:val="00625768"/>
    <w:rsid w:val="0062598C"/>
    <w:rsid w:val="00625DDB"/>
    <w:rsid w:val="00626082"/>
    <w:rsid w:val="0062636D"/>
    <w:rsid w:val="00626587"/>
    <w:rsid w:val="0062661B"/>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B87"/>
    <w:rsid w:val="006310AE"/>
    <w:rsid w:val="006315D8"/>
    <w:rsid w:val="00631625"/>
    <w:rsid w:val="00631762"/>
    <w:rsid w:val="00632123"/>
    <w:rsid w:val="00632196"/>
    <w:rsid w:val="00632340"/>
    <w:rsid w:val="0063253C"/>
    <w:rsid w:val="00632BA2"/>
    <w:rsid w:val="00632BBE"/>
    <w:rsid w:val="00632D20"/>
    <w:rsid w:val="00633314"/>
    <w:rsid w:val="00633390"/>
    <w:rsid w:val="00633469"/>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A7B"/>
    <w:rsid w:val="006362F9"/>
    <w:rsid w:val="006363DF"/>
    <w:rsid w:val="006369A9"/>
    <w:rsid w:val="006370F6"/>
    <w:rsid w:val="006373CD"/>
    <w:rsid w:val="0063751F"/>
    <w:rsid w:val="00637D86"/>
    <w:rsid w:val="00637E57"/>
    <w:rsid w:val="00637ECD"/>
    <w:rsid w:val="00640036"/>
    <w:rsid w:val="00640436"/>
    <w:rsid w:val="00640914"/>
    <w:rsid w:val="00640FC0"/>
    <w:rsid w:val="00641283"/>
    <w:rsid w:val="006412B3"/>
    <w:rsid w:val="006413CF"/>
    <w:rsid w:val="00641413"/>
    <w:rsid w:val="00641465"/>
    <w:rsid w:val="0064165D"/>
    <w:rsid w:val="006419BF"/>
    <w:rsid w:val="00641C0F"/>
    <w:rsid w:val="006423CA"/>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58B"/>
    <w:rsid w:val="006449CE"/>
    <w:rsid w:val="00644A21"/>
    <w:rsid w:val="00644BE5"/>
    <w:rsid w:val="006451F3"/>
    <w:rsid w:val="0064544A"/>
    <w:rsid w:val="0064545F"/>
    <w:rsid w:val="006457ED"/>
    <w:rsid w:val="00645815"/>
    <w:rsid w:val="00645A21"/>
    <w:rsid w:val="00645C9F"/>
    <w:rsid w:val="00646305"/>
    <w:rsid w:val="0064633D"/>
    <w:rsid w:val="00646864"/>
    <w:rsid w:val="00646A51"/>
    <w:rsid w:val="00646A6C"/>
    <w:rsid w:val="006475E6"/>
    <w:rsid w:val="0064787B"/>
    <w:rsid w:val="00647DB3"/>
    <w:rsid w:val="00647F35"/>
    <w:rsid w:val="00650287"/>
    <w:rsid w:val="006506C7"/>
    <w:rsid w:val="006508B9"/>
    <w:rsid w:val="00650CA1"/>
    <w:rsid w:val="0065101D"/>
    <w:rsid w:val="00651420"/>
    <w:rsid w:val="0065143C"/>
    <w:rsid w:val="00651769"/>
    <w:rsid w:val="00651854"/>
    <w:rsid w:val="0065251A"/>
    <w:rsid w:val="00652578"/>
    <w:rsid w:val="00652BB9"/>
    <w:rsid w:val="00653267"/>
    <w:rsid w:val="006535B8"/>
    <w:rsid w:val="00653626"/>
    <w:rsid w:val="006538ED"/>
    <w:rsid w:val="006539E8"/>
    <w:rsid w:val="00653A13"/>
    <w:rsid w:val="00653EEA"/>
    <w:rsid w:val="00654181"/>
    <w:rsid w:val="00654A07"/>
    <w:rsid w:val="00654E75"/>
    <w:rsid w:val="00655454"/>
    <w:rsid w:val="006556FB"/>
    <w:rsid w:val="006559F4"/>
    <w:rsid w:val="00656307"/>
    <w:rsid w:val="00656505"/>
    <w:rsid w:val="006565D8"/>
    <w:rsid w:val="0065660C"/>
    <w:rsid w:val="00656B96"/>
    <w:rsid w:val="00656ED0"/>
    <w:rsid w:val="00656EF1"/>
    <w:rsid w:val="00656F79"/>
    <w:rsid w:val="0065736B"/>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2012"/>
    <w:rsid w:val="00662134"/>
    <w:rsid w:val="006624B2"/>
    <w:rsid w:val="00662543"/>
    <w:rsid w:val="0066254A"/>
    <w:rsid w:val="006626D0"/>
    <w:rsid w:val="006627BB"/>
    <w:rsid w:val="006628E9"/>
    <w:rsid w:val="00662CE3"/>
    <w:rsid w:val="00662D88"/>
    <w:rsid w:val="006636F3"/>
    <w:rsid w:val="006641F4"/>
    <w:rsid w:val="00664DF3"/>
    <w:rsid w:val="00664E8C"/>
    <w:rsid w:val="00664F35"/>
    <w:rsid w:val="006651C4"/>
    <w:rsid w:val="00665259"/>
    <w:rsid w:val="006652E4"/>
    <w:rsid w:val="00665421"/>
    <w:rsid w:val="0066569B"/>
    <w:rsid w:val="006657E0"/>
    <w:rsid w:val="00665A30"/>
    <w:rsid w:val="00665BBD"/>
    <w:rsid w:val="00665F7C"/>
    <w:rsid w:val="0066609D"/>
    <w:rsid w:val="0066699A"/>
    <w:rsid w:val="006669A6"/>
    <w:rsid w:val="00666DFC"/>
    <w:rsid w:val="00666EBB"/>
    <w:rsid w:val="00667326"/>
    <w:rsid w:val="0066779E"/>
    <w:rsid w:val="00667859"/>
    <w:rsid w:val="006678D5"/>
    <w:rsid w:val="00667FAF"/>
    <w:rsid w:val="0066BCB3"/>
    <w:rsid w:val="0067020F"/>
    <w:rsid w:val="0067096D"/>
    <w:rsid w:val="00670AF4"/>
    <w:rsid w:val="00670B85"/>
    <w:rsid w:val="00671003"/>
    <w:rsid w:val="0067194C"/>
    <w:rsid w:val="006719E0"/>
    <w:rsid w:val="00672525"/>
    <w:rsid w:val="0067269D"/>
    <w:rsid w:val="006726E7"/>
    <w:rsid w:val="0067285D"/>
    <w:rsid w:val="00672988"/>
    <w:rsid w:val="006729B9"/>
    <w:rsid w:val="00672C64"/>
    <w:rsid w:val="00672F6E"/>
    <w:rsid w:val="00673A30"/>
    <w:rsid w:val="00673CEF"/>
    <w:rsid w:val="00673E93"/>
    <w:rsid w:val="006740D3"/>
    <w:rsid w:val="006745FD"/>
    <w:rsid w:val="006746DF"/>
    <w:rsid w:val="00674DA9"/>
    <w:rsid w:val="00674E6A"/>
    <w:rsid w:val="00675118"/>
    <w:rsid w:val="006759D1"/>
    <w:rsid w:val="00675CF4"/>
    <w:rsid w:val="00675EFA"/>
    <w:rsid w:val="006766E0"/>
    <w:rsid w:val="00676A64"/>
    <w:rsid w:val="00677489"/>
    <w:rsid w:val="00677524"/>
    <w:rsid w:val="00677925"/>
    <w:rsid w:val="006779BF"/>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D22"/>
    <w:rsid w:val="00681FDC"/>
    <w:rsid w:val="006823A0"/>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F66"/>
    <w:rsid w:val="006850B8"/>
    <w:rsid w:val="006859DB"/>
    <w:rsid w:val="00685A4B"/>
    <w:rsid w:val="00685F2F"/>
    <w:rsid w:val="00685FCE"/>
    <w:rsid w:val="0068678D"/>
    <w:rsid w:val="00686A58"/>
    <w:rsid w:val="00686F80"/>
    <w:rsid w:val="006873C9"/>
    <w:rsid w:val="00687488"/>
    <w:rsid w:val="00687F7B"/>
    <w:rsid w:val="00687FC4"/>
    <w:rsid w:val="0069023F"/>
    <w:rsid w:val="0069041C"/>
    <w:rsid w:val="006904ED"/>
    <w:rsid w:val="006907FE"/>
    <w:rsid w:val="00690992"/>
    <w:rsid w:val="00690ACC"/>
    <w:rsid w:val="00690B36"/>
    <w:rsid w:val="00690D70"/>
    <w:rsid w:val="00690E2E"/>
    <w:rsid w:val="0069102D"/>
    <w:rsid w:val="006915D7"/>
    <w:rsid w:val="00691890"/>
    <w:rsid w:val="00691E09"/>
    <w:rsid w:val="00691FC6"/>
    <w:rsid w:val="006920BC"/>
    <w:rsid w:val="00692282"/>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817"/>
    <w:rsid w:val="00693A23"/>
    <w:rsid w:val="00693CBE"/>
    <w:rsid w:val="00693F09"/>
    <w:rsid w:val="00694113"/>
    <w:rsid w:val="00694238"/>
    <w:rsid w:val="006947DD"/>
    <w:rsid w:val="006947FD"/>
    <w:rsid w:val="006948EF"/>
    <w:rsid w:val="00695635"/>
    <w:rsid w:val="00695669"/>
    <w:rsid w:val="0069672C"/>
    <w:rsid w:val="006967E3"/>
    <w:rsid w:val="00696D63"/>
    <w:rsid w:val="00696D73"/>
    <w:rsid w:val="0069710E"/>
    <w:rsid w:val="006971B8"/>
    <w:rsid w:val="00697223"/>
    <w:rsid w:val="00697422"/>
    <w:rsid w:val="00697AEC"/>
    <w:rsid w:val="006A032F"/>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1"/>
    <w:rsid w:val="006A4D1D"/>
    <w:rsid w:val="006A5474"/>
    <w:rsid w:val="006A564B"/>
    <w:rsid w:val="006A66CE"/>
    <w:rsid w:val="006A6AA5"/>
    <w:rsid w:val="006A6C09"/>
    <w:rsid w:val="006A7BEA"/>
    <w:rsid w:val="006B040F"/>
    <w:rsid w:val="006B05B5"/>
    <w:rsid w:val="006B0936"/>
    <w:rsid w:val="006B0998"/>
    <w:rsid w:val="006B0AE6"/>
    <w:rsid w:val="006B0E13"/>
    <w:rsid w:val="006B0ED9"/>
    <w:rsid w:val="006B12BA"/>
    <w:rsid w:val="006B1545"/>
    <w:rsid w:val="006B1CDB"/>
    <w:rsid w:val="006B1E21"/>
    <w:rsid w:val="006B232E"/>
    <w:rsid w:val="006B239F"/>
    <w:rsid w:val="006B23B9"/>
    <w:rsid w:val="006B23F1"/>
    <w:rsid w:val="006B29CC"/>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D50"/>
    <w:rsid w:val="006B564D"/>
    <w:rsid w:val="006B5703"/>
    <w:rsid w:val="006B5846"/>
    <w:rsid w:val="006B5987"/>
    <w:rsid w:val="006B5DB4"/>
    <w:rsid w:val="006B5F87"/>
    <w:rsid w:val="006B601A"/>
    <w:rsid w:val="006B6307"/>
    <w:rsid w:val="006B6D5E"/>
    <w:rsid w:val="006B6EE6"/>
    <w:rsid w:val="006B7048"/>
    <w:rsid w:val="006B73BB"/>
    <w:rsid w:val="006B75F0"/>
    <w:rsid w:val="006B7D76"/>
    <w:rsid w:val="006B7E51"/>
    <w:rsid w:val="006C000A"/>
    <w:rsid w:val="006C03B5"/>
    <w:rsid w:val="006C0537"/>
    <w:rsid w:val="006C05F5"/>
    <w:rsid w:val="006C09C0"/>
    <w:rsid w:val="006C0CCF"/>
    <w:rsid w:val="006C0F1A"/>
    <w:rsid w:val="006C1445"/>
    <w:rsid w:val="006C15D3"/>
    <w:rsid w:val="006C1C0E"/>
    <w:rsid w:val="006C1D1B"/>
    <w:rsid w:val="006C2197"/>
    <w:rsid w:val="006C25DD"/>
    <w:rsid w:val="006C2753"/>
    <w:rsid w:val="006C276E"/>
    <w:rsid w:val="006C2AA1"/>
    <w:rsid w:val="006C2C78"/>
    <w:rsid w:val="006C2E85"/>
    <w:rsid w:val="006C2F0E"/>
    <w:rsid w:val="006C33F5"/>
    <w:rsid w:val="006C394A"/>
    <w:rsid w:val="006C3AB0"/>
    <w:rsid w:val="006C3B56"/>
    <w:rsid w:val="006C43AF"/>
    <w:rsid w:val="006C4563"/>
    <w:rsid w:val="006C45C1"/>
    <w:rsid w:val="006C4930"/>
    <w:rsid w:val="006C4A4A"/>
    <w:rsid w:val="006C4C6B"/>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798"/>
    <w:rsid w:val="006C6B36"/>
    <w:rsid w:val="006C6DF7"/>
    <w:rsid w:val="006C7430"/>
    <w:rsid w:val="006C752A"/>
    <w:rsid w:val="006C7926"/>
    <w:rsid w:val="006C7D0F"/>
    <w:rsid w:val="006C7E6D"/>
    <w:rsid w:val="006D0826"/>
    <w:rsid w:val="006D0B73"/>
    <w:rsid w:val="006D0C12"/>
    <w:rsid w:val="006D0CC3"/>
    <w:rsid w:val="006D0E58"/>
    <w:rsid w:val="006D0E6B"/>
    <w:rsid w:val="006D1254"/>
    <w:rsid w:val="006D139D"/>
    <w:rsid w:val="006D16E3"/>
    <w:rsid w:val="006D2061"/>
    <w:rsid w:val="006D2146"/>
    <w:rsid w:val="006D25DC"/>
    <w:rsid w:val="006D2A60"/>
    <w:rsid w:val="006D2B82"/>
    <w:rsid w:val="006D30D5"/>
    <w:rsid w:val="006D348A"/>
    <w:rsid w:val="006D38F8"/>
    <w:rsid w:val="006D3A34"/>
    <w:rsid w:val="006D3BCA"/>
    <w:rsid w:val="006D3C71"/>
    <w:rsid w:val="006D3FE7"/>
    <w:rsid w:val="006D444C"/>
    <w:rsid w:val="006D4790"/>
    <w:rsid w:val="006D5240"/>
    <w:rsid w:val="006D5697"/>
    <w:rsid w:val="006D5754"/>
    <w:rsid w:val="006D6281"/>
    <w:rsid w:val="006D632E"/>
    <w:rsid w:val="006D642B"/>
    <w:rsid w:val="006D6507"/>
    <w:rsid w:val="006D66E6"/>
    <w:rsid w:val="006D6BAC"/>
    <w:rsid w:val="006D6C1C"/>
    <w:rsid w:val="006D6C7C"/>
    <w:rsid w:val="006D6C9C"/>
    <w:rsid w:val="006D6DA8"/>
    <w:rsid w:val="006D6F4C"/>
    <w:rsid w:val="006D70E1"/>
    <w:rsid w:val="006D75AC"/>
    <w:rsid w:val="006D7D2B"/>
    <w:rsid w:val="006D7E9B"/>
    <w:rsid w:val="006E07CC"/>
    <w:rsid w:val="006E083F"/>
    <w:rsid w:val="006E093E"/>
    <w:rsid w:val="006E094A"/>
    <w:rsid w:val="006E12B1"/>
    <w:rsid w:val="006E12B4"/>
    <w:rsid w:val="006E13D1"/>
    <w:rsid w:val="006E1CCF"/>
    <w:rsid w:val="006E1ED3"/>
    <w:rsid w:val="006E20BC"/>
    <w:rsid w:val="006E21B8"/>
    <w:rsid w:val="006E27D4"/>
    <w:rsid w:val="006E3803"/>
    <w:rsid w:val="006E3931"/>
    <w:rsid w:val="006E40CF"/>
    <w:rsid w:val="006E428C"/>
    <w:rsid w:val="006E4399"/>
    <w:rsid w:val="006E45CC"/>
    <w:rsid w:val="006E47BC"/>
    <w:rsid w:val="006E48DD"/>
    <w:rsid w:val="006E49AF"/>
    <w:rsid w:val="006E4AF4"/>
    <w:rsid w:val="006E4D0C"/>
    <w:rsid w:val="006E4D1B"/>
    <w:rsid w:val="006E5AD2"/>
    <w:rsid w:val="006E5B78"/>
    <w:rsid w:val="006E5D29"/>
    <w:rsid w:val="006E5EC9"/>
    <w:rsid w:val="006E5FB4"/>
    <w:rsid w:val="006E66E3"/>
    <w:rsid w:val="006E67BA"/>
    <w:rsid w:val="006E699D"/>
    <w:rsid w:val="006E6BA3"/>
    <w:rsid w:val="006E6BCA"/>
    <w:rsid w:val="006E6C1E"/>
    <w:rsid w:val="006E714C"/>
    <w:rsid w:val="006E7418"/>
    <w:rsid w:val="006E756F"/>
    <w:rsid w:val="006E7AC6"/>
    <w:rsid w:val="006E7BE0"/>
    <w:rsid w:val="006F0518"/>
    <w:rsid w:val="006F10D3"/>
    <w:rsid w:val="006F1116"/>
    <w:rsid w:val="006F122B"/>
    <w:rsid w:val="006F13D0"/>
    <w:rsid w:val="006F1CFA"/>
    <w:rsid w:val="006F2093"/>
    <w:rsid w:val="006F2422"/>
    <w:rsid w:val="006F2654"/>
    <w:rsid w:val="006F26F3"/>
    <w:rsid w:val="006F27B7"/>
    <w:rsid w:val="006F2B71"/>
    <w:rsid w:val="006F3196"/>
    <w:rsid w:val="006F3A31"/>
    <w:rsid w:val="006F3C3A"/>
    <w:rsid w:val="006F3C54"/>
    <w:rsid w:val="006F3F79"/>
    <w:rsid w:val="006F418C"/>
    <w:rsid w:val="006F485D"/>
    <w:rsid w:val="006F491E"/>
    <w:rsid w:val="006F4F8B"/>
    <w:rsid w:val="006F5318"/>
    <w:rsid w:val="006F5B39"/>
    <w:rsid w:val="006F5E64"/>
    <w:rsid w:val="006F60DE"/>
    <w:rsid w:val="006F64FC"/>
    <w:rsid w:val="006F65FB"/>
    <w:rsid w:val="006F660D"/>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5C6"/>
    <w:rsid w:val="00701645"/>
    <w:rsid w:val="00701BBC"/>
    <w:rsid w:val="00702025"/>
    <w:rsid w:val="00702154"/>
    <w:rsid w:val="0070219A"/>
    <w:rsid w:val="00702AC9"/>
    <w:rsid w:val="00702D5A"/>
    <w:rsid w:val="00702EF7"/>
    <w:rsid w:val="00703571"/>
    <w:rsid w:val="00703989"/>
    <w:rsid w:val="007039CE"/>
    <w:rsid w:val="007039D2"/>
    <w:rsid w:val="00703C28"/>
    <w:rsid w:val="00703FB7"/>
    <w:rsid w:val="00703FC2"/>
    <w:rsid w:val="007042E1"/>
    <w:rsid w:val="007042E9"/>
    <w:rsid w:val="00704495"/>
    <w:rsid w:val="0070466F"/>
    <w:rsid w:val="00704A80"/>
    <w:rsid w:val="00705245"/>
    <w:rsid w:val="00705481"/>
    <w:rsid w:val="00705B0D"/>
    <w:rsid w:val="0070624B"/>
    <w:rsid w:val="00706A83"/>
    <w:rsid w:val="00706D90"/>
    <w:rsid w:val="007100DE"/>
    <w:rsid w:val="0071030D"/>
    <w:rsid w:val="007103B3"/>
    <w:rsid w:val="007108D3"/>
    <w:rsid w:val="00710EE1"/>
    <w:rsid w:val="00710F38"/>
    <w:rsid w:val="0071118B"/>
    <w:rsid w:val="007115F3"/>
    <w:rsid w:val="00711C66"/>
    <w:rsid w:val="00711D2E"/>
    <w:rsid w:val="00711E13"/>
    <w:rsid w:val="00712596"/>
    <w:rsid w:val="00712710"/>
    <w:rsid w:val="007127F0"/>
    <w:rsid w:val="00712989"/>
    <w:rsid w:val="00712D1E"/>
    <w:rsid w:val="00712EDA"/>
    <w:rsid w:val="00713288"/>
    <w:rsid w:val="00713430"/>
    <w:rsid w:val="00713557"/>
    <w:rsid w:val="007136D0"/>
    <w:rsid w:val="00713700"/>
    <w:rsid w:val="00713703"/>
    <w:rsid w:val="00713F2D"/>
    <w:rsid w:val="007143F5"/>
    <w:rsid w:val="00714783"/>
    <w:rsid w:val="00714B3D"/>
    <w:rsid w:val="00714B47"/>
    <w:rsid w:val="00715142"/>
    <w:rsid w:val="00715564"/>
    <w:rsid w:val="007155A9"/>
    <w:rsid w:val="007158E1"/>
    <w:rsid w:val="00715A3F"/>
    <w:rsid w:val="00715B93"/>
    <w:rsid w:val="00715D4A"/>
    <w:rsid w:val="007165B1"/>
    <w:rsid w:val="00716AA6"/>
    <w:rsid w:val="00716FDF"/>
    <w:rsid w:val="0071705B"/>
    <w:rsid w:val="00717B78"/>
    <w:rsid w:val="00720011"/>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432C"/>
    <w:rsid w:val="007245AF"/>
    <w:rsid w:val="00724900"/>
    <w:rsid w:val="0072490A"/>
    <w:rsid w:val="00724B64"/>
    <w:rsid w:val="00724E57"/>
    <w:rsid w:val="007250C5"/>
    <w:rsid w:val="0072517D"/>
    <w:rsid w:val="007251E2"/>
    <w:rsid w:val="00725329"/>
    <w:rsid w:val="0072539C"/>
    <w:rsid w:val="00725D26"/>
    <w:rsid w:val="00726437"/>
    <w:rsid w:val="007265F2"/>
    <w:rsid w:val="00726878"/>
    <w:rsid w:val="00726890"/>
    <w:rsid w:val="00726CA5"/>
    <w:rsid w:val="0072724B"/>
    <w:rsid w:val="007275B9"/>
    <w:rsid w:val="00727763"/>
    <w:rsid w:val="007304F6"/>
    <w:rsid w:val="00730687"/>
    <w:rsid w:val="00730828"/>
    <w:rsid w:val="00730955"/>
    <w:rsid w:val="00730991"/>
    <w:rsid w:val="00730A8B"/>
    <w:rsid w:val="00730CFD"/>
    <w:rsid w:val="00730D43"/>
    <w:rsid w:val="0073124A"/>
    <w:rsid w:val="007314BC"/>
    <w:rsid w:val="007319C5"/>
    <w:rsid w:val="007319DB"/>
    <w:rsid w:val="007319ED"/>
    <w:rsid w:val="00731B29"/>
    <w:rsid w:val="00731B79"/>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A05"/>
    <w:rsid w:val="00734ECC"/>
    <w:rsid w:val="00735A02"/>
    <w:rsid w:val="00735C6F"/>
    <w:rsid w:val="0073623E"/>
    <w:rsid w:val="007362A4"/>
    <w:rsid w:val="00736A43"/>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DB"/>
    <w:rsid w:val="00742B44"/>
    <w:rsid w:val="00742BFA"/>
    <w:rsid w:val="00743195"/>
    <w:rsid w:val="007431C8"/>
    <w:rsid w:val="00743674"/>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E91"/>
    <w:rsid w:val="00747EDD"/>
    <w:rsid w:val="00750941"/>
    <w:rsid w:val="007510E2"/>
    <w:rsid w:val="00751A0B"/>
    <w:rsid w:val="0075204B"/>
    <w:rsid w:val="0075208F"/>
    <w:rsid w:val="0075251B"/>
    <w:rsid w:val="00752B03"/>
    <w:rsid w:val="00752FF3"/>
    <w:rsid w:val="00753176"/>
    <w:rsid w:val="00753338"/>
    <w:rsid w:val="00753454"/>
    <w:rsid w:val="00753678"/>
    <w:rsid w:val="00753834"/>
    <w:rsid w:val="00753BB5"/>
    <w:rsid w:val="007544F1"/>
    <w:rsid w:val="00754C29"/>
    <w:rsid w:val="00754FBF"/>
    <w:rsid w:val="007552FD"/>
    <w:rsid w:val="00755438"/>
    <w:rsid w:val="007554D3"/>
    <w:rsid w:val="00755ABF"/>
    <w:rsid w:val="00755C12"/>
    <w:rsid w:val="00755E4A"/>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F0B"/>
    <w:rsid w:val="00760197"/>
    <w:rsid w:val="0076034C"/>
    <w:rsid w:val="0076116A"/>
    <w:rsid w:val="0076159D"/>
    <w:rsid w:val="007626D0"/>
    <w:rsid w:val="0076297D"/>
    <w:rsid w:val="00762CF0"/>
    <w:rsid w:val="00763491"/>
    <w:rsid w:val="00763B92"/>
    <w:rsid w:val="00764457"/>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8C3"/>
    <w:rsid w:val="007719A4"/>
    <w:rsid w:val="007719D1"/>
    <w:rsid w:val="00771D96"/>
    <w:rsid w:val="00771F17"/>
    <w:rsid w:val="0077211B"/>
    <w:rsid w:val="00772569"/>
    <w:rsid w:val="007725F1"/>
    <w:rsid w:val="00772DA8"/>
    <w:rsid w:val="00772E8C"/>
    <w:rsid w:val="00772FDB"/>
    <w:rsid w:val="0077316B"/>
    <w:rsid w:val="0077339A"/>
    <w:rsid w:val="0077344E"/>
    <w:rsid w:val="0077350E"/>
    <w:rsid w:val="007736D3"/>
    <w:rsid w:val="00773763"/>
    <w:rsid w:val="00773C3E"/>
    <w:rsid w:val="00773C78"/>
    <w:rsid w:val="00773DF9"/>
    <w:rsid w:val="00774358"/>
    <w:rsid w:val="0077437D"/>
    <w:rsid w:val="00774634"/>
    <w:rsid w:val="007748CC"/>
    <w:rsid w:val="00774979"/>
    <w:rsid w:val="00774BF2"/>
    <w:rsid w:val="0077500F"/>
    <w:rsid w:val="00775053"/>
    <w:rsid w:val="0077548E"/>
    <w:rsid w:val="00775AD4"/>
    <w:rsid w:val="0077631F"/>
    <w:rsid w:val="00776947"/>
    <w:rsid w:val="00776BEB"/>
    <w:rsid w:val="00776E7B"/>
    <w:rsid w:val="00777315"/>
    <w:rsid w:val="007773D2"/>
    <w:rsid w:val="0077791E"/>
    <w:rsid w:val="00777E71"/>
    <w:rsid w:val="00780079"/>
    <w:rsid w:val="007802E4"/>
    <w:rsid w:val="007803B0"/>
    <w:rsid w:val="007803D0"/>
    <w:rsid w:val="00780754"/>
    <w:rsid w:val="007807C3"/>
    <w:rsid w:val="00780809"/>
    <w:rsid w:val="007808A8"/>
    <w:rsid w:val="00780919"/>
    <w:rsid w:val="00780958"/>
    <w:rsid w:val="00780AAF"/>
    <w:rsid w:val="007811AB"/>
    <w:rsid w:val="007813E4"/>
    <w:rsid w:val="00781589"/>
    <w:rsid w:val="00781882"/>
    <w:rsid w:val="00781D26"/>
    <w:rsid w:val="007820D0"/>
    <w:rsid w:val="0078210D"/>
    <w:rsid w:val="007826C8"/>
    <w:rsid w:val="0078297A"/>
    <w:rsid w:val="00782B00"/>
    <w:rsid w:val="00782BC4"/>
    <w:rsid w:val="00782D76"/>
    <w:rsid w:val="00783142"/>
    <w:rsid w:val="00783E99"/>
    <w:rsid w:val="00783F82"/>
    <w:rsid w:val="00784190"/>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602"/>
    <w:rsid w:val="00787798"/>
    <w:rsid w:val="0079018D"/>
    <w:rsid w:val="007901DC"/>
    <w:rsid w:val="00791A00"/>
    <w:rsid w:val="00791C96"/>
    <w:rsid w:val="00791D1E"/>
    <w:rsid w:val="00791DDB"/>
    <w:rsid w:val="00791E85"/>
    <w:rsid w:val="007921E1"/>
    <w:rsid w:val="0079220A"/>
    <w:rsid w:val="00792A47"/>
    <w:rsid w:val="00792B7C"/>
    <w:rsid w:val="00792CEE"/>
    <w:rsid w:val="00792D75"/>
    <w:rsid w:val="0079300D"/>
    <w:rsid w:val="0079343D"/>
    <w:rsid w:val="007936A8"/>
    <w:rsid w:val="00793D9F"/>
    <w:rsid w:val="00794012"/>
    <w:rsid w:val="0079424F"/>
    <w:rsid w:val="0079458B"/>
    <w:rsid w:val="00794B66"/>
    <w:rsid w:val="00794FB2"/>
    <w:rsid w:val="007953DB"/>
    <w:rsid w:val="00795429"/>
    <w:rsid w:val="00795803"/>
    <w:rsid w:val="00795D18"/>
    <w:rsid w:val="007962B4"/>
    <w:rsid w:val="0079634B"/>
    <w:rsid w:val="00796424"/>
    <w:rsid w:val="00796B58"/>
    <w:rsid w:val="00796E47"/>
    <w:rsid w:val="00796F15"/>
    <w:rsid w:val="0079714C"/>
    <w:rsid w:val="00797822"/>
    <w:rsid w:val="00797884"/>
    <w:rsid w:val="0079799F"/>
    <w:rsid w:val="00797E22"/>
    <w:rsid w:val="00797EB6"/>
    <w:rsid w:val="007A0182"/>
    <w:rsid w:val="007A01D1"/>
    <w:rsid w:val="007A0467"/>
    <w:rsid w:val="007A0543"/>
    <w:rsid w:val="007A1280"/>
    <w:rsid w:val="007A138F"/>
    <w:rsid w:val="007A1640"/>
    <w:rsid w:val="007A18D5"/>
    <w:rsid w:val="007A1AE4"/>
    <w:rsid w:val="007A1C0D"/>
    <w:rsid w:val="007A1CFD"/>
    <w:rsid w:val="007A204A"/>
    <w:rsid w:val="007A228D"/>
    <w:rsid w:val="007A27D1"/>
    <w:rsid w:val="007A2926"/>
    <w:rsid w:val="007A2B41"/>
    <w:rsid w:val="007A3592"/>
    <w:rsid w:val="007A3748"/>
    <w:rsid w:val="007A39DF"/>
    <w:rsid w:val="007A3B04"/>
    <w:rsid w:val="007A3D64"/>
    <w:rsid w:val="007A3F75"/>
    <w:rsid w:val="007A3F99"/>
    <w:rsid w:val="007A42A8"/>
    <w:rsid w:val="007A43D3"/>
    <w:rsid w:val="007A43ED"/>
    <w:rsid w:val="007A45D9"/>
    <w:rsid w:val="007A49D7"/>
    <w:rsid w:val="007A4B2A"/>
    <w:rsid w:val="007A4BDD"/>
    <w:rsid w:val="007A4E68"/>
    <w:rsid w:val="007A51F3"/>
    <w:rsid w:val="007A52B3"/>
    <w:rsid w:val="007A5581"/>
    <w:rsid w:val="007A6263"/>
    <w:rsid w:val="007A6CFD"/>
    <w:rsid w:val="007A6D02"/>
    <w:rsid w:val="007A72EE"/>
    <w:rsid w:val="007A7508"/>
    <w:rsid w:val="007A75CC"/>
    <w:rsid w:val="007A7861"/>
    <w:rsid w:val="007A7D3F"/>
    <w:rsid w:val="007B017A"/>
    <w:rsid w:val="007B01E7"/>
    <w:rsid w:val="007B0397"/>
    <w:rsid w:val="007B094B"/>
    <w:rsid w:val="007B0ADB"/>
    <w:rsid w:val="007B0CD1"/>
    <w:rsid w:val="007B0E32"/>
    <w:rsid w:val="007B1271"/>
    <w:rsid w:val="007B1378"/>
    <w:rsid w:val="007B13BC"/>
    <w:rsid w:val="007B1472"/>
    <w:rsid w:val="007B14DD"/>
    <w:rsid w:val="007B15A4"/>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A6F"/>
    <w:rsid w:val="007B3C75"/>
    <w:rsid w:val="007B3E6D"/>
    <w:rsid w:val="007B431A"/>
    <w:rsid w:val="007B44ED"/>
    <w:rsid w:val="007B4627"/>
    <w:rsid w:val="007B491A"/>
    <w:rsid w:val="007B4B7E"/>
    <w:rsid w:val="007B5116"/>
    <w:rsid w:val="007B5129"/>
    <w:rsid w:val="007B5370"/>
    <w:rsid w:val="007B5449"/>
    <w:rsid w:val="007B61F5"/>
    <w:rsid w:val="007B63FA"/>
    <w:rsid w:val="007B640D"/>
    <w:rsid w:val="007B66AE"/>
    <w:rsid w:val="007B6D23"/>
    <w:rsid w:val="007B707A"/>
    <w:rsid w:val="007B73EA"/>
    <w:rsid w:val="007B7420"/>
    <w:rsid w:val="007B7496"/>
    <w:rsid w:val="007B7649"/>
    <w:rsid w:val="007B7BE9"/>
    <w:rsid w:val="007B7CC0"/>
    <w:rsid w:val="007B7F87"/>
    <w:rsid w:val="007C0802"/>
    <w:rsid w:val="007C0DD2"/>
    <w:rsid w:val="007C12BE"/>
    <w:rsid w:val="007C13C0"/>
    <w:rsid w:val="007C16AD"/>
    <w:rsid w:val="007C1E77"/>
    <w:rsid w:val="007C2735"/>
    <w:rsid w:val="007C2739"/>
    <w:rsid w:val="007C2A33"/>
    <w:rsid w:val="007C2D17"/>
    <w:rsid w:val="007C3166"/>
    <w:rsid w:val="007C34D2"/>
    <w:rsid w:val="007C3FC2"/>
    <w:rsid w:val="007C453D"/>
    <w:rsid w:val="007C4AD2"/>
    <w:rsid w:val="007C4B0F"/>
    <w:rsid w:val="007C4CF7"/>
    <w:rsid w:val="007C4DAD"/>
    <w:rsid w:val="007C4E80"/>
    <w:rsid w:val="007C51B5"/>
    <w:rsid w:val="007C5241"/>
    <w:rsid w:val="007C5343"/>
    <w:rsid w:val="007C5830"/>
    <w:rsid w:val="007C5933"/>
    <w:rsid w:val="007C593D"/>
    <w:rsid w:val="007C599E"/>
    <w:rsid w:val="007C5DB8"/>
    <w:rsid w:val="007C5DCE"/>
    <w:rsid w:val="007C5EDB"/>
    <w:rsid w:val="007C6917"/>
    <w:rsid w:val="007C6CA2"/>
    <w:rsid w:val="007C6EF9"/>
    <w:rsid w:val="007C72DC"/>
    <w:rsid w:val="007C72ED"/>
    <w:rsid w:val="007C7BFE"/>
    <w:rsid w:val="007D0148"/>
    <w:rsid w:val="007D051C"/>
    <w:rsid w:val="007D05B2"/>
    <w:rsid w:val="007D05FA"/>
    <w:rsid w:val="007D0706"/>
    <w:rsid w:val="007D087F"/>
    <w:rsid w:val="007D0968"/>
    <w:rsid w:val="007D0C44"/>
    <w:rsid w:val="007D1413"/>
    <w:rsid w:val="007D1600"/>
    <w:rsid w:val="007D1972"/>
    <w:rsid w:val="007D1F33"/>
    <w:rsid w:val="007D22EB"/>
    <w:rsid w:val="007D23C9"/>
    <w:rsid w:val="007D2A05"/>
    <w:rsid w:val="007D2EF8"/>
    <w:rsid w:val="007D3304"/>
    <w:rsid w:val="007D3307"/>
    <w:rsid w:val="007D3767"/>
    <w:rsid w:val="007D37EB"/>
    <w:rsid w:val="007D3F70"/>
    <w:rsid w:val="007D4038"/>
    <w:rsid w:val="007D40B8"/>
    <w:rsid w:val="007D44CE"/>
    <w:rsid w:val="007D453A"/>
    <w:rsid w:val="007D4545"/>
    <w:rsid w:val="007D4C7B"/>
    <w:rsid w:val="007D4D3B"/>
    <w:rsid w:val="007D4F42"/>
    <w:rsid w:val="007D516D"/>
    <w:rsid w:val="007D522D"/>
    <w:rsid w:val="007D54F8"/>
    <w:rsid w:val="007D5A25"/>
    <w:rsid w:val="007D5E27"/>
    <w:rsid w:val="007D611B"/>
    <w:rsid w:val="007D6D1B"/>
    <w:rsid w:val="007D6E09"/>
    <w:rsid w:val="007D6F64"/>
    <w:rsid w:val="007D713D"/>
    <w:rsid w:val="007D71AD"/>
    <w:rsid w:val="007D72A6"/>
    <w:rsid w:val="007D77A9"/>
    <w:rsid w:val="007D79DC"/>
    <w:rsid w:val="007E082A"/>
    <w:rsid w:val="007E0C69"/>
    <w:rsid w:val="007E10A7"/>
    <w:rsid w:val="007E1179"/>
    <w:rsid w:val="007E158C"/>
    <w:rsid w:val="007E1782"/>
    <w:rsid w:val="007E1899"/>
    <w:rsid w:val="007E1DBF"/>
    <w:rsid w:val="007E1EE4"/>
    <w:rsid w:val="007E201E"/>
    <w:rsid w:val="007E20B8"/>
    <w:rsid w:val="007E23F2"/>
    <w:rsid w:val="007E25AB"/>
    <w:rsid w:val="007E2D1F"/>
    <w:rsid w:val="007E2F41"/>
    <w:rsid w:val="007E2F74"/>
    <w:rsid w:val="007E3455"/>
    <w:rsid w:val="007E3993"/>
    <w:rsid w:val="007E3999"/>
    <w:rsid w:val="007E3B26"/>
    <w:rsid w:val="007E41B1"/>
    <w:rsid w:val="007E43B4"/>
    <w:rsid w:val="007E43BE"/>
    <w:rsid w:val="007E44FC"/>
    <w:rsid w:val="007E4819"/>
    <w:rsid w:val="007E4849"/>
    <w:rsid w:val="007E4A94"/>
    <w:rsid w:val="007E520F"/>
    <w:rsid w:val="007E5AC2"/>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EEC"/>
    <w:rsid w:val="007F0759"/>
    <w:rsid w:val="007F0798"/>
    <w:rsid w:val="007F170B"/>
    <w:rsid w:val="007F1DED"/>
    <w:rsid w:val="007F25F1"/>
    <w:rsid w:val="007F2845"/>
    <w:rsid w:val="007F2A69"/>
    <w:rsid w:val="007F2ED7"/>
    <w:rsid w:val="007F3045"/>
    <w:rsid w:val="007F38A2"/>
    <w:rsid w:val="007F3CC5"/>
    <w:rsid w:val="007F406B"/>
    <w:rsid w:val="007F422B"/>
    <w:rsid w:val="007F42FE"/>
    <w:rsid w:val="007F43BC"/>
    <w:rsid w:val="007F4740"/>
    <w:rsid w:val="007F4D52"/>
    <w:rsid w:val="007F4D62"/>
    <w:rsid w:val="007F5177"/>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F89"/>
    <w:rsid w:val="00800303"/>
    <w:rsid w:val="008005B3"/>
    <w:rsid w:val="008006C6"/>
    <w:rsid w:val="00800883"/>
    <w:rsid w:val="00800C52"/>
    <w:rsid w:val="00800E53"/>
    <w:rsid w:val="0080132C"/>
    <w:rsid w:val="008013CF"/>
    <w:rsid w:val="0080153E"/>
    <w:rsid w:val="00801792"/>
    <w:rsid w:val="008018C8"/>
    <w:rsid w:val="0080197B"/>
    <w:rsid w:val="00801AB8"/>
    <w:rsid w:val="00801B3C"/>
    <w:rsid w:val="00802035"/>
    <w:rsid w:val="00802148"/>
    <w:rsid w:val="0080263A"/>
    <w:rsid w:val="0080268D"/>
    <w:rsid w:val="0080329D"/>
    <w:rsid w:val="0080360B"/>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42D"/>
    <w:rsid w:val="0080763E"/>
    <w:rsid w:val="0080785F"/>
    <w:rsid w:val="008079A8"/>
    <w:rsid w:val="00807BBE"/>
    <w:rsid w:val="008100AC"/>
    <w:rsid w:val="0081055F"/>
    <w:rsid w:val="00810793"/>
    <w:rsid w:val="008109F7"/>
    <w:rsid w:val="00810C05"/>
    <w:rsid w:val="00810DA2"/>
    <w:rsid w:val="0081151E"/>
    <w:rsid w:val="0081153A"/>
    <w:rsid w:val="00811680"/>
    <w:rsid w:val="00811A5F"/>
    <w:rsid w:val="008121A9"/>
    <w:rsid w:val="00812498"/>
    <w:rsid w:val="008127E6"/>
    <w:rsid w:val="008129B3"/>
    <w:rsid w:val="00812C35"/>
    <w:rsid w:val="00812E90"/>
    <w:rsid w:val="00813309"/>
    <w:rsid w:val="0081336E"/>
    <w:rsid w:val="00813928"/>
    <w:rsid w:val="00814F6F"/>
    <w:rsid w:val="00815058"/>
    <w:rsid w:val="008153D6"/>
    <w:rsid w:val="008154EC"/>
    <w:rsid w:val="00815EB3"/>
    <w:rsid w:val="008162AF"/>
    <w:rsid w:val="0081695A"/>
    <w:rsid w:val="00816CA4"/>
    <w:rsid w:val="00816D0D"/>
    <w:rsid w:val="00816F60"/>
    <w:rsid w:val="00817217"/>
    <w:rsid w:val="00817752"/>
    <w:rsid w:val="0081777F"/>
    <w:rsid w:val="00820009"/>
    <w:rsid w:val="00820349"/>
    <w:rsid w:val="008208DB"/>
    <w:rsid w:val="00820DC7"/>
    <w:rsid w:val="00820FFB"/>
    <w:rsid w:val="0082115F"/>
    <w:rsid w:val="00821698"/>
    <w:rsid w:val="008219B8"/>
    <w:rsid w:val="008221FE"/>
    <w:rsid w:val="008224A8"/>
    <w:rsid w:val="0082253F"/>
    <w:rsid w:val="0082278D"/>
    <w:rsid w:val="00822ACF"/>
    <w:rsid w:val="00822BF5"/>
    <w:rsid w:val="0082321B"/>
    <w:rsid w:val="008236C8"/>
    <w:rsid w:val="00823814"/>
    <w:rsid w:val="008239AB"/>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6184"/>
    <w:rsid w:val="00826371"/>
    <w:rsid w:val="00826495"/>
    <w:rsid w:val="008266F3"/>
    <w:rsid w:val="00826C7B"/>
    <w:rsid w:val="00826DD9"/>
    <w:rsid w:val="00826E01"/>
    <w:rsid w:val="00827346"/>
    <w:rsid w:val="00827502"/>
    <w:rsid w:val="0082771E"/>
    <w:rsid w:val="008277A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BF"/>
    <w:rsid w:val="00832ADA"/>
    <w:rsid w:val="0083326F"/>
    <w:rsid w:val="0083350F"/>
    <w:rsid w:val="008335FF"/>
    <w:rsid w:val="00833F0A"/>
    <w:rsid w:val="00834328"/>
    <w:rsid w:val="00834358"/>
    <w:rsid w:val="008346BD"/>
    <w:rsid w:val="00834923"/>
    <w:rsid w:val="00834A61"/>
    <w:rsid w:val="00834D42"/>
    <w:rsid w:val="00834F11"/>
    <w:rsid w:val="008359EB"/>
    <w:rsid w:val="00835CBC"/>
    <w:rsid w:val="00835CE1"/>
    <w:rsid w:val="00835D45"/>
    <w:rsid w:val="00835DBB"/>
    <w:rsid w:val="00836148"/>
    <w:rsid w:val="008364BE"/>
    <w:rsid w:val="00836B7A"/>
    <w:rsid w:val="008376A4"/>
    <w:rsid w:val="00837B07"/>
    <w:rsid w:val="00837B90"/>
    <w:rsid w:val="00837CC5"/>
    <w:rsid w:val="008404B5"/>
    <w:rsid w:val="008404DE"/>
    <w:rsid w:val="00840883"/>
    <w:rsid w:val="008409AA"/>
    <w:rsid w:val="00840D6A"/>
    <w:rsid w:val="00840DA6"/>
    <w:rsid w:val="00840FB8"/>
    <w:rsid w:val="00841464"/>
    <w:rsid w:val="00841E17"/>
    <w:rsid w:val="00841E2C"/>
    <w:rsid w:val="00842167"/>
    <w:rsid w:val="0084276B"/>
    <w:rsid w:val="00842E0C"/>
    <w:rsid w:val="00842F71"/>
    <w:rsid w:val="0084300F"/>
    <w:rsid w:val="008434CC"/>
    <w:rsid w:val="0084352E"/>
    <w:rsid w:val="008438BD"/>
    <w:rsid w:val="00843A33"/>
    <w:rsid w:val="00843A7A"/>
    <w:rsid w:val="00843C34"/>
    <w:rsid w:val="00843E22"/>
    <w:rsid w:val="008446C0"/>
    <w:rsid w:val="008447F5"/>
    <w:rsid w:val="00844B73"/>
    <w:rsid w:val="00844BAB"/>
    <w:rsid w:val="00844E18"/>
    <w:rsid w:val="00844E3E"/>
    <w:rsid w:val="0084500D"/>
    <w:rsid w:val="00845481"/>
    <w:rsid w:val="00845569"/>
    <w:rsid w:val="00845E79"/>
    <w:rsid w:val="00846038"/>
    <w:rsid w:val="00846292"/>
    <w:rsid w:val="008463A8"/>
    <w:rsid w:val="00846484"/>
    <w:rsid w:val="00846517"/>
    <w:rsid w:val="00846635"/>
    <w:rsid w:val="00846990"/>
    <w:rsid w:val="0084716C"/>
    <w:rsid w:val="00847824"/>
    <w:rsid w:val="00847ABA"/>
    <w:rsid w:val="00850334"/>
    <w:rsid w:val="00850342"/>
    <w:rsid w:val="0085052D"/>
    <w:rsid w:val="008506E1"/>
    <w:rsid w:val="00850825"/>
    <w:rsid w:val="00850D5C"/>
    <w:rsid w:val="00850D96"/>
    <w:rsid w:val="008514D6"/>
    <w:rsid w:val="008515EE"/>
    <w:rsid w:val="0085165B"/>
    <w:rsid w:val="00851843"/>
    <w:rsid w:val="00851A8E"/>
    <w:rsid w:val="00851EC7"/>
    <w:rsid w:val="00852747"/>
    <w:rsid w:val="008528D3"/>
    <w:rsid w:val="00852A39"/>
    <w:rsid w:val="00852BD6"/>
    <w:rsid w:val="00852FBE"/>
    <w:rsid w:val="008540C8"/>
    <w:rsid w:val="00854258"/>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12D"/>
    <w:rsid w:val="008605FA"/>
    <w:rsid w:val="00860874"/>
    <w:rsid w:val="008609A2"/>
    <w:rsid w:val="008609A3"/>
    <w:rsid w:val="00860A1F"/>
    <w:rsid w:val="00860E2E"/>
    <w:rsid w:val="0086105A"/>
    <w:rsid w:val="00861F71"/>
    <w:rsid w:val="00862008"/>
    <w:rsid w:val="00862642"/>
    <w:rsid w:val="00862720"/>
    <w:rsid w:val="008628C8"/>
    <w:rsid w:val="00862909"/>
    <w:rsid w:val="00862B2A"/>
    <w:rsid w:val="00862D36"/>
    <w:rsid w:val="00862D8D"/>
    <w:rsid w:val="008630B9"/>
    <w:rsid w:val="00863376"/>
    <w:rsid w:val="0086399B"/>
    <w:rsid w:val="00863AE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97F"/>
    <w:rsid w:val="00866CB4"/>
    <w:rsid w:val="0086709D"/>
    <w:rsid w:val="008672CC"/>
    <w:rsid w:val="008673FB"/>
    <w:rsid w:val="00867651"/>
    <w:rsid w:val="0086766D"/>
    <w:rsid w:val="00867B5A"/>
    <w:rsid w:val="00870001"/>
    <w:rsid w:val="0087013D"/>
    <w:rsid w:val="00870E6A"/>
    <w:rsid w:val="00870FC8"/>
    <w:rsid w:val="008715C8"/>
    <w:rsid w:val="00871940"/>
    <w:rsid w:val="00871BD4"/>
    <w:rsid w:val="00871F9D"/>
    <w:rsid w:val="00872259"/>
    <w:rsid w:val="0087235E"/>
    <w:rsid w:val="00872E21"/>
    <w:rsid w:val="008738D0"/>
    <w:rsid w:val="008739B8"/>
    <w:rsid w:val="00873DDC"/>
    <w:rsid w:val="00873E43"/>
    <w:rsid w:val="00874009"/>
    <w:rsid w:val="00874158"/>
    <w:rsid w:val="008741A2"/>
    <w:rsid w:val="008741E3"/>
    <w:rsid w:val="008743BB"/>
    <w:rsid w:val="008743D7"/>
    <w:rsid w:val="008743F3"/>
    <w:rsid w:val="0087444A"/>
    <w:rsid w:val="008746F4"/>
    <w:rsid w:val="008747CF"/>
    <w:rsid w:val="00875139"/>
    <w:rsid w:val="00875410"/>
    <w:rsid w:val="00875C89"/>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71"/>
    <w:rsid w:val="00885A5E"/>
    <w:rsid w:val="00885D76"/>
    <w:rsid w:val="00886185"/>
    <w:rsid w:val="008861D9"/>
    <w:rsid w:val="0088638C"/>
    <w:rsid w:val="008864DD"/>
    <w:rsid w:val="00886961"/>
    <w:rsid w:val="008869C3"/>
    <w:rsid w:val="00886CD1"/>
    <w:rsid w:val="00886EDF"/>
    <w:rsid w:val="008870A9"/>
    <w:rsid w:val="00887254"/>
    <w:rsid w:val="008872B3"/>
    <w:rsid w:val="00890087"/>
    <w:rsid w:val="008908E5"/>
    <w:rsid w:val="00890CF0"/>
    <w:rsid w:val="00891040"/>
    <w:rsid w:val="00891216"/>
    <w:rsid w:val="00891534"/>
    <w:rsid w:val="008916BB"/>
    <w:rsid w:val="0089199A"/>
    <w:rsid w:val="00891A70"/>
    <w:rsid w:val="00891EA2"/>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11C"/>
    <w:rsid w:val="008962AC"/>
    <w:rsid w:val="00896414"/>
    <w:rsid w:val="00896551"/>
    <w:rsid w:val="00896700"/>
    <w:rsid w:val="00896C82"/>
    <w:rsid w:val="0089716F"/>
    <w:rsid w:val="00897587"/>
    <w:rsid w:val="008979EB"/>
    <w:rsid w:val="00897B60"/>
    <w:rsid w:val="00897C71"/>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C00"/>
    <w:rsid w:val="008A496E"/>
    <w:rsid w:val="008A4B16"/>
    <w:rsid w:val="008A4D63"/>
    <w:rsid w:val="008A4DFA"/>
    <w:rsid w:val="008A4E11"/>
    <w:rsid w:val="008A4F58"/>
    <w:rsid w:val="008A5667"/>
    <w:rsid w:val="008A5803"/>
    <w:rsid w:val="008A6070"/>
    <w:rsid w:val="008A6275"/>
    <w:rsid w:val="008A696B"/>
    <w:rsid w:val="008A6D62"/>
    <w:rsid w:val="008A6FC6"/>
    <w:rsid w:val="008A700D"/>
    <w:rsid w:val="008A76D4"/>
    <w:rsid w:val="008A7769"/>
    <w:rsid w:val="008B008B"/>
    <w:rsid w:val="008B0C7D"/>
    <w:rsid w:val="008B0C88"/>
    <w:rsid w:val="008B1019"/>
    <w:rsid w:val="008B13E9"/>
    <w:rsid w:val="008B1843"/>
    <w:rsid w:val="008B18F6"/>
    <w:rsid w:val="008B1D7F"/>
    <w:rsid w:val="008B1E43"/>
    <w:rsid w:val="008B208B"/>
    <w:rsid w:val="008B20D0"/>
    <w:rsid w:val="008B2257"/>
    <w:rsid w:val="008B226F"/>
    <w:rsid w:val="008B23CE"/>
    <w:rsid w:val="008B2436"/>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24A0"/>
    <w:rsid w:val="008C250F"/>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F7F"/>
    <w:rsid w:val="008C71C8"/>
    <w:rsid w:val="008C7506"/>
    <w:rsid w:val="008C774B"/>
    <w:rsid w:val="008C7D17"/>
    <w:rsid w:val="008C7D26"/>
    <w:rsid w:val="008C7D87"/>
    <w:rsid w:val="008CDBB2"/>
    <w:rsid w:val="008D08B7"/>
    <w:rsid w:val="008D09AA"/>
    <w:rsid w:val="008D11AD"/>
    <w:rsid w:val="008D1202"/>
    <w:rsid w:val="008D125E"/>
    <w:rsid w:val="008D144E"/>
    <w:rsid w:val="008D167D"/>
    <w:rsid w:val="008D1E32"/>
    <w:rsid w:val="008D1F12"/>
    <w:rsid w:val="008D1FA9"/>
    <w:rsid w:val="008D2104"/>
    <w:rsid w:val="008D21CD"/>
    <w:rsid w:val="008D23B2"/>
    <w:rsid w:val="008D2595"/>
    <w:rsid w:val="008D25EC"/>
    <w:rsid w:val="008D26B6"/>
    <w:rsid w:val="008D2F9A"/>
    <w:rsid w:val="008D3116"/>
    <w:rsid w:val="008D363C"/>
    <w:rsid w:val="008D3A41"/>
    <w:rsid w:val="008D3AFB"/>
    <w:rsid w:val="008D468C"/>
    <w:rsid w:val="008D46E3"/>
    <w:rsid w:val="008D492A"/>
    <w:rsid w:val="008D4B58"/>
    <w:rsid w:val="008D4B7F"/>
    <w:rsid w:val="008D4B8A"/>
    <w:rsid w:val="008D4BD6"/>
    <w:rsid w:val="008D4C99"/>
    <w:rsid w:val="008D4E3F"/>
    <w:rsid w:val="008D50BE"/>
    <w:rsid w:val="008D5144"/>
    <w:rsid w:val="008D58CF"/>
    <w:rsid w:val="008D5CE9"/>
    <w:rsid w:val="008D5CFF"/>
    <w:rsid w:val="008D5DBC"/>
    <w:rsid w:val="008D6002"/>
    <w:rsid w:val="008D6435"/>
    <w:rsid w:val="008D6541"/>
    <w:rsid w:val="008D6910"/>
    <w:rsid w:val="008D6A7E"/>
    <w:rsid w:val="008D7802"/>
    <w:rsid w:val="008D7A70"/>
    <w:rsid w:val="008D7CD6"/>
    <w:rsid w:val="008D7D7B"/>
    <w:rsid w:val="008E0198"/>
    <w:rsid w:val="008E053B"/>
    <w:rsid w:val="008E076E"/>
    <w:rsid w:val="008E0A66"/>
    <w:rsid w:val="008E0D0F"/>
    <w:rsid w:val="008E0F52"/>
    <w:rsid w:val="008E1ABD"/>
    <w:rsid w:val="008E1F25"/>
    <w:rsid w:val="008E216C"/>
    <w:rsid w:val="008E227F"/>
    <w:rsid w:val="008E2316"/>
    <w:rsid w:val="008E286B"/>
    <w:rsid w:val="008E2DD4"/>
    <w:rsid w:val="008E3063"/>
    <w:rsid w:val="008E3491"/>
    <w:rsid w:val="008E34BE"/>
    <w:rsid w:val="008E3632"/>
    <w:rsid w:val="008E3AA8"/>
    <w:rsid w:val="008E3B75"/>
    <w:rsid w:val="008E3BBD"/>
    <w:rsid w:val="008E3E57"/>
    <w:rsid w:val="008E42CE"/>
    <w:rsid w:val="008E42F4"/>
    <w:rsid w:val="008E4333"/>
    <w:rsid w:val="008E43AD"/>
    <w:rsid w:val="008E45AC"/>
    <w:rsid w:val="008E472B"/>
    <w:rsid w:val="008E4A31"/>
    <w:rsid w:val="008E4B98"/>
    <w:rsid w:val="008E4F13"/>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E46"/>
    <w:rsid w:val="008F0FCB"/>
    <w:rsid w:val="008F11A3"/>
    <w:rsid w:val="008F1264"/>
    <w:rsid w:val="008F135A"/>
    <w:rsid w:val="008F1522"/>
    <w:rsid w:val="008F1B8E"/>
    <w:rsid w:val="008F22E1"/>
    <w:rsid w:val="008F2908"/>
    <w:rsid w:val="008F2A14"/>
    <w:rsid w:val="008F2B57"/>
    <w:rsid w:val="008F2BB6"/>
    <w:rsid w:val="008F2C0D"/>
    <w:rsid w:val="008F351E"/>
    <w:rsid w:val="008F364D"/>
    <w:rsid w:val="008F4214"/>
    <w:rsid w:val="008F4642"/>
    <w:rsid w:val="008F47C6"/>
    <w:rsid w:val="008F49EC"/>
    <w:rsid w:val="008F4A82"/>
    <w:rsid w:val="008F535A"/>
    <w:rsid w:val="008F548D"/>
    <w:rsid w:val="008F593F"/>
    <w:rsid w:val="008F6009"/>
    <w:rsid w:val="008F64A7"/>
    <w:rsid w:val="008F65E8"/>
    <w:rsid w:val="008F6647"/>
    <w:rsid w:val="008F6E4B"/>
    <w:rsid w:val="008F700E"/>
    <w:rsid w:val="008F704C"/>
    <w:rsid w:val="008F7144"/>
    <w:rsid w:val="008F73B9"/>
    <w:rsid w:val="008F789C"/>
    <w:rsid w:val="008F7A1A"/>
    <w:rsid w:val="008F7A34"/>
    <w:rsid w:val="008F7E95"/>
    <w:rsid w:val="00900240"/>
    <w:rsid w:val="00900343"/>
    <w:rsid w:val="009006A2"/>
    <w:rsid w:val="0090102B"/>
    <w:rsid w:val="0090126E"/>
    <w:rsid w:val="00901448"/>
    <w:rsid w:val="00901EF0"/>
    <w:rsid w:val="00901FFC"/>
    <w:rsid w:val="0090245F"/>
    <w:rsid w:val="00902558"/>
    <w:rsid w:val="00902C29"/>
    <w:rsid w:val="0090322F"/>
    <w:rsid w:val="0090337C"/>
    <w:rsid w:val="009034D2"/>
    <w:rsid w:val="009036BC"/>
    <w:rsid w:val="00903C72"/>
    <w:rsid w:val="00903D30"/>
    <w:rsid w:val="00904371"/>
    <w:rsid w:val="00904414"/>
    <w:rsid w:val="00904A06"/>
    <w:rsid w:val="00904F3F"/>
    <w:rsid w:val="00905197"/>
    <w:rsid w:val="009051B7"/>
    <w:rsid w:val="009051EB"/>
    <w:rsid w:val="00905C47"/>
    <w:rsid w:val="00906379"/>
    <w:rsid w:val="00906A8C"/>
    <w:rsid w:val="00906D32"/>
    <w:rsid w:val="00907D7E"/>
    <w:rsid w:val="009101EA"/>
    <w:rsid w:val="009106FC"/>
    <w:rsid w:val="0091083F"/>
    <w:rsid w:val="009108E5"/>
    <w:rsid w:val="00910EAA"/>
    <w:rsid w:val="00910F92"/>
    <w:rsid w:val="0091160D"/>
    <w:rsid w:val="009118A3"/>
    <w:rsid w:val="009118BB"/>
    <w:rsid w:val="0091191F"/>
    <w:rsid w:val="00911E7D"/>
    <w:rsid w:val="009120A9"/>
    <w:rsid w:val="009128E5"/>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547F"/>
    <w:rsid w:val="00915A8F"/>
    <w:rsid w:val="00915B81"/>
    <w:rsid w:val="00915D6B"/>
    <w:rsid w:val="00915E6B"/>
    <w:rsid w:val="009160DF"/>
    <w:rsid w:val="009162C7"/>
    <w:rsid w:val="009167F8"/>
    <w:rsid w:val="00916804"/>
    <w:rsid w:val="00916834"/>
    <w:rsid w:val="00916AEF"/>
    <w:rsid w:val="00916CDC"/>
    <w:rsid w:val="00916EC2"/>
    <w:rsid w:val="009174AC"/>
    <w:rsid w:val="009174D9"/>
    <w:rsid w:val="00917857"/>
    <w:rsid w:val="00917BD3"/>
    <w:rsid w:val="00920504"/>
    <w:rsid w:val="00920726"/>
    <w:rsid w:val="00920AE0"/>
    <w:rsid w:val="00921255"/>
    <w:rsid w:val="00921286"/>
    <w:rsid w:val="009212CD"/>
    <w:rsid w:val="00921387"/>
    <w:rsid w:val="009213BD"/>
    <w:rsid w:val="00921D20"/>
    <w:rsid w:val="009222F3"/>
    <w:rsid w:val="009224B2"/>
    <w:rsid w:val="00922BF9"/>
    <w:rsid w:val="00922D72"/>
    <w:rsid w:val="009230A6"/>
    <w:rsid w:val="0092389F"/>
    <w:rsid w:val="00923FBC"/>
    <w:rsid w:val="009240FE"/>
    <w:rsid w:val="009241CF"/>
    <w:rsid w:val="00924627"/>
    <w:rsid w:val="0092477B"/>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F75"/>
    <w:rsid w:val="0093123D"/>
    <w:rsid w:val="00931B6F"/>
    <w:rsid w:val="009325C4"/>
    <w:rsid w:val="00932665"/>
    <w:rsid w:val="00932798"/>
    <w:rsid w:val="00932B62"/>
    <w:rsid w:val="00932C23"/>
    <w:rsid w:val="00932E76"/>
    <w:rsid w:val="00932EFF"/>
    <w:rsid w:val="00933040"/>
    <w:rsid w:val="009330E9"/>
    <w:rsid w:val="00933330"/>
    <w:rsid w:val="009338FF"/>
    <w:rsid w:val="00933A0A"/>
    <w:rsid w:val="00933FDC"/>
    <w:rsid w:val="0093423F"/>
    <w:rsid w:val="009342C2"/>
    <w:rsid w:val="0093477D"/>
    <w:rsid w:val="00934A3A"/>
    <w:rsid w:val="00934BB1"/>
    <w:rsid w:val="00934D97"/>
    <w:rsid w:val="00935080"/>
    <w:rsid w:val="00935D15"/>
    <w:rsid w:val="0093633E"/>
    <w:rsid w:val="009365FB"/>
    <w:rsid w:val="00936D9B"/>
    <w:rsid w:val="00937089"/>
    <w:rsid w:val="00937719"/>
    <w:rsid w:val="00937AB2"/>
    <w:rsid w:val="00937EA1"/>
    <w:rsid w:val="00940024"/>
    <w:rsid w:val="00940202"/>
    <w:rsid w:val="00940A74"/>
    <w:rsid w:val="00940B10"/>
    <w:rsid w:val="00941011"/>
    <w:rsid w:val="009411FB"/>
    <w:rsid w:val="0094138B"/>
    <w:rsid w:val="009414A9"/>
    <w:rsid w:val="0094150A"/>
    <w:rsid w:val="00941967"/>
    <w:rsid w:val="00941B06"/>
    <w:rsid w:val="00941B71"/>
    <w:rsid w:val="00941DF9"/>
    <w:rsid w:val="0094209D"/>
    <w:rsid w:val="009421AD"/>
    <w:rsid w:val="009421E1"/>
    <w:rsid w:val="009421ED"/>
    <w:rsid w:val="0094221C"/>
    <w:rsid w:val="00942967"/>
    <w:rsid w:val="00942ACE"/>
    <w:rsid w:val="00942D9A"/>
    <w:rsid w:val="00943178"/>
    <w:rsid w:val="0094339F"/>
    <w:rsid w:val="009434DE"/>
    <w:rsid w:val="00943539"/>
    <w:rsid w:val="00943762"/>
    <w:rsid w:val="00943FDD"/>
    <w:rsid w:val="0094405A"/>
    <w:rsid w:val="0094409C"/>
    <w:rsid w:val="00944159"/>
    <w:rsid w:val="009449B2"/>
    <w:rsid w:val="00944A82"/>
    <w:rsid w:val="00944BA5"/>
    <w:rsid w:val="00944DDC"/>
    <w:rsid w:val="0094510C"/>
    <w:rsid w:val="009457AE"/>
    <w:rsid w:val="00945D4D"/>
    <w:rsid w:val="00945F22"/>
    <w:rsid w:val="00946583"/>
    <w:rsid w:val="00946C4D"/>
    <w:rsid w:val="00946F63"/>
    <w:rsid w:val="00947170"/>
    <w:rsid w:val="00947462"/>
    <w:rsid w:val="009474AE"/>
    <w:rsid w:val="0094761D"/>
    <w:rsid w:val="00947DA0"/>
    <w:rsid w:val="00947FDB"/>
    <w:rsid w:val="0095019A"/>
    <w:rsid w:val="009509C1"/>
    <w:rsid w:val="00950B21"/>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B59"/>
    <w:rsid w:val="00954FFE"/>
    <w:rsid w:val="00955096"/>
    <w:rsid w:val="0095526F"/>
    <w:rsid w:val="00955363"/>
    <w:rsid w:val="009557BD"/>
    <w:rsid w:val="00955997"/>
    <w:rsid w:val="00955A04"/>
    <w:rsid w:val="009560A6"/>
    <w:rsid w:val="00956199"/>
    <w:rsid w:val="00956266"/>
    <w:rsid w:val="009562C2"/>
    <w:rsid w:val="009565BB"/>
    <w:rsid w:val="009567E6"/>
    <w:rsid w:val="00957076"/>
    <w:rsid w:val="00957132"/>
    <w:rsid w:val="00957264"/>
    <w:rsid w:val="009572CA"/>
    <w:rsid w:val="009572D4"/>
    <w:rsid w:val="0095745F"/>
    <w:rsid w:val="009576FD"/>
    <w:rsid w:val="0095779B"/>
    <w:rsid w:val="009578EB"/>
    <w:rsid w:val="009578FF"/>
    <w:rsid w:val="009579AF"/>
    <w:rsid w:val="00957C97"/>
    <w:rsid w:val="00957DAB"/>
    <w:rsid w:val="00960446"/>
    <w:rsid w:val="009607CE"/>
    <w:rsid w:val="00960BCB"/>
    <w:rsid w:val="009610ED"/>
    <w:rsid w:val="00961EE9"/>
    <w:rsid w:val="00961FCC"/>
    <w:rsid w:val="00962144"/>
    <w:rsid w:val="009623F7"/>
    <w:rsid w:val="009624AE"/>
    <w:rsid w:val="009629A7"/>
    <w:rsid w:val="00962CEE"/>
    <w:rsid w:val="009633BB"/>
    <w:rsid w:val="00963505"/>
    <w:rsid w:val="009637FB"/>
    <w:rsid w:val="0096383B"/>
    <w:rsid w:val="009638F3"/>
    <w:rsid w:val="00963923"/>
    <w:rsid w:val="00963933"/>
    <w:rsid w:val="009639D0"/>
    <w:rsid w:val="00963A36"/>
    <w:rsid w:val="00963A9A"/>
    <w:rsid w:val="00963AC3"/>
    <w:rsid w:val="0096436F"/>
    <w:rsid w:val="009643DA"/>
    <w:rsid w:val="0096463A"/>
    <w:rsid w:val="0096485F"/>
    <w:rsid w:val="00964E7E"/>
    <w:rsid w:val="0096504F"/>
    <w:rsid w:val="009652B8"/>
    <w:rsid w:val="0096590D"/>
    <w:rsid w:val="00965A4E"/>
    <w:rsid w:val="00965B9C"/>
    <w:rsid w:val="00965C40"/>
    <w:rsid w:val="00966032"/>
    <w:rsid w:val="00966238"/>
    <w:rsid w:val="00967354"/>
    <w:rsid w:val="0096735E"/>
    <w:rsid w:val="009675A9"/>
    <w:rsid w:val="00967EC7"/>
    <w:rsid w:val="00967F14"/>
    <w:rsid w:val="00967F47"/>
    <w:rsid w:val="0097037B"/>
    <w:rsid w:val="00970514"/>
    <w:rsid w:val="0097062F"/>
    <w:rsid w:val="0097064D"/>
    <w:rsid w:val="00970922"/>
    <w:rsid w:val="00970E80"/>
    <w:rsid w:val="00971592"/>
    <w:rsid w:val="00971617"/>
    <w:rsid w:val="00971771"/>
    <w:rsid w:val="009717F8"/>
    <w:rsid w:val="00971DDF"/>
    <w:rsid w:val="00971F74"/>
    <w:rsid w:val="0097225C"/>
    <w:rsid w:val="00972467"/>
    <w:rsid w:val="00972589"/>
    <w:rsid w:val="009725ED"/>
    <w:rsid w:val="009727A9"/>
    <w:rsid w:val="00972C95"/>
    <w:rsid w:val="00972CA5"/>
    <w:rsid w:val="00973043"/>
    <w:rsid w:val="009731D6"/>
    <w:rsid w:val="009731F9"/>
    <w:rsid w:val="00973C62"/>
    <w:rsid w:val="00973CFD"/>
    <w:rsid w:val="00973FC6"/>
    <w:rsid w:val="009746A5"/>
    <w:rsid w:val="00974746"/>
    <w:rsid w:val="00974AA9"/>
    <w:rsid w:val="00974ACA"/>
    <w:rsid w:val="00974B42"/>
    <w:rsid w:val="00974BB3"/>
    <w:rsid w:val="00974BED"/>
    <w:rsid w:val="00974E2F"/>
    <w:rsid w:val="00974E68"/>
    <w:rsid w:val="009750A4"/>
    <w:rsid w:val="00975119"/>
    <w:rsid w:val="009752F8"/>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3C3"/>
    <w:rsid w:val="0098046E"/>
    <w:rsid w:val="009804D2"/>
    <w:rsid w:val="00980866"/>
    <w:rsid w:val="00980A10"/>
    <w:rsid w:val="00981130"/>
    <w:rsid w:val="00981321"/>
    <w:rsid w:val="0098161E"/>
    <w:rsid w:val="00981750"/>
    <w:rsid w:val="009820E4"/>
    <w:rsid w:val="0098229C"/>
    <w:rsid w:val="00982478"/>
    <w:rsid w:val="009824FE"/>
    <w:rsid w:val="00982550"/>
    <w:rsid w:val="0098289D"/>
    <w:rsid w:val="00982B64"/>
    <w:rsid w:val="00982E0F"/>
    <w:rsid w:val="00983081"/>
    <w:rsid w:val="00983109"/>
    <w:rsid w:val="009835E0"/>
    <w:rsid w:val="009839E0"/>
    <w:rsid w:val="00983AAF"/>
    <w:rsid w:val="00983D23"/>
    <w:rsid w:val="00983D46"/>
    <w:rsid w:val="00983DCA"/>
    <w:rsid w:val="0098436B"/>
    <w:rsid w:val="009843F8"/>
    <w:rsid w:val="00984433"/>
    <w:rsid w:val="00984576"/>
    <w:rsid w:val="00984743"/>
    <w:rsid w:val="00984AC7"/>
    <w:rsid w:val="00984B63"/>
    <w:rsid w:val="00984DF3"/>
    <w:rsid w:val="00984F04"/>
    <w:rsid w:val="00985398"/>
    <w:rsid w:val="00985629"/>
    <w:rsid w:val="00985AFD"/>
    <w:rsid w:val="00985D80"/>
    <w:rsid w:val="00985EF3"/>
    <w:rsid w:val="00985EF7"/>
    <w:rsid w:val="00986093"/>
    <w:rsid w:val="00986146"/>
    <w:rsid w:val="00986343"/>
    <w:rsid w:val="0098639E"/>
    <w:rsid w:val="00986768"/>
    <w:rsid w:val="00986A9F"/>
    <w:rsid w:val="00986B29"/>
    <w:rsid w:val="00986B93"/>
    <w:rsid w:val="00986C81"/>
    <w:rsid w:val="00986CF9"/>
    <w:rsid w:val="0098706A"/>
    <w:rsid w:val="0098727B"/>
    <w:rsid w:val="009873A8"/>
    <w:rsid w:val="00987416"/>
    <w:rsid w:val="00987CE6"/>
    <w:rsid w:val="00987DA6"/>
    <w:rsid w:val="009904D7"/>
    <w:rsid w:val="00990A38"/>
    <w:rsid w:val="00990C0E"/>
    <w:rsid w:val="00990C99"/>
    <w:rsid w:val="00990CC6"/>
    <w:rsid w:val="00990D75"/>
    <w:rsid w:val="00991093"/>
    <w:rsid w:val="00991287"/>
    <w:rsid w:val="00991302"/>
    <w:rsid w:val="0099163B"/>
    <w:rsid w:val="00991755"/>
    <w:rsid w:val="009918FB"/>
    <w:rsid w:val="00991950"/>
    <w:rsid w:val="00991C7A"/>
    <w:rsid w:val="0099215F"/>
    <w:rsid w:val="00992343"/>
    <w:rsid w:val="00992345"/>
    <w:rsid w:val="00992629"/>
    <w:rsid w:val="00992EB1"/>
    <w:rsid w:val="00993471"/>
    <w:rsid w:val="00993804"/>
    <w:rsid w:val="0099383D"/>
    <w:rsid w:val="009938B1"/>
    <w:rsid w:val="00993A88"/>
    <w:rsid w:val="00993DFA"/>
    <w:rsid w:val="0099414A"/>
    <w:rsid w:val="009941DB"/>
    <w:rsid w:val="00994498"/>
    <w:rsid w:val="00994A9A"/>
    <w:rsid w:val="00994D9D"/>
    <w:rsid w:val="0099513D"/>
    <w:rsid w:val="0099550E"/>
    <w:rsid w:val="00995AD1"/>
    <w:rsid w:val="00995F71"/>
    <w:rsid w:val="0099624F"/>
    <w:rsid w:val="00996258"/>
    <w:rsid w:val="00996306"/>
    <w:rsid w:val="00996395"/>
    <w:rsid w:val="00996443"/>
    <w:rsid w:val="00996744"/>
    <w:rsid w:val="0099697E"/>
    <w:rsid w:val="00996FD4"/>
    <w:rsid w:val="0099704E"/>
    <w:rsid w:val="00997CF4"/>
    <w:rsid w:val="00997EC7"/>
    <w:rsid w:val="009A0757"/>
    <w:rsid w:val="009A0768"/>
    <w:rsid w:val="009A07F0"/>
    <w:rsid w:val="009A09D8"/>
    <w:rsid w:val="009A0AAA"/>
    <w:rsid w:val="009A0B70"/>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B51"/>
    <w:rsid w:val="009A64AF"/>
    <w:rsid w:val="009A67D0"/>
    <w:rsid w:val="009A67E5"/>
    <w:rsid w:val="009A6802"/>
    <w:rsid w:val="009A6853"/>
    <w:rsid w:val="009A6919"/>
    <w:rsid w:val="009A69F3"/>
    <w:rsid w:val="009A6AC7"/>
    <w:rsid w:val="009A72F4"/>
    <w:rsid w:val="009A73D4"/>
    <w:rsid w:val="009A7B9C"/>
    <w:rsid w:val="009A7BC2"/>
    <w:rsid w:val="009A7E0A"/>
    <w:rsid w:val="009B01F3"/>
    <w:rsid w:val="009B0408"/>
    <w:rsid w:val="009B0590"/>
    <w:rsid w:val="009B0843"/>
    <w:rsid w:val="009B0ABC"/>
    <w:rsid w:val="009B0BF6"/>
    <w:rsid w:val="009B0BFF"/>
    <w:rsid w:val="009B0DEE"/>
    <w:rsid w:val="009B10AA"/>
    <w:rsid w:val="009B1335"/>
    <w:rsid w:val="009B1747"/>
    <w:rsid w:val="009B176D"/>
    <w:rsid w:val="009B1CD7"/>
    <w:rsid w:val="009B1D42"/>
    <w:rsid w:val="009B1E47"/>
    <w:rsid w:val="009B200E"/>
    <w:rsid w:val="009B2332"/>
    <w:rsid w:val="009B2CED"/>
    <w:rsid w:val="009B3054"/>
    <w:rsid w:val="009B32B0"/>
    <w:rsid w:val="009B335D"/>
    <w:rsid w:val="009B37F6"/>
    <w:rsid w:val="009B3C90"/>
    <w:rsid w:val="009B4448"/>
    <w:rsid w:val="009B45B1"/>
    <w:rsid w:val="009B4DA4"/>
    <w:rsid w:val="009B55CF"/>
    <w:rsid w:val="009B55E2"/>
    <w:rsid w:val="009B567E"/>
    <w:rsid w:val="009B5A3E"/>
    <w:rsid w:val="009B5A99"/>
    <w:rsid w:val="009B5B6D"/>
    <w:rsid w:val="009B6A8B"/>
    <w:rsid w:val="009B6DD8"/>
    <w:rsid w:val="009B76E3"/>
    <w:rsid w:val="009B76F9"/>
    <w:rsid w:val="009B79D2"/>
    <w:rsid w:val="009B7A72"/>
    <w:rsid w:val="009B7BB8"/>
    <w:rsid w:val="009C05AC"/>
    <w:rsid w:val="009C0E9A"/>
    <w:rsid w:val="009C0E9B"/>
    <w:rsid w:val="009C126A"/>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A07"/>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E4C"/>
    <w:rsid w:val="009C7EEA"/>
    <w:rsid w:val="009C7F14"/>
    <w:rsid w:val="009D000E"/>
    <w:rsid w:val="009D001D"/>
    <w:rsid w:val="009D006B"/>
    <w:rsid w:val="009D0230"/>
    <w:rsid w:val="009D0574"/>
    <w:rsid w:val="009D0EB1"/>
    <w:rsid w:val="009D19BC"/>
    <w:rsid w:val="009D2307"/>
    <w:rsid w:val="009D2348"/>
    <w:rsid w:val="009D2847"/>
    <w:rsid w:val="009D2EA8"/>
    <w:rsid w:val="009D2F0A"/>
    <w:rsid w:val="009D2F0C"/>
    <w:rsid w:val="009D2FD4"/>
    <w:rsid w:val="009D30F6"/>
    <w:rsid w:val="009D3306"/>
    <w:rsid w:val="009D3578"/>
    <w:rsid w:val="009D368B"/>
    <w:rsid w:val="009D3A5F"/>
    <w:rsid w:val="009D3C30"/>
    <w:rsid w:val="009D43E0"/>
    <w:rsid w:val="009D4564"/>
    <w:rsid w:val="009D4573"/>
    <w:rsid w:val="009D46A2"/>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ABA"/>
    <w:rsid w:val="009E0D50"/>
    <w:rsid w:val="009E0D8E"/>
    <w:rsid w:val="009E0DE8"/>
    <w:rsid w:val="009E126D"/>
    <w:rsid w:val="009E1978"/>
    <w:rsid w:val="009E284F"/>
    <w:rsid w:val="009E2DFC"/>
    <w:rsid w:val="009E2F7A"/>
    <w:rsid w:val="009E3061"/>
    <w:rsid w:val="009E33D7"/>
    <w:rsid w:val="009E342E"/>
    <w:rsid w:val="009E3865"/>
    <w:rsid w:val="009E3BA2"/>
    <w:rsid w:val="009E3CD1"/>
    <w:rsid w:val="009E3F75"/>
    <w:rsid w:val="009E436B"/>
    <w:rsid w:val="009E46ED"/>
    <w:rsid w:val="009E500D"/>
    <w:rsid w:val="009E52CC"/>
    <w:rsid w:val="009E54B8"/>
    <w:rsid w:val="009E5520"/>
    <w:rsid w:val="009E5AF5"/>
    <w:rsid w:val="009E5CA7"/>
    <w:rsid w:val="009E5DF0"/>
    <w:rsid w:val="009E5EB5"/>
    <w:rsid w:val="009E65F4"/>
    <w:rsid w:val="009E6605"/>
    <w:rsid w:val="009E6C4F"/>
    <w:rsid w:val="009E7117"/>
    <w:rsid w:val="009E738D"/>
    <w:rsid w:val="009E74F0"/>
    <w:rsid w:val="009E76A2"/>
    <w:rsid w:val="009E77F0"/>
    <w:rsid w:val="009E7AED"/>
    <w:rsid w:val="009E7DFE"/>
    <w:rsid w:val="009E7E05"/>
    <w:rsid w:val="009E7F23"/>
    <w:rsid w:val="009F004D"/>
    <w:rsid w:val="009F019F"/>
    <w:rsid w:val="009F0768"/>
    <w:rsid w:val="009F089B"/>
    <w:rsid w:val="009F09DA"/>
    <w:rsid w:val="009F0A8C"/>
    <w:rsid w:val="009F0D0B"/>
    <w:rsid w:val="009F102A"/>
    <w:rsid w:val="009F143D"/>
    <w:rsid w:val="009F151C"/>
    <w:rsid w:val="009F16D8"/>
    <w:rsid w:val="009F179A"/>
    <w:rsid w:val="009F1E5F"/>
    <w:rsid w:val="009F230E"/>
    <w:rsid w:val="009F2950"/>
    <w:rsid w:val="009F2A19"/>
    <w:rsid w:val="009F30BD"/>
    <w:rsid w:val="009F343B"/>
    <w:rsid w:val="009F4165"/>
    <w:rsid w:val="009F41D3"/>
    <w:rsid w:val="009F473F"/>
    <w:rsid w:val="009F4768"/>
    <w:rsid w:val="009F514E"/>
    <w:rsid w:val="009F55E8"/>
    <w:rsid w:val="009F582C"/>
    <w:rsid w:val="009F5DE3"/>
    <w:rsid w:val="009F6094"/>
    <w:rsid w:val="009F69B9"/>
    <w:rsid w:val="009F6B0A"/>
    <w:rsid w:val="009F6D60"/>
    <w:rsid w:val="009F7354"/>
    <w:rsid w:val="009F7787"/>
    <w:rsid w:val="009F77D7"/>
    <w:rsid w:val="009F7867"/>
    <w:rsid w:val="009F7CB3"/>
    <w:rsid w:val="009F7D66"/>
    <w:rsid w:val="009F7DF1"/>
    <w:rsid w:val="00A0026A"/>
    <w:rsid w:val="00A00354"/>
    <w:rsid w:val="00A007DB"/>
    <w:rsid w:val="00A007E0"/>
    <w:rsid w:val="00A00831"/>
    <w:rsid w:val="00A009F6"/>
    <w:rsid w:val="00A00A35"/>
    <w:rsid w:val="00A00BD2"/>
    <w:rsid w:val="00A00E56"/>
    <w:rsid w:val="00A012C1"/>
    <w:rsid w:val="00A012D6"/>
    <w:rsid w:val="00A0149C"/>
    <w:rsid w:val="00A0177C"/>
    <w:rsid w:val="00A01B34"/>
    <w:rsid w:val="00A026B0"/>
    <w:rsid w:val="00A027F3"/>
    <w:rsid w:val="00A029FF"/>
    <w:rsid w:val="00A035EF"/>
    <w:rsid w:val="00A03978"/>
    <w:rsid w:val="00A03A17"/>
    <w:rsid w:val="00A03A88"/>
    <w:rsid w:val="00A03AB1"/>
    <w:rsid w:val="00A03BC5"/>
    <w:rsid w:val="00A04994"/>
    <w:rsid w:val="00A04D3D"/>
    <w:rsid w:val="00A04D7E"/>
    <w:rsid w:val="00A04F16"/>
    <w:rsid w:val="00A05032"/>
    <w:rsid w:val="00A05149"/>
    <w:rsid w:val="00A051D9"/>
    <w:rsid w:val="00A05275"/>
    <w:rsid w:val="00A055E7"/>
    <w:rsid w:val="00A05779"/>
    <w:rsid w:val="00A05964"/>
    <w:rsid w:val="00A05DF3"/>
    <w:rsid w:val="00A05EE3"/>
    <w:rsid w:val="00A05F89"/>
    <w:rsid w:val="00A06439"/>
    <w:rsid w:val="00A064C3"/>
    <w:rsid w:val="00A06571"/>
    <w:rsid w:val="00A06799"/>
    <w:rsid w:val="00A0696F"/>
    <w:rsid w:val="00A06DBB"/>
    <w:rsid w:val="00A06EB4"/>
    <w:rsid w:val="00A072E4"/>
    <w:rsid w:val="00A076A9"/>
    <w:rsid w:val="00A0794A"/>
    <w:rsid w:val="00A07DCD"/>
    <w:rsid w:val="00A07E08"/>
    <w:rsid w:val="00A07E91"/>
    <w:rsid w:val="00A07FC7"/>
    <w:rsid w:val="00A1001F"/>
    <w:rsid w:val="00A10101"/>
    <w:rsid w:val="00A10B59"/>
    <w:rsid w:val="00A10D79"/>
    <w:rsid w:val="00A10E53"/>
    <w:rsid w:val="00A1133E"/>
    <w:rsid w:val="00A11535"/>
    <w:rsid w:val="00A116D0"/>
    <w:rsid w:val="00A11C81"/>
    <w:rsid w:val="00A11CBF"/>
    <w:rsid w:val="00A11E56"/>
    <w:rsid w:val="00A11FD4"/>
    <w:rsid w:val="00A11FFC"/>
    <w:rsid w:val="00A120E1"/>
    <w:rsid w:val="00A12105"/>
    <w:rsid w:val="00A126AB"/>
    <w:rsid w:val="00A12798"/>
    <w:rsid w:val="00A12DAD"/>
    <w:rsid w:val="00A12FAF"/>
    <w:rsid w:val="00A13597"/>
    <w:rsid w:val="00A1366A"/>
    <w:rsid w:val="00A13A09"/>
    <w:rsid w:val="00A13C7F"/>
    <w:rsid w:val="00A1456B"/>
    <w:rsid w:val="00A147CA"/>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6D6"/>
    <w:rsid w:val="00A179E0"/>
    <w:rsid w:val="00A17C4F"/>
    <w:rsid w:val="00A203D2"/>
    <w:rsid w:val="00A20653"/>
    <w:rsid w:val="00A208DE"/>
    <w:rsid w:val="00A20A39"/>
    <w:rsid w:val="00A20BD4"/>
    <w:rsid w:val="00A20FA3"/>
    <w:rsid w:val="00A21274"/>
    <w:rsid w:val="00A21419"/>
    <w:rsid w:val="00A21A64"/>
    <w:rsid w:val="00A2206D"/>
    <w:rsid w:val="00A22389"/>
    <w:rsid w:val="00A22563"/>
    <w:rsid w:val="00A22B32"/>
    <w:rsid w:val="00A22EBF"/>
    <w:rsid w:val="00A22F1F"/>
    <w:rsid w:val="00A23561"/>
    <w:rsid w:val="00A238BD"/>
    <w:rsid w:val="00A239B5"/>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F0"/>
    <w:rsid w:val="00A26746"/>
    <w:rsid w:val="00A270CD"/>
    <w:rsid w:val="00A2750A"/>
    <w:rsid w:val="00A276A1"/>
    <w:rsid w:val="00A27B55"/>
    <w:rsid w:val="00A30B2D"/>
    <w:rsid w:val="00A31078"/>
    <w:rsid w:val="00A311AE"/>
    <w:rsid w:val="00A311D3"/>
    <w:rsid w:val="00A312A6"/>
    <w:rsid w:val="00A3130E"/>
    <w:rsid w:val="00A31394"/>
    <w:rsid w:val="00A314BC"/>
    <w:rsid w:val="00A315D2"/>
    <w:rsid w:val="00A3193B"/>
    <w:rsid w:val="00A31AA3"/>
    <w:rsid w:val="00A3223F"/>
    <w:rsid w:val="00A324BA"/>
    <w:rsid w:val="00A324CF"/>
    <w:rsid w:val="00A328C1"/>
    <w:rsid w:val="00A32D0C"/>
    <w:rsid w:val="00A32E8B"/>
    <w:rsid w:val="00A32ED6"/>
    <w:rsid w:val="00A330FB"/>
    <w:rsid w:val="00A33448"/>
    <w:rsid w:val="00A33776"/>
    <w:rsid w:val="00A33A19"/>
    <w:rsid w:val="00A33ABE"/>
    <w:rsid w:val="00A33EAE"/>
    <w:rsid w:val="00A344A2"/>
    <w:rsid w:val="00A344A5"/>
    <w:rsid w:val="00A345EB"/>
    <w:rsid w:val="00A346C3"/>
    <w:rsid w:val="00A34B5F"/>
    <w:rsid w:val="00A34C82"/>
    <w:rsid w:val="00A34D3B"/>
    <w:rsid w:val="00A34D4A"/>
    <w:rsid w:val="00A34FE0"/>
    <w:rsid w:val="00A350D1"/>
    <w:rsid w:val="00A351E6"/>
    <w:rsid w:val="00A35D3B"/>
    <w:rsid w:val="00A35E47"/>
    <w:rsid w:val="00A36130"/>
    <w:rsid w:val="00A36155"/>
    <w:rsid w:val="00A3629E"/>
    <w:rsid w:val="00A365AD"/>
    <w:rsid w:val="00A36E31"/>
    <w:rsid w:val="00A3769A"/>
    <w:rsid w:val="00A37741"/>
    <w:rsid w:val="00A37FF3"/>
    <w:rsid w:val="00A400EE"/>
    <w:rsid w:val="00A40275"/>
    <w:rsid w:val="00A402A4"/>
    <w:rsid w:val="00A40B61"/>
    <w:rsid w:val="00A40C7A"/>
    <w:rsid w:val="00A410AC"/>
    <w:rsid w:val="00A415A4"/>
    <w:rsid w:val="00A4183F"/>
    <w:rsid w:val="00A41AB3"/>
    <w:rsid w:val="00A424F3"/>
    <w:rsid w:val="00A427F1"/>
    <w:rsid w:val="00A42A85"/>
    <w:rsid w:val="00A42CF3"/>
    <w:rsid w:val="00A42D07"/>
    <w:rsid w:val="00A42E9D"/>
    <w:rsid w:val="00A434CF"/>
    <w:rsid w:val="00A436B1"/>
    <w:rsid w:val="00A4383E"/>
    <w:rsid w:val="00A4434C"/>
    <w:rsid w:val="00A443C4"/>
    <w:rsid w:val="00A44413"/>
    <w:rsid w:val="00A445A4"/>
    <w:rsid w:val="00A446F3"/>
    <w:rsid w:val="00A448DA"/>
    <w:rsid w:val="00A44B43"/>
    <w:rsid w:val="00A4503E"/>
    <w:rsid w:val="00A450C0"/>
    <w:rsid w:val="00A452F3"/>
    <w:rsid w:val="00A45468"/>
    <w:rsid w:val="00A455F3"/>
    <w:rsid w:val="00A45A43"/>
    <w:rsid w:val="00A46408"/>
    <w:rsid w:val="00A467BA"/>
    <w:rsid w:val="00A46F20"/>
    <w:rsid w:val="00A471A8"/>
    <w:rsid w:val="00A472D5"/>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A"/>
    <w:rsid w:val="00A54004"/>
    <w:rsid w:val="00A5404D"/>
    <w:rsid w:val="00A54151"/>
    <w:rsid w:val="00A541BD"/>
    <w:rsid w:val="00A54C79"/>
    <w:rsid w:val="00A5506D"/>
    <w:rsid w:val="00A550D0"/>
    <w:rsid w:val="00A55325"/>
    <w:rsid w:val="00A555A7"/>
    <w:rsid w:val="00A56366"/>
    <w:rsid w:val="00A56824"/>
    <w:rsid w:val="00A5691E"/>
    <w:rsid w:val="00A5693E"/>
    <w:rsid w:val="00A5698B"/>
    <w:rsid w:val="00A56EF3"/>
    <w:rsid w:val="00A5765D"/>
    <w:rsid w:val="00A579BD"/>
    <w:rsid w:val="00A57CB6"/>
    <w:rsid w:val="00A57DDD"/>
    <w:rsid w:val="00A607CB"/>
    <w:rsid w:val="00A60957"/>
    <w:rsid w:val="00A6116A"/>
    <w:rsid w:val="00A613B0"/>
    <w:rsid w:val="00A61556"/>
    <w:rsid w:val="00A61942"/>
    <w:rsid w:val="00A61C8E"/>
    <w:rsid w:val="00A61DCA"/>
    <w:rsid w:val="00A6223B"/>
    <w:rsid w:val="00A62289"/>
    <w:rsid w:val="00A62F57"/>
    <w:rsid w:val="00A6351F"/>
    <w:rsid w:val="00A63758"/>
    <w:rsid w:val="00A63809"/>
    <w:rsid w:val="00A63B54"/>
    <w:rsid w:val="00A63DA1"/>
    <w:rsid w:val="00A63ECB"/>
    <w:rsid w:val="00A63F0C"/>
    <w:rsid w:val="00A64278"/>
    <w:rsid w:val="00A64A6E"/>
    <w:rsid w:val="00A6519F"/>
    <w:rsid w:val="00A65931"/>
    <w:rsid w:val="00A65A70"/>
    <w:rsid w:val="00A65ADB"/>
    <w:rsid w:val="00A66479"/>
    <w:rsid w:val="00A665C9"/>
    <w:rsid w:val="00A6665F"/>
    <w:rsid w:val="00A66691"/>
    <w:rsid w:val="00A66789"/>
    <w:rsid w:val="00A66F36"/>
    <w:rsid w:val="00A6744F"/>
    <w:rsid w:val="00A67512"/>
    <w:rsid w:val="00A6758B"/>
    <w:rsid w:val="00A676D9"/>
    <w:rsid w:val="00A67838"/>
    <w:rsid w:val="00A67EFC"/>
    <w:rsid w:val="00A67F82"/>
    <w:rsid w:val="00A7031E"/>
    <w:rsid w:val="00A70806"/>
    <w:rsid w:val="00A71140"/>
    <w:rsid w:val="00A71439"/>
    <w:rsid w:val="00A71921"/>
    <w:rsid w:val="00A7205E"/>
    <w:rsid w:val="00A7207B"/>
    <w:rsid w:val="00A72BD7"/>
    <w:rsid w:val="00A73D11"/>
    <w:rsid w:val="00A74256"/>
    <w:rsid w:val="00A74692"/>
    <w:rsid w:val="00A74773"/>
    <w:rsid w:val="00A7477C"/>
    <w:rsid w:val="00A749CD"/>
    <w:rsid w:val="00A75149"/>
    <w:rsid w:val="00A7525D"/>
    <w:rsid w:val="00A75447"/>
    <w:rsid w:val="00A7579A"/>
    <w:rsid w:val="00A75817"/>
    <w:rsid w:val="00A75942"/>
    <w:rsid w:val="00A75A52"/>
    <w:rsid w:val="00A75CC7"/>
    <w:rsid w:val="00A75D62"/>
    <w:rsid w:val="00A7618B"/>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E3C"/>
    <w:rsid w:val="00A80E52"/>
    <w:rsid w:val="00A81336"/>
    <w:rsid w:val="00A815FE"/>
    <w:rsid w:val="00A82325"/>
    <w:rsid w:val="00A83EE7"/>
    <w:rsid w:val="00A84042"/>
    <w:rsid w:val="00A84080"/>
    <w:rsid w:val="00A84367"/>
    <w:rsid w:val="00A845D4"/>
    <w:rsid w:val="00A8498D"/>
    <w:rsid w:val="00A84F22"/>
    <w:rsid w:val="00A84F8B"/>
    <w:rsid w:val="00A852DD"/>
    <w:rsid w:val="00A8554F"/>
    <w:rsid w:val="00A85798"/>
    <w:rsid w:val="00A8609D"/>
    <w:rsid w:val="00A86115"/>
    <w:rsid w:val="00A8619A"/>
    <w:rsid w:val="00A86A18"/>
    <w:rsid w:val="00A86A75"/>
    <w:rsid w:val="00A86E9B"/>
    <w:rsid w:val="00A86EA7"/>
    <w:rsid w:val="00A86FD2"/>
    <w:rsid w:val="00A87568"/>
    <w:rsid w:val="00A8776F"/>
    <w:rsid w:val="00A87840"/>
    <w:rsid w:val="00A87C0B"/>
    <w:rsid w:val="00A87FEA"/>
    <w:rsid w:val="00A90254"/>
    <w:rsid w:val="00A90C8B"/>
    <w:rsid w:val="00A90CDA"/>
    <w:rsid w:val="00A90E29"/>
    <w:rsid w:val="00A90EA6"/>
    <w:rsid w:val="00A90FE2"/>
    <w:rsid w:val="00A91241"/>
    <w:rsid w:val="00A91244"/>
    <w:rsid w:val="00A91427"/>
    <w:rsid w:val="00A9144F"/>
    <w:rsid w:val="00A914B6"/>
    <w:rsid w:val="00A91587"/>
    <w:rsid w:val="00A91774"/>
    <w:rsid w:val="00A91785"/>
    <w:rsid w:val="00A91C7F"/>
    <w:rsid w:val="00A91E3C"/>
    <w:rsid w:val="00A91F44"/>
    <w:rsid w:val="00A91F7B"/>
    <w:rsid w:val="00A92066"/>
    <w:rsid w:val="00A92776"/>
    <w:rsid w:val="00A929A8"/>
    <w:rsid w:val="00A92BA2"/>
    <w:rsid w:val="00A92C47"/>
    <w:rsid w:val="00A92ED5"/>
    <w:rsid w:val="00A92F84"/>
    <w:rsid w:val="00A93089"/>
    <w:rsid w:val="00A93181"/>
    <w:rsid w:val="00A93637"/>
    <w:rsid w:val="00A938E6"/>
    <w:rsid w:val="00A93A52"/>
    <w:rsid w:val="00A93CCF"/>
    <w:rsid w:val="00A93E59"/>
    <w:rsid w:val="00A93E98"/>
    <w:rsid w:val="00A9418D"/>
    <w:rsid w:val="00A94A0C"/>
    <w:rsid w:val="00A94E4E"/>
    <w:rsid w:val="00A95377"/>
    <w:rsid w:val="00A9540D"/>
    <w:rsid w:val="00A95514"/>
    <w:rsid w:val="00A95AC6"/>
    <w:rsid w:val="00A95BD5"/>
    <w:rsid w:val="00A95C53"/>
    <w:rsid w:val="00A95D36"/>
    <w:rsid w:val="00A95DAB"/>
    <w:rsid w:val="00A9617B"/>
    <w:rsid w:val="00A9683B"/>
    <w:rsid w:val="00A96CC6"/>
    <w:rsid w:val="00A96F78"/>
    <w:rsid w:val="00A9764B"/>
    <w:rsid w:val="00A979E1"/>
    <w:rsid w:val="00A97B04"/>
    <w:rsid w:val="00AA0B9E"/>
    <w:rsid w:val="00AA1087"/>
    <w:rsid w:val="00AA1332"/>
    <w:rsid w:val="00AA1A06"/>
    <w:rsid w:val="00AA1E72"/>
    <w:rsid w:val="00AA20D7"/>
    <w:rsid w:val="00AA22E4"/>
    <w:rsid w:val="00AA247C"/>
    <w:rsid w:val="00AA25A9"/>
    <w:rsid w:val="00AA26D9"/>
    <w:rsid w:val="00AA278A"/>
    <w:rsid w:val="00AA2BBC"/>
    <w:rsid w:val="00AA2BC7"/>
    <w:rsid w:val="00AA3183"/>
    <w:rsid w:val="00AA3632"/>
    <w:rsid w:val="00AA3794"/>
    <w:rsid w:val="00AA388B"/>
    <w:rsid w:val="00AA3920"/>
    <w:rsid w:val="00AA3B54"/>
    <w:rsid w:val="00AA4605"/>
    <w:rsid w:val="00AA48B5"/>
    <w:rsid w:val="00AA4ED6"/>
    <w:rsid w:val="00AA4F72"/>
    <w:rsid w:val="00AA5166"/>
    <w:rsid w:val="00AA51AD"/>
    <w:rsid w:val="00AA53DA"/>
    <w:rsid w:val="00AA591E"/>
    <w:rsid w:val="00AA5AC2"/>
    <w:rsid w:val="00AA5DF4"/>
    <w:rsid w:val="00AA5E41"/>
    <w:rsid w:val="00AA618B"/>
    <w:rsid w:val="00AA61DE"/>
    <w:rsid w:val="00AA6205"/>
    <w:rsid w:val="00AA65C9"/>
    <w:rsid w:val="00AA66CB"/>
    <w:rsid w:val="00AA6BFA"/>
    <w:rsid w:val="00AA6F1E"/>
    <w:rsid w:val="00AA70C8"/>
    <w:rsid w:val="00AA72D9"/>
    <w:rsid w:val="00AA73B0"/>
    <w:rsid w:val="00AA79D5"/>
    <w:rsid w:val="00AA7B08"/>
    <w:rsid w:val="00AA7B14"/>
    <w:rsid w:val="00AA7D0F"/>
    <w:rsid w:val="00AB0244"/>
    <w:rsid w:val="00AB0366"/>
    <w:rsid w:val="00AB03E6"/>
    <w:rsid w:val="00AB0A32"/>
    <w:rsid w:val="00AB0ABB"/>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60E2"/>
    <w:rsid w:val="00AB6601"/>
    <w:rsid w:val="00AB6731"/>
    <w:rsid w:val="00AB674E"/>
    <w:rsid w:val="00AB6B23"/>
    <w:rsid w:val="00AB6D79"/>
    <w:rsid w:val="00AB6E01"/>
    <w:rsid w:val="00AB709E"/>
    <w:rsid w:val="00AB7333"/>
    <w:rsid w:val="00AB73A9"/>
    <w:rsid w:val="00AB75E2"/>
    <w:rsid w:val="00AB7806"/>
    <w:rsid w:val="00AB78F3"/>
    <w:rsid w:val="00AB798A"/>
    <w:rsid w:val="00AB7EA6"/>
    <w:rsid w:val="00AC01E7"/>
    <w:rsid w:val="00AC02C1"/>
    <w:rsid w:val="00AC0AB6"/>
    <w:rsid w:val="00AC102F"/>
    <w:rsid w:val="00AC10AD"/>
    <w:rsid w:val="00AC131F"/>
    <w:rsid w:val="00AC13EB"/>
    <w:rsid w:val="00AC1608"/>
    <w:rsid w:val="00AC1C72"/>
    <w:rsid w:val="00AC1E1A"/>
    <w:rsid w:val="00AC1E55"/>
    <w:rsid w:val="00AC1FD3"/>
    <w:rsid w:val="00AC2257"/>
    <w:rsid w:val="00AC25EA"/>
    <w:rsid w:val="00AC299F"/>
    <w:rsid w:val="00AC35BD"/>
    <w:rsid w:val="00AC3D06"/>
    <w:rsid w:val="00AC3F35"/>
    <w:rsid w:val="00AC429F"/>
    <w:rsid w:val="00AC43B8"/>
    <w:rsid w:val="00AC4403"/>
    <w:rsid w:val="00AC45CE"/>
    <w:rsid w:val="00AC4AE7"/>
    <w:rsid w:val="00AC4E4A"/>
    <w:rsid w:val="00AC4E7D"/>
    <w:rsid w:val="00AC4E85"/>
    <w:rsid w:val="00AC4FCC"/>
    <w:rsid w:val="00AC5BEA"/>
    <w:rsid w:val="00AC5E26"/>
    <w:rsid w:val="00AC60B4"/>
    <w:rsid w:val="00AC67B6"/>
    <w:rsid w:val="00AC6880"/>
    <w:rsid w:val="00AC6A73"/>
    <w:rsid w:val="00AC7169"/>
    <w:rsid w:val="00AC71EA"/>
    <w:rsid w:val="00AC720D"/>
    <w:rsid w:val="00AC740E"/>
    <w:rsid w:val="00AC745E"/>
    <w:rsid w:val="00AC7AF6"/>
    <w:rsid w:val="00AC7D98"/>
    <w:rsid w:val="00AD00C5"/>
    <w:rsid w:val="00AD01B6"/>
    <w:rsid w:val="00AD02CE"/>
    <w:rsid w:val="00AD1289"/>
    <w:rsid w:val="00AD165F"/>
    <w:rsid w:val="00AD206C"/>
    <w:rsid w:val="00AD2144"/>
    <w:rsid w:val="00AD22BD"/>
    <w:rsid w:val="00AD2772"/>
    <w:rsid w:val="00AD278E"/>
    <w:rsid w:val="00AD2794"/>
    <w:rsid w:val="00AD2DC5"/>
    <w:rsid w:val="00AD3071"/>
    <w:rsid w:val="00AD32CA"/>
    <w:rsid w:val="00AD3302"/>
    <w:rsid w:val="00AD3455"/>
    <w:rsid w:val="00AD3CAD"/>
    <w:rsid w:val="00AD3D7E"/>
    <w:rsid w:val="00AD4021"/>
    <w:rsid w:val="00AD46CD"/>
    <w:rsid w:val="00AD4E5C"/>
    <w:rsid w:val="00AD510D"/>
    <w:rsid w:val="00AD554B"/>
    <w:rsid w:val="00AD5651"/>
    <w:rsid w:val="00AD5A99"/>
    <w:rsid w:val="00AD652D"/>
    <w:rsid w:val="00AD652E"/>
    <w:rsid w:val="00AD6543"/>
    <w:rsid w:val="00AD68EF"/>
    <w:rsid w:val="00AD69FF"/>
    <w:rsid w:val="00AD6C13"/>
    <w:rsid w:val="00AD6FC9"/>
    <w:rsid w:val="00AD702B"/>
    <w:rsid w:val="00AD7055"/>
    <w:rsid w:val="00AD72E6"/>
    <w:rsid w:val="00AD72F6"/>
    <w:rsid w:val="00AD7483"/>
    <w:rsid w:val="00AD74D9"/>
    <w:rsid w:val="00AD7C95"/>
    <w:rsid w:val="00AD7FCD"/>
    <w:rsid w:val="00AE03BD"/>
    <w:rsid w:val="00AE03CE"/>
    <w:rsid w:val="00AE0BA2"/>
    <w:rsid w:val="00AE1267"/>
    <w:rsid w:val="00AE14C9"/>
    <w:rsid w:val="00AE2201"/>
    <w:rsid w:val="00AE264E"/>
    <w:rsid w:val="00AE265B"/>
    <w:rsid w:val="00AE2756"/>
    <w:rsid w:val="00AE2BED"/>
    <w:rsid w:val="00AE2C56"/>
    <w:rsid w:val="00AE34C2"/>
    <w:rsid w:val="00AE39AF"/>
    <w:rsid w:val="00AE3B40"/>
    <w:rsid w:val="00AE3DE1"/>
    <w:rsid w:val="00AE3E36"/>
    <w:rsid w:val="00AE4DF3"/>
    <w:rsid w:val="00AE4E93"/>
    <w:rsid w:val="00AE4EF6"/>
    <w:rsid w:val="00AE5439"/>
    <w:rsid w:val="00AE561D"/>
    <w:rsid w:val="00AE575E"/>
    <w:rsid w:val="00AE57C0"/>
    <w:rsid w:val="00AE61B2"/>
    <w:rsid w:val="00AE62B0"/>
    <w:rsid w:val="00AE66E2"/>
    <w:rsid w:val="00AE6B80"/>
    <w:rsid w:val="00AE6DA6"/>
    <w:rsid w:val="00AE6DAC"/>
    <w:rsid w:val="00AE7876"/>
    <w:rsid w:val="00AE78D1"/>
    <w:rsid w:val="00AE7987"/>
    <w:rsid w:val="00AE7F27"/>
    <w:rsid w:val="00AE7F89"/>
    <w:rsid w:val="00AE7FBB"/>
    <w:rsid w:val="00AE7FC5"/>
    <w:rsid w:val="00AF036B"/>
    <w:rsid w:val="00AF039D"/>
    <w:rsid w:val="00AF0583"/>
    <w:rsid w:val="00AF0827"/>
    <w:rsid w:val="00AF093E"/>
    <w:rsid w:val="00AF094F"/>
    <w:rsid w:val="00AF0ABC"/>
    <w:rsid w:val="00AF1146"/>
    <w:rsid w:val="00AF13B2"/>
    <w:rsid w:val="00AF1578"/>
    <w:rsid w:val="00AF2D54"/>
    <w:rsid w:val="00AF2E72"/>
    <w:rsid w:val="00AF30F4"/>
    <w:rsid w:val="00AF3458"/>
    <w:rsid w:val="00AF3C33"/>
    <w:rsid w:val="00AF3F7B"/>
    <w:rsid w:val="00AF41A3"/>
    <w:rsid w:val="00AF42B4"/>
    <w:rsid w:val="00AF4884"/>
    <w:rsid w:val="00AF4B8A"/>
    <w:rsid w:val="00AF4E78"/>
    <w:rsid w:val="00AF4F1B"/>
    <w:rsid w:val="00AF51AC"/>
    <w:rsid w:val="00AF5417"/>
    <w:rsid w:val="00AF5448"/>
    <w:rsid w:val="00AF5927"/>
    <w:rsid w:val="00AF5B6A"/>
    <w:rsid w:val="00AF5EC6"/>
    <w:rsid w:val="00AF64B2"/>
    <w:rsid w:val="00AF6C38"/>
    <w:rsid w:val="00AF6D55"/>
    <w:rsid w:val="00AF6DBE"/>
    <w:rsid w:val="00AF6E8A"/>
    <w:rsid w:val="00AF7213"/>
    <w:rsid w:val="00AF723D"/>
    <w:rsid w:val="00AF75D3"/>
    <w:rsid w:val="00AF7771"/>
    <w:rsid w:val="00AF7D92"/>
    <w:rsid w:val="00B0025C"/>
    <w:rsid w:val="00B00374"/>
    <w:rsid w:val="00B009C0"/>
    <w:rsid w:val="00B00A92"/>
    <w:rsid w:val="00B00FF1"/>
    <w:rsid w:val="00B011CC"/>
    <w:rsid w:val="00B014F7"/>
    <w:rsid w:val="00B015A6"/>
    <w:rsid w:val="00B01C3D"/>
    <w:rsid w:val="00B01D84"/>
    <w:rsid w:val="00B02799"/>
    <w:rsid w:val="00B0296E"/>
    <w:rsid w:val="00B02B2B"/>
    <w:rsid w:val="00B02C4C"/>
    <w:rsid w:val="00B0314D"/>
    <w:rsid w:val="00B032CA"/>
    <w:rsid w:val="00B03A62"/>
    <w:rsid w:val="00B03BB1"/>
    <w:rsid w:val="00B03D77"/>
    <w:rsid w:val="00B03E0E"/>
    <w:rsid w:val="00B03F7A"/>
    <w:rsid w:val="00B04048"/>
    <w:rsid w:val="00B04A99"/>
    <w:rsid w:val="00B04CC5"/>
    <w:rsid w:val="00B04CD2"/>
    <w:rsid w:val="00B04F3D"/>
    <w:rsid w:val="00B04F97"/>
    <w:rsid w:val="00B052A9"/>
    <w:rsid w:val="00B05629"/>
    <w:rsid w:val="00B05702"/>
    <w:rsid w:val="00B05972"/>
    <w:rsid w:val="00B05C9A"/>
    <w:rsid w:val="00B06339"/>
    <w:rsid w:val="00B06636"/>
    <w:rsid w:val="00B0674D"/>
    <w:rsid w:val="00B06BF7"/>
    <w:rsid w:val="00B06DD9"/>
    <w:rsid w:val="00B07510"/>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D56"/>
    <w:rsid w:val="00B12E67"/>
    <w:rsid w:val="00B12F75"/>
    <w:rsid w:val="00B1302D"/>
    <w:rsid w:val="00B1304B"/>
    <w:rsid w:val="00B131BE"/>
    <w:rsid w:val="00B13519"/>
    <w:rsid w:val="00B14422"/>
    <w:rsid w:val="00B14975"/>
    <w:rsid w:val="00B14F1C"/>
    <w:rsid w:val="00B14FDD"/>
    <w:rsid w:val="00B1513F"/>
    <w:rsid w:val="00B15386"/>
    <w:rsid w:val="00B153E3"/>
    <w:rsid w:val="00B156A8"/>
    <w:rsid w:val="00B156EB"/>
    <w:rsid w:val="00B15862"/>
    <w:rsid w:val="00B15A8A"/>
    <w:rsid w:val="00B15B74"/>
    <w:rsid w:val="00B15B89"/>
    <w:rsid w:val="00B1630F"/>
    <w:rsid w:val="00B16961"/>
    <w:rsid w:val="00B16FB5"/>
    <w:rsid w:val="00B171DA"/>
    <w:rsid w:val="00B17326"/>
    <w:rsid w:val="00B1746F"/>
    <w:rsid w:val="00B1749A"/>
    <w:rsid w:val="00B176E5"/>
    <w:rsid w:val="00B1774E"/>
    <w:rsid w:val="00B17807"/>
    <w:rsid w:val="00B17C5B"/>
    <w:rsid w:val="00B20091"/>
    <w:rsid w:val="00B2048B"/>
    <w:rsid w:val="00B20725"/>
    <w:rsid w:val="00B2087E"/>
    <w:rsid w:val="00B20B11"/>
    <w:rsid w:val="00B20B94"/>
    <w:rsid w:val="00B20CB5"/>
    <w:rsid w:val="00B20EFF"/>
    <w:rsid w:val="00B21731"/>
    <w:rsid w:val="00B21A8C"/>
    <w:rsid w:val="00B22125"/>
    <w:rsid w:val="00B2223A"/>
    <w:rsid w:val="00B225C2"/>
    <w:rsid w:val="00B225EA"/>
    <w:rsid w:val="00B22976"/>
    <w:rsid w:val="00B229DC"/>
    <w:rsid w:val="00B22D57"/>
    <w:rsid w:val="00B22E6C"/>
    <w:rsid w:val="00B22F30"/>
    <w:rsid w:val="00B22F65"/>
    <w:rsid w:val="00B23029"/>
    <w:rsid w:val="00B23A9D"/>
    <w:rsid w:val="00B23AA2"/>
    <w:rsid w:val="00B23B88"/>
    <w:rsid w:val="00B23BE7"/>
    <w:rsid w:val="00B23C56"/>
    <w:rsid w:val="00B248D0"/>
    <w:rsid w:val="00B25410"/>
    <w:rsid w:val="00B2541B"/>
    <w:rsid w:val="00B256FD"/>
    <w:rsid w:val="00B2585D"/>
    <w:rsid w:val="00B259F7"/>
    <w:rsid w:val="00B25D32"/>
    <w:rsid w:val="00B25ED0"/>
    <w:rsid w:val="00B25FC2"/>
    <w:rsid w:val="00B2628E"/>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F11"/>
    <w:rsid w:val="00B33FA4"/>
    <w:rsid w:val="00B3426D"/>
    <w:rsid w:val="00B34358"/>
    <w:rsid w:val="00B34E63"/>
    <w:rsid w:val="00B35114"/>
    <w:rsid w:val="00B35328"/>
    <w:rsid w:val="00B35BEC"/>
    <w:rsid w:val="00B35DA4"/>
    <w:rsid w:val="00B362DC"/>
    <w:rsid w:val="00B36360"/>
    <w:rsid w:val="00B36376"/>
    <w:rsid w:val="00B363F5"/>
    <w:rsid w:val="00B3680D"/>
    <w:rsid w:val="00B36EB7"/>
    <w:rsid w:val="00B40691"/>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6B"/>
    <w:rsid w:val="00B4408E"/>
    <w:rsid w:val="00B442B7"/>
    <w:rsid w:val="00B44499"/>
    <w:rsid w:val="00B445FE"/>
    <w:rsid w:val="00B44979"/>
    <w:rsid w:val="00B44AC0"/>
    <w:rsid w:val="00B44B5B"/>
    <w:rsid w:val="00B45470"/>
    <w:rsid w:val="00B45507"/>
    <w:rsid w:val="00B456A8"/>
    <w:rsid w:val="00B45CE1"/>
    <w:rsid w:val="00B46151"/>
    <w:rsid w:val="00B46214"/>
    <w:rsid w:val="00B463F2"/>
    <w:rsid w:val="00B46A75"/>
    <w:rsid w:val="00B46C29"/>
    <w:rsid w:val="00B46DD4"/>
    <w:rsid w:val="00B470A7"/>
    <w:rsid w:val="00B475E2"/>
    <w:rsid w:val="00B47705"/>
    <w:rsid w:val="00B47989"/>
    <w:rsid w:val="00B47C02"/>
    <w:rsid w:val="00B47C4C"/>
    <w:rsid w:val="00B47E8C"/>
    <w:rsid w:val="00B500CD"/>
    <w:rsid w:val="00B50614"/>
    <w:rsid w:val="00B50B05"/>
    <w:rsid w:val="00B50CE5"/>
    <w:rsid w:val="00B5103C"/>
    <w:rsid w:val="00B5109D"/>
    <w:rsid w:val="00B51237"/>
    <w:rsid w:val="00B51BFC"/>
    <w:rsid w:val="00B51C7D"/>
    <w:rsid w:val="00B5239C"/>
    <w:rsid w:val="00B524CC"/>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9E4"/>
    <w:rsid w:val="00B56BD8"/>
    <w:rsid w:val="00B56FBC"/>
    <w:rsid w:val="00B570BF"/>
    <w:rsid w:val="00B57919"/>
    <w:rsid w:val="00B57F58"/>
    <w:rsid w:val="00B60170"/>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E"/>
    <w:rsid w:val="00B639D7"/>
    <w:rsid w:val="00B63D49"/>
    <w:rsid w:val="00B63DFC"/>
    <w:rsid w:val="00B63FD8"/>
    <w:rsid w:val="00B6450B"/>
    <w:rsid w:val="00B64989"/>
    <w:rsid w:val="00B64AA7"/>
    <w:rsid w:val="00B64CA3"/>
    <w:rsid w:val="00B64D0E"/>
    <w:rsid w:val="00B6525D"/>
    <w:rsid w:val="00B65452"/>
    <w:rsid w:val="00B655FB"/>
    <w:rsid w:val="00B65649"/>
    <w:rsid w:val="00B65929"/>
    <w:rsid w:val="00B65AF4"/>
    <w:rsid w:val="00B65CCF"/>
    <w:rsid w:val="00B65EFE"/>
    <w:rsid w:val="00B66594"/>
    <w:rsid w:val="00B66BA4"/>
    <w:rsid w:val="00B67502"/>
    <w:rsid w:val="00B677EF"/>
    <w:rsid w:val="00B67805"/>
    <w:rsid w:val="00B67C7E"/>
    <w:rsid w:val="00B67E2A"/>
    <w:rsid w:val="00B70117"/>
    <w:rsid w:val="00B701FE"/>
    <w:rsid w:val="00B7029F"/>
    <w:rsid w:val="00B70AC2"/>
    <w:rsid w:val="00B711C9"/>
    <w:rsid w:val="00B711CD"/>
    <w:rsid w:val="00B71330"/>
    <w:rsid w:val="00B713AE"/>
    <w:rsid w:val="00B71CB6"/>
    <w:rsid w:val="00B72007"/>
    <w:rsid w:val="00B72188"/>
    <w:rsid w:val="00B721CD"/>
    <w:rsid w:val="00B7227B"/>
    <w:rsid w:val="00B723B5"/>
    <w:rsid w:val="00B7267A"/>
    <w:rsid w:val="00B726FF"/>
    <w:rsid w:val="00B7277B"/>
    <w:rsid w:val="00B72A5B"/>
    <w:rsid w:val="00B72AA4"/>
    <w:rsid w:val="00B72AF2"/>
    <w:rsid w:val="00B73742"/>
    <w:rsid w:val="00B73DCD"/>
    <w:rsid w:val="00B73FEC"/>
    <w:rsid w:val="00B74397"/>
    <w:rsid w:val="00B74617"/>
    <w:rsid w:val="00B7502B"/>
    <w:rsid w:val="00B75454"/>
    <w:rsid w:val="00B757D6"/>
    <w:rsid w:val="00B760EE"/>
    <w:rsid w:val="00B76BCD"/>
    <w:rsid w:val="00B76D32"/>
    <w:rsid w:val="00B76E40"/>
    <w:rsid w:val="00B76EE9"/>
    <w:rsid w:val="00B77001"/>
    <w:rsid w:val="00B77231"/>
    <w:rsid w:val="00B776AF"/>
    <w:rsid w:val="00B77880"/>
    <w:rsid w:val="00B77B84"/>
    <w:rsid w:val="00B77E84"/>
    <w:rsid w:val="00B77FF6"/>
    <w:rsid w:val="00B803C0"/>
    <w:rsid w:val="00B807D0"/>
    <w:rsid w:val="00B8083A"/>
    <w:rsid w:val="00B80BBB"/>
    <w:rsid w:val="00B80D90"/>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5D0"/>
    <w:rsid w:val="00B84701"/>
    <w:rsid w:val="00B84854"/>
    <w:rsid w:val="00B84A80"/>
    <w:rsid w:val="00B84C61"/>
    <w:rsid w:val="00B84E9C"/>
    <w:rsid w:val="00B85522"/>
    <w:rsid w:val="00B85DBB"/>
    <w:rsid w:val="00B85E17"/>
    <w:rsid w:val="00B863D1"/>
    <w:rsid w:val="00B86960"/>
    <w:rsid w:val="00B86B99"/>
    <w:rsid w:val="00B87003"/>
    <w:rsid w:val="00B871D6"/>
    <w:rsid w:val="00B873DC"/>
    <w:rsid w:val="00B87660"/>
    <w:rsid w:val="00B90340"/>
    <w:rsid w:val="00B90C0E"/>
    <w:rsid w:val="00B90CF4"/>
    <w:rsid w:val="00B90E2A"/>
    <w:rsid w:val="00B90F2A"/>
    <w:rsid w:val="00B9104A"/>
    <w:rsid w:val="00B914D1"/>
    <w:rsid w:val="00B91522"/>
    <w:rsid w:val="00B9198D"/>
    <w:rsid w:val="00B91BA0"/>
    <w:rsid w:val="00B91F3B"/>
    <w:rsid w:val="00B92AEF"/>
    <w:rsid w:val="00B92D25"/>
    <w:rsid w:val="00B93008"/>
    <w:rsid w:val="00B931D1"/>
    <w:rsid w:val="00B93542"/>
    <w:rsid w:val="00B93675"/>
    <w:rsid w:val="00B93755"/>
    <w:rsid w:val="00B9386F"/>
    <w:rsid w:val="00B9406D"/>
    <w:rsid w:val="00B942E1"/>
    <w:rsid w:val="00B94AFA"/>
    <w:rsid w:val="00B94BA7"/>
    <w:rsid w:val="00B94E0E"/>
    <w:rsid w:val="00B94E7E"/>
    <w:rsid w:val="00B94F43"/>
    <w:rsid w:val="00B94F6E"/>
    <w:rsid w:val="00B95297"/>
    <w:rsid w:val="00B9530E"/>
    <w:rsid w:val="00B95682"/>
    <w:rsid w:val="00B95968"/>
    <w:rsid w:val="00B95DFF"/>
    <w:rsid w:val="00B96413"/>
    <w:rsid w:val="00B966F2"/>
    <w:rsid w:val="00B97383"/>
    <w:rsid w:val="00B97476"/>
    <w:rsid w:val="00B979B9"/>
    <w:rsid w:val="00B979FB"/>
    <w:rsid w:val="00B97CA3"/>
    <w:rsid w:val="00B97FF6"/>
    <w:rsid w:val="00BA0396"/>
    <w:rsid w:val="00BA0AA7"/>
    <w:rsid w:val="00BA0ABC"/>
    <w:rsid w:val="00BA0E34"/>
    <w:rsid w:val="00BA1104"/>
    <w:rsid w:val="00BA1203"/>
    <w:rsid w:val="00BA1564"/>
    <w:rsid w:val="00BA1872"/>
    <w:rsid w:val="00BA1913"/>
    <w:rsid w:val="00BA1C7B"/>
    <w:rsid w:val="00BA1CF0"/>
    <w:rsid w:val="00BA1DAC"/>
    <w:rsid w:val="00BA1DB7"/>
    <w:rsid w:val="00BA207E"/>
    <w:rsid w:val="00BA25A9"/>
    <w:rsid w:val="00BA2BC9"/>
    <w:rsid w:val="00BA2C41"/>
    <w:rsid w:val="00BA2F6F"/>
    <w:rsid w:val="00BA43BB"/>
    <w:rsid w:val="00BA4416"/>
    <w:rsid w:val="00BA4641"/>
    <w:rsid w:val="00BA49F6"/>
    <w:rsid w:val="00BA4A54"/>
    <w:rsid w:val="00BA4CF3"/>
    <w:rsid w:val="00BA509A"/>
    <w:rsid w:val="00BA525B"/>
    <w:rsid w:val="00BA5543"/>
    <w:rsid w:val="00BA5A78"/>
    <w:rsid w:val="00BA5ACB"/>
    <w:rsid w:val="00BA6543"/>
    <w:rsid w:val="00BA6702"/>
    <w:rsid w:val="00BA6853"/>
    <w:rsid w:val="00BA70BE"/>
    <w:rsid w:val="00BA7205"/>
    <w:rsid w:val="00BA76A9"/>
    <w:rsid w:val="00BA76FC"/>
    <w:rsid w:val="00BA7794"/>
    <w:rsid w:val="00BA7AE7"/>
    <w:rsid w:val="00BA7DB1"/>
    <w:rsid w:val="00BA7DF1"/>
    <w:rsid w:val="00BB0112"/>
    <w:rsid w:val="00BB037E"/>
    <w:rsid w:val="00BB0595"/>
    <w:rsid w:val="00BB0841"/>
    <w:rsid w:val="00BB0D76"/>
    <w:rsid w:val="00BB162B"/>
    <w:rsid w:val="00BB1AD4"/>
    <w:rsid w:val="00BB1E3E"/>
    <w:rsid w:val="00BB2722"/>
    <w:rsid w:val="00BB2D25"/>
    <w:rsid w:val="00BB2F36"/>
    <w:rsid w:val="00BB2F37"/>
    <w:rsid w:val="00BB308E"/>
    <w:rsid w:val="00BB35C0"/>
    <w:rsid w:val="00BB369B"/>
    <w:rsid w:val="00BB369F"/>
    <w:rsid w:val="00BB3E2B"/>
    <w:rsid w:val="00BB4C3A"/>
    <w:rsid w:val="00BB5875"/>
    <w:rsid w:val="00BB5BD3"/>
    <w:rsid w:val="00BB5D1C"/>
    <w:rsid w:val="00BB5FC1"/>
    <w:rsid w:val="00BB6552"/>
    <w:rsid w:val="00BB65E0"/>
    <w:rsid w:val="00BB65FC"/>
    <w:rsid w:val="00BB6B9B"/>
    <w:rsid w:val="00BB6C2F"/>
    <w:rsid w:val="00BB6C38"/>
    <w:rsid w:val="00BB6F42"/>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D96"/>
    <w:rsid w:val="00BC221A"/>
    <w:rsid w:val="00BC221B"/>
    <w:rsid w:val="00BC252C"/>
    <w:rsid w:val="00BC275E"/>
    <w:rsid w:val="00BC297D"/>
    <w:rsid w:val="00BC2B02"/>
    <w:rsid w:val="00BC2BE4"/>
    <w:rsid w:val="00BC2E9A"/>
    <w:rsid w:val="00BC3166"/>
    <w:rsid w:val="00BC3257"/>
    <w:rsid w:val="00BC32E7"/>
    <w:rsid w:val="00BC3843"/>
    <w:rsid w:val="00BC402C"/>
    <w:rsid w:val="00BC421F"/>
    <w:rsid w:val="00BC422A"/>
    <w:rsid w:val="00BC496E"/>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847"/>
    <w:rsid w:val="00BC78EE"/>
    <w:rsid w:val="00BD059B"/>
    <w:rsid w:val="00BD076C"/>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E68"/>
    <w:rsid w:val="00BD4173"/>
    <w:rsid w:val="00BD4AED"/>
    <w:rsid w:val="00BD4E05"/>
    <w:rsid w:val="00BD4EC5"/>
    <w:rsid w:val="00BD50C3"/>
    <w:rsid w:val="00BD5435"/>
    <w:rsid w:val="00BD56A7"/>
    <w:rsid w:val="00BD598A"/>
    <w:rsid w:val="00BD5A97"/>
    <w:rsid w:val="00BD5C7A"/>
    <w:rsid w:val="00BD5CE6"/>
    <w:rsid w:val="00BD608A"/>
    <w:rsid w:val="00BD62B1"/>
    <w:rsid w:val="00BD673B"/>
    <w:rsid w:val="00BD679E"/>
    <w:rsid w:val="00BD6CD1"/>
    <w:rsid w:val="00BD711E"/>
    <w:rsid w:val="00BD7186"/>
    <w:rsid w:val="00BD723F"/>
    <w:rsid w:val="00BD73C3"/>
    <w:rsid w:val="00BD75B4"/>
    <w:rsid w:val="00BD7A56"/>
    <w:rsid w:val="00BD7BD5"/>
    <w:rsid w:val="00BD7C35"/>
    <w:rsid w:val="00BD7D14"/>
    <w:rsid w:val="00BD7D5C"/>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B7D"/>
    <w:rsid w:val="00BE4CFB"/>
    <w:rsid w:val="00BE4EC9"/>
    <w:rsid w:val="00BE4F2D"/>
    <w:rsid w:val="00BE5E03"/>
    <w:rsid w:val="00BE5F0E"/>
    <w:rsid w:val="00BE60D7"/>
    <w:rsid w:val="00BE631E"/>
    <w:rsid w:val="00BE6370"/>
    <w:rsid w:val="00BE63E6"/>
    <w:rsid w:val="00BE6BEC"/>
    <w:rsid w:val="00BE6D56"/>
    <w:rsid w:val="00BE7741"/>
    <w:rsid w:val="00BE78A6"/>
    <w:rsid w:val="00BE7D6C"/>
    <w:rsid w:val="00BF0389"/>
    <w:rsid w:val="00BF0AEB"/>
    <w:rsid w:val="00BF0CCF"/>
    <w:rsid w:val="00BF0FC5"/>
    <w:rsid w:val="00BF10BC"/>
    <w:rsid w:val="00BF125B"/>
    <w:rsid w:val="00BF167F"/>
    <w:rsid w:val="00BF1870"/>
    <w:rsid w:val="00BF1952"/>
    <w:rsid w:val="00BF1B4B"/>
    <w:rsid w:val="00BF1C28"/>
    <w:rsid w:val="00BF1CD1"/>
    <w:rsid w:val="00BF21AC"/>
    <w:rsid w:val="00BF25A7"/>
    <w:rsid w:val="00BF2856"/>
    <w:rsid w:val="00BF2E53"/>
    <w:rsid w:val="00BF3248"/>
    <w:rsid w:val="00BF3394"/>
    <w:rsid w:val="00BF34EC"/>
    <w:rsid w:val="00BF352A"/>
    <w:rsid w:val="00BF35A2"/>
    <w:rsid w:val="00BF3661"/>
    <w:rsid w:val="00BF3669"/>
    <w:rsid w:val="00BF37E3"/>
    <w:rsid w:val="00BF3967"/>
    <w:rsid w:val="00BF3C0D"/>
    <w:rsid w:val="00BF3EDC"/>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48E"/>
    <w:rsid w:val="00BF789B"/>
    <w:rsid w:val="00BF7E8B"/>
    <w:rsid w:val="00C00576"/>
    <w:rsid w:val="00C01633"/>
    <w:rsid w:val="00C019E5"/>
    <w:rsid w:val="00C01C48"/>
    <w:rsid w:val="00C01EE1"/>
    <w:rsid w:val="00C02AD5"/>
    <w:rsid w:val="00C02BF5"/>
    <w:rsid w:val="00C02D44"/>
    <w:rsid w:val="00C03189"/>
    <w:rsid w:val="00C031CA"/>
    <w:rsid w:val="00C03309"/>
    <w:rsid w:val="00C03394"/>
    <w:rsid w:val="00C0366C"/>
    <w:rsid w:val="00C037E0"/>
    <w:rsid w:val="00C0404C"/>
    <w:rsid w:val="00C0404D"/>
    <w:rsid w:val="00C04459"/>
    <w:rsid w:val="00C044FF"/>
    <w:rsid w:val="00C04CDF"/>
    <w:rsid w:val="00C04DD8"/>
    <w:rsid w:val="00C05096"/>
    <w:rsid w:val="00C05231"/>
    <w:rsid w:val="00C05CE3"/>
    <w:rsid w:val="00C06464"/>
    <w:rsid w:val="00C06620"/>
    <w:rsid w:val="00C0668F"/>
    <w:rsid w:val="00C06A41"/>
    <w:rsid w:val="00C06B4E"/>
    <w:rsid w:val="00C071B1"/>
    <w:rsid w:val="00C072FE"/>
    <w:rsid w:val="00C07556"/>
    <w:rsid w:val="00C0787D"/>
    <w:rsid w:val="00C10548"/>
    <w:rsid w:val="00C10E0B"/>
    <w:rsid w:val="00C10FD4"/>
    <w:rsid w:val="00C11693"/>
    <w:rsid w:val="00C11A0C"/>
    <w:rsid w:val="00C11A28"/>
    <w:rsid w:val="00C11ADE"/>
    <w:rsid w:val="00C11AEF"/>
    <w:rsid w:val="00C11B81"/>
    <w:rsid w:val="00C11E99"/>
    <w:rsid w:val="00C122B0"/>
    <w:rsid w:val="00C126E0"/>
    <w:rsid w:val="00C128BC"/>
    <w:rsid w:val="00C12E39"/>
    <w:rsid w:val="00C13024"/>
    <w:rsid w:val="00C13194"/>
    <w:rsid w:val="00C13634"/>
    <w:rsid w:val="00C13946"/>
    <w:rsid w:val="00C13995"/>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9C"/>
    <w:rsid w:val="00C178FB"/>
    <w:rsid w:val="00C17D6B"/>
    <w:rsid w:val="00C17DE6"/>
    <w:rsid w:val="00C17DF9"/>
    <w:rsid w:val="00C17E56"/>
    <w:rsid w:val="00C201EB"/>
    <w:rsid w:val="00C205D4"/>
    <w:rsid w:val="00C20ACC"/>
    <w:rsid w:val="00C20AFD"/>
    <w:rsid w:val="00C20D71"/>
    <w:rsid w:val="00C20F55"/>
    <w:rsid w:val="00C2164E"/>
    <w:rsid w:val="00C2199F"/>
    <w:rsid w:val="00C21BD3"/>
    <w:rsid w:val="00C22388"/>
    <w:rsid w:val="00C229E7"/>
    <w:rsid w:val="00C22B28"/>
    <w:rsid w:val="00C23015"/>
    <w:rsid w:val="00C238A7"/>
    <w:rsid w:val="00C23A50"/>
    <w:rsid w:val="00C24104"/>
    <w:rsid w:val="00C2419F"/>
    <w:rsid w:val="00C24695"/>
    <w:rsid w:val="00C24724"/>
    <w:rsid w:val="00C24A2A"/>
    <w:rsid w:val="00C24AAC"/>
    <w:rsid w:val="00C24B09"/>
    <w:rsid w:val="00C24C21"/>
    <w:rsid w:val="00C24DD5"/>
    <w:rsid w:val="00C25379"/>
    <w:rsid w:val="00C257B7"/>
    <w:rsid w:val="00C25E44"/>
    <w:rsid w:val="00C26057"/>
    <w:rsid w:val="00C26192"/>
    <w:rsid w:val="00C264E7"/>
    <w:rsid w:val="00C2661C"/>
    <w:rsid w:val="00C269D8"/>
    <w:rsid w:val="00C27193"/>
    <w:rsid w:val="00C272E8"/>
    <w:rsid w:val="00C27902"/>
    <w:rsid w:val="00C301A9"/>
    <w:rsid w:val="00C30522"/>
    <w:rsid w:val="00C30ABC"/>
    <w:rsid w:val="00C30B60"/>
    <w:rsid w:val="00C30FA9"/>
    <w:rsid w:val="00C319E1"/>
    <w:rsid w:val="00C31C5A"/>
    <w:rsid w:val="00C31D2F"/>
    <w:rsid w:val="00C31FAA"/>
    <w:rsid w:val="00C33359"/>
    <w:rsid w:val="00C33610"/>
    <w:rsid w:val="00C33637"/>
    <w:rsid w:val="00C33913"/>
    <w:rsid w:val="00C33A96"/>
    <w:rsid w:val="00C33DDF"/>
    <w:rsid w:val="00C33F6A"/>
    <w:rsid w:val="00C34003"/>
    <w:rsid w:val="00C344A1"/>
    <w:rsid w:val="00C34541"/>
    <w:rsid w:val="00C3488B"/>
    <w:rsid w:val="00C348D6"/>
    <w:rsid w:val="00C34BD6"/>
    <w:rsid w:val="00C34E8E"/>
    <w:rsid w:val="00C34F35"/>
    <w:rsid w:val="00C3504C"/>
    <w:rsid w:val="00C351AB"/>
    <w:rsid w:val="00C356D9"/>
    <w:rsid w:val="00C3575D"/>
    <w:rsid w:val="00C35B05"/>
    <w:rsid w:val="00C361FA"/>
    <w:rsid w:val="00C365E7"/>
    <w:rsid w:val="00C36D4C"/>
    <w:rsid w:val="00C36E34"/>
    <w:rsid w:val="00C372E4"/>
    <w:rsid w:val="00C375E4"/>
    <w:rsid w:val="00C377BF"/>
    <w:rsid w:val="00C3795A"/>
    <w:rsid w:val="00C37AA0"/>
    <w:rsid w:val="00C40093"/>
    <w:rsid w:val="00C401A6"/>
    <w:rsid w:val="00C4021F"/>
    <w:rsid w:val="00C402E0"/>
    <w:rsid w:val="00C40326"/>
    <w:rsid w:val="00C40388"/>
    <w:rsid w:val="00C404D7"/>
    <w:rsid w:val="00C404EE"/>
    <w:rsid w:val="00C40571"/>
    <w:rsid w:val="00C405C6"/>
    <w:rsid w:val="00C405D0"/>
    <w:rsid w:val="00C406A4"/>
    <w:rsid w:val="00C406E3"/>
    <w:rsid w:val="00C4079C"/>
    <w:rsid w:val="00C40B5F"/>
    <w:rsid w:val="00C40E27"/>
    <w:rsid w:val="00C40FB2"/>
    <w:rsid w:val="00C4169B"/>
    <w:rsid w:val="00C4171B"/>
    <w:rsid w:val="00C41785"/>
    <w:rsid w:val="00C41D25"/>
    <w:rsid w:val="00C41EDC"/>
    <w:rsid w:val="00C420FC"/>
    <w:rsid w:val="00C422DA"/>
    <w:rsid w:val="00C42405"/>
    <w:rsid w:val="00C42552"/>
    <w:rsid w:val="00C42689"/>
    <w:rsid w:val="00C427A4"/>
    <w:rsid w:val="00C427F3"/>
    <w:rsid w:val="00C42988"/>
    <w:rsid w:val="00C42BD4"/>
    <w:rsid w:val="00C4318E"/>
    <w:rsid w:val="00C43457"/>
    <w:rsid w:val="00C43991"/>
    <w:rsid w:val="00C43ECE"/>
    <w:rsid w:val="00C43FF0"/>
    <w:rsid w:val="00C44124"/>
    <w:rsid w:val="00C44641"/>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CC4"/>
    <w:rsid w:val="00C47CF8"/>
    <w:rsid w:val="00C50026"/>
    <w:rsid w:val="00C5009C"/>
    <w:rsid w:val="00C5030B"/>
    <w:rsid w:val="00C50352"/>
    <w:rsid w:val="00C503E2"/>
    <w:rsid w:val="00C508CC"/>
    <w:rsid w:val="00C5099B"/>
    <w:rsid w:val="00C50A4E"/>
    <w:rsid w:val="00C50ADF"/>
    <w:rsid w:val="00C50D05"/>
    <w:rsid w:val="00C5144C"/>
    <w:rsid w:val="00C518E4"/>
    <w:rsid w:val="00C518ED"/>
    <w:rsid w:val="00C51A3A"/>
    <w:rsid w:val="00C51C37"/>
    <w:rsid w:val="00C51FB5"/>
    <w:rsid w:val="00C520B1"/>
    <w:rsid w:val="00C5222F"/>
    <w:rsid w:val="00C522D6"/>
    <w:rsid w:val="00C523AF"/>
    <w:rsid w:val="00C52561"/>
    <w:rsid w:val="00C525D1"/>
    <w:rsid w:val="00C525DC"/>
    <w:rsid w:val="00C526AF"/>
    <w:rsid w:val="00C5296B"/>
    <w:rsid w:val="00C52C52"/>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566"/>
    <w:rsid w:val="00C557D1"/>
    <w:rsid w:val="00C55B0A"/>
    <w:rsid w:val="00C562F3"/>
    <w:rsid w:val="00C56367"/>
    <w:rsid w:val="00C566E0"/>
    <w:rsid w:val="00C56B07"/>
    <w:rsid w:val="00C56B34"/>
    <w:rsid w:val="00C56F73"/>
    <w:rsid w:val="00C57042"/>
    <w:rsid w:val="00C57180"/>
    <w:rsid w:val="00C5720E"/>
    <w:rsid w:val="00C57718"/>
    <w:rsid w:val="00C57777"/>
    <w:rsid w:val="00C579F2"/>
    <w:rsid w:val="00C57A01"/>
    <w:rsid w:val="00C57A2D"/>
    <w:rsid w:val="00C57A52"/>
    <w:rsid w:val="00C57C24"/>
    <w:rsid w:val="00C57EEC"/>
    <w:rsid w:val="00C57F13"/>
    <w:rsid w:val="00C57F7C"/>
    <w:rsid w:val="00C6007B"/>
    <w:rsid w:val="00C600D3"/>
    <w:rsid w:val="00C6037B"/>
    <w:rsid w:val="00C60809"/>
    <w:rsid w:val="00C60B07"/>
    <w:rsid w:val="00C60ED4"/>
    <w:rsid w:val="00C60F1E"/>
    <w:rsid w:val="00C60FDB"/>
    <w:rsid w:val="00C612C6"/>
    <w:rsid w:val="00C61D4B"/>
    <w:rsid w:val="00C61D9E"/>
    <w:rsid w:val="00C61FEA"/>
    <w:rsid w:val="00C62032"/>
    <w:rsid w:val="00C628F7"/>
    <w:rsid w:val="00C62AE9"/>
    <w:rsid w:val="00C62B0A"/>
    <w:rsid w:val="00C62E89"/>
    <w:rsid w:val="00C62F54"/>
    <w:rsid w:val="00C63572"/>
    <w:rsid w:val="00C63972"/>
    <w:rsid w:val="00C63C52"/>
    <w:rsid w:val="00C63F08"/>
    <w:rsid w:val="00C6401B"/>
    <w:rsid w:val="00C64B8A"/>
    <w:rsid w:val="00C6528C"/>
    <w:rsid w:val="00C65A5A"/>
    <w:rsid w:val="00C65CCF"/>
    <w:rsid w:val="00C66062"/>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BF5"/>
    <w:rsid w:val="00C71F56"/>
    <w:rsid w:val="00C72165"/>
    <w:rsid w:val="00C7235B"/>
    <w:rsid w:val="00C7235D"/>
    <w:rsid w:val="00C726C0"/>
    <w:rsid w:val="00C72823"/>
    <w:rsid w:val="00C72B24"/>
    <w:rsid w:val="00C72E18"/>
    <w:rsid w:val="00C731AD"/>
    <w:rsid w:val="00C73615"/>
    <w:rsid w:val="00C7362A"/>
    <w:rsid w:val="00C737C0"/>
    <w:rsid w:val="00C737D3"/>
    <w:rsid w:val="00C7380B"/>
    <w:rsid w:val="00C7396A"/>
    <w:rsid w:val="00C73CD0"/>
    <w:rsid w:val="00C73F5F"/>
    <w:rsid w:val="00C741A7"/>
    <w:rsid w:val="00C74421"/>
    <w:rsid w:val="00C74635"/>
    <w:rsid w:val="00C748B5"/>
    <w:rsid w:val="00C74C40"/>
    <w:rsid w:val="00C75F2F"/>
    <w:rsid w:val="00C75FEE"/>
    <w:rsid w:val="00C767A2"/>
    <w:rsid w:val="00C76B63"/>
    <w:rsid w:val="00C76E11"/>
    <w:rsid w:val="00C76F1D"/>
    <w:rsid w:val="00C77225"/>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BD1"/>
    <w:rsid w:val="00C84CF7"/>
    <w:rsid w:val="00C84D39"/>
    <w:rsid w:val="00C85242"/>
    <w:rsid w:val="00C85277"/>
    <w:rsid w:val="00C853D9"/>
    <w:rsid w:val="00C85806"/>
    <w:rsid w:val="00C858D2"/>
    <w:rsid w:val="00C85980"/>
    <w:rsid w:val="00C859C2"/>
    <w:rsid w:val="00C859D2"/>
    <w:rsid w:val="00C85D76"/>
    <w:rsid w:val="00C85F79"/>
    <w:rsid w:val="00C86015"/>
    <w:rsid w:val="00C8653D"/>
    <w:rsid w:val="00C8663D"/>
    <w:rsid w:val="00C8685D"/>
    <w:rsid w:val="00C871C1"/>
    <w:rsid w:val="00C873AC"/>
    <w:rsid w:val="00C87408"/>
    <w:rsid w:val="00C874DF"/>
    <w:rsid w:val="00C87A88"/>
    <w:rsid w:val="00C87DA6"/>
    <w:rsid w:val="00C87F8F"/>
    <w:rsid w:val="00C900A4"/>
    <w:rsid w:val="00C900CA"/>
    <w:rsid w:val="00C902D9"/>
    <w:rsid w:val="00C905F1"/>
    <w:rsid w:val="00C90664"/>
    <w:rsid w:val="00C90718"/>
    <w:rsid w:val="00C90A5B"/>
    <w:rsid w:val="00C90B59"/>
    <w:rsid w:val="00C90DB5"/>
    <w:rsid w:val="00C915E6"/>
    <w:rsid w:val="00C91857"/>
    <w:rsid w:val="00C91876"/>
    <w:rsid w:val="00C9188C"/>
    <w:rsid w:val="00C918DF"/>
    <w:rsid w:val="00C91CA3"/>
    <w:rsid w:val="00C91DF8"/>
    <w:rsid w:val="00C92075"/>
    <w:rsid w:val="00C9213B"/>
    <w:rsid w:val="00C922A3"/>
    <w:rsid w:val="00C922BA"/>
    <w:rsid w:val="00C923DF"/>
    <w:rsid w:val="00C92FBB"/>
    <w:rsid w:val="00C93172"/>
    <w:rsid w:val="00C93462"/>
    <w:rsid w:val="00C94287"/>
    <w:rsid w:val="00C94384"/>
    <w:rsid w:val="00C9486F"/>
    <w:rsid w:val="00C9490E"/>
    <w:rsid w:val="00C949CF"/>
    <w:rsid w:val="00C94A34"/>
    <w:rsid w:val="00C94C2B"/>
    <w:rsid w:val="00C94F73"/>
    <w:rsid w:val="00C94FC3"/>
    <w:rsid w:val="00C9545C"/>
    <w:rsid w:val="00C95609"/>
    <w:rsid w:val="00C95FE6"/>
    <w:rsid w:val="00C96591"/>
    <w:rsid w:val="00C96F79"/>
    <w:rsid w:val="00C9723A"/>
    <w:rsid w:val="00C976BA"/>
    <w:rsid w:val="00C97883"/>
    <w:rsid w:val="00C97CF9"/>
    <w:rsid w:val="00CA04DD"/>
    <w:rsid w:val="00CA1050"/>
    <w:rsid w:val="00CA145A"/>
    <w:rsid w:val="00CA17DD"/>
    <w:rsid w:val="00CA1863"/>
    <w:rsid w:val="00CA1941"/>
    <w:rsid w:val="00CA20B2"/>
    <w:rsid w:val="00CA21C8"/>
    <w:rsid w:val="00CA26CE"/>
    <w:rsid w:val="00CA2CD1"/>
    <w:rsid w:val="00CA3703"/>
    <w:rsid w:val="00CA391D"/>
    <w:rsid w:val="00CA3969"/>
    <w:rsid w:val="00CA3ACD"/>
    <w:rsid w:val="00CA3BEE"/>
    <w:rsid w:val="00CA44B6"/>
    <w:rsid w:val="00CA4540"/>
    <w:rsid w:val="00CA4806"/>
    <w:rsid w:val="00CA489D"/>
    <w:rsid w:val="00CA4F8B"/>
    <w:rsid w:val="00CA5445"/>
    <w:rsid w:val="00CA5A8B"/>
    <w:rsid w:val="00CA5DE1"/>
    <w:rsid w:val="00CA6824"/>
    <w:rsid w:val="00CA6BBB"/>
    <w:rsid w:val="00CA6CFD"/>
    <w:rsid w:val="00CA70C6"/>
    <w:rsid w:val="00CA735C"/>
    <w:rsid w:val="00CA75E8"/>
    <w:rsid w:val="00CA7627"/>
    <w:rsid w:val="00CA7657"/>
    <w:rsid w:val="00CA79E9"/>
    <w:rsid w:val="00CA7DB4"/>
    <w:rsid w:val="00CB0007"/>
    <w:rsid w:val="00CB001F"/>
    <w:rsid w:val="00CB0135"/>
    <w:rsid w:val="00CB067F"/>
    <w:rsid w:val="00CB09DA"/>
    <w:rsid w:val="00CB0BD9"/>
    <w:rsid w:val="00CB0D5F"/>
    <w:rsid w:val="00CB110F"/>
    <w:rsid w:val="00CB11FE"/>
    <w:rsid w:val="00CB1449"/>
    <w:rsid w:val="00CB184C"/>
    <w:rsid w:val="00CB1B6A"/>
    <w:rsid w:val="00CB1CAC"/>
    <w:rsid w:val="00CB1D5B"/>
    <w:rsid w:val="00CB1DC9"/>
    <w:rsid w:val="00CB1DE8"/>
    <w:rsid w:val="00CB1E3B"/>
    <w:rsid w:val="00CB1F1D"/>
    <w:rsid w:val="00CB1F96"/>
    <w:rsid w:val="00CB24D2"/>
    <w:rsid w:val="00CB282B"/>
    <w:rsid w:val="00CB3C3B"/>
    <w:rsid w:val="00CB3E45"/>
    <w:rsid w:val="00CB43D0"/>
    <w:rsid w:val="00CB43FE"/>
    <w:rsid w:val="00CB4694"/>
    <w:rsid w:val="00CB4897"/>
    <w:rsid w:val="00CB5078"/>
    <w:rsid w:val="00CB60F2"/>
    <w:rsid w:val="00CB678F"/>
    <w:rsid w:val="00CB6795"/>
    <w:rsid w:val="00CB6A5B"/>
    <w:rsid w:val="00CB71F8"/>
    <w:rsid w:val="00CB730B"/>
    <w:rsid w:val="00CB7325"/>
    <w:rsid w:val="00CB7666"/>
    <w:rsid w:val="00CB769E"/>
    <w:rsid w:val="00CB7DFB"/>
    <w:rsid w:val="00CB7EB2"/>
    <w:rsid w:val="00CC051B"/>
    <w:rsid w:val="00CC0DD0"/>
    <w:rsid w:val="00CC147C"/>
    <w:rsid w:val="00CC1721"/>
    <w:rsid w:val="00CC180A"/>
    <w:rsid w:val="00CC1B30"/>
    <w:rsid w:val="00CC1D33"/>
    <w:rsid w:val="00CC1F2A"/>
    <w:rsid w:val="00CC214C"/>
    <w:rsid w:val="00CC269C"/>
    <w:rsid w:val="00CC26DB"/>
    <w:rsid w:val="00CC2B14"/>
    <w:rsid w:val="00CC300C"/>
    <w:rsid w:val="00CC34A6"/>
    <w:rsid w:val="00CC3501"/>
    <w:rsid w:val="00CC35AE"/>
    <w:rsid w:val="00CC3784"/>
    <w:rsid w:val="00CC397E"/>
    <w:rsid w:val="00CC3A51"/>
    <w:rsid w:val="00CC3BBC"/>
    <w:rsid w:val="00CC3DAA"/>
    <w:rsid w:val="00CC3E20"/>
    <w:rsid w:val="00CC4194"/>
    <w:rsid w:val="00CC4300"/>
    <w:rsid w:val="00CC44FB"/>
    <w:rsid w:val="00CC4C2C"/>
    <w:rsid w:val="00CC4C43"/>
    <w:rsid w:val="00CC4D5F"/>
    <w:rsid w:val="00CC4E4F"/>
    <w:rsid w:val="00CC4EB8"/>
    <w:rsid w:val="00CC5057"/>
    <w:rsid w:val="00CC543A"/>
    <w:rsid w:val="00CC5639"/>
    <w:rsid w:val="00CC5E34"/>
    <w:rsid w:val="00CC645C"/>
    <w:rsid w:val="00CC6579"/>
    <w:rsid w:val="00CC68BD"/>
    <w:rsid w:val="00CC7519"/>
    <w:rsid w:val="00CC78EC"/>
    <w:rsid w:val="00CC7906"/>
    <w:rsid w:val="00CD078F"/>
    <w:rsid w:val="00CD0874"/>
    <w:rsid w:val="00CD121E"/>
    <w:rsid w:val="00CD185D"/>
    <w:rsid w:val="00CD2026"/>
    <w:rsid w:val="00CD23E7"/>
    <w:rsid w:val="00CD254D"/>
    <w:rsid w:val="00CD2556"/>
    <w:rsid w:val="00CD28AB"/>
    <w:rsid w:val="00CD28F0"/>
    <w:rsid w:val="00CD2B1A"/>
    <w:rsid w:val="00CD2D82"/>
    <w:rsid w:val="00CD2E83"/>
    <w:rsid w:val="00CD349B"/>
    <w:rsid w:val="00CD34FB"/>
    <w:rsid w:val="00CD3ED8"/>
    <w:rsid w:val="00CD3FFB"/>
    <w:rsid w:val="00CD4046"/>
    <w:rsid w:val="00CD4097"/>
    <w:rsid w:val="00CD4271"/>
    <w:rsid w:val="00CD45DA"/>
    <w:rsid w:val="00CD497A"/>
    <w:rsid w:val="00CD4E06"/>
    <w:rsid w:val="00CD51B9"/>
    <w:rsid w:val="00CD524C"/>
    <w:rsid w:val="00CD52AA"/>
    <w:rsid w:val="00CD573F"/>
    <w:rsid w:val="00CD641D"/>
    <w:rsid w:val="00CD6B38"/>
    <w:rsid w:val="00CD718C"/>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516"/>
    <w:rsid w:val="00CE268A"/>
    <w:rsid w:val="00CE2834"/>
    <w:rsid w:val="00CE2942"/>
    <w:rsid w:val="00CE2F2C"/>
    <w:rsid w:val="00CE366A"/>
    <w:rsid w:val="00CE3AEE"/>
    <w:rsid w:val="00CE4093"/>
    <w:rsid w:val="00CE42BC"/>
    <w:rsid w:val="00CE42CD"/>
    <w:rsid w:val="00CE4567"/>
    <w:rsid w:val="00CE464A"/>
    <w:rsid w:val="00CE499A"/>
    <w:rsid w:val="00CE4F7C"/>
    <w:rsid w:val="00CE51EF"/>
    <w:rsid w:val="00CE5682"/>
    <w:rsid w:val="00CE59F3"/>
    <w:rsid w:val="00CE5C4C"/>
    <w:rsid w:val="00CE6DF9"/>
    <w:rsid w:val="00CE6F0F"/>
    <w:rsid w:val="00CE7725"/>
    <w:rsid w:val="00CE78D1"/>
    <w:rsid w:val="00CE7B6F"/>
    <w:rsid w:val="00CF002F"/>
    <w:rsid w:val="00CF0246"/>
    <w:rsid w:val="00CF0828"/>
    <w:rsid w:val="00CF0B04"/>
    <w:rsid w:val="00CF1365"/>
    <w:rsid w:val="00CF1561"/>
    <w:rsid w:val="00CF2086"/>
    <w:rsid w:val="00CF2483"/>
    <w:rsid w:val="00CF24E2"/>
    <w:rsid w:val="00CF2647"/>
    <w:rsid w:val="00CF3193"/>
    <w:rsid w:val="00CF393D"/>
    <w:rsid w:val="00CF3981"/>
    <w:rsid w:val="00CF3FC7"/>
    <w:rsid w:val="00CF4047"/>
    <w:rsid w:val="00CF453B"/>
    <w:rsid w:val="00CF49CA"/>
    <w:rsid w:val="00CF4ABD"/>
    <w:rsid w:val="00CF4AD4"/>
    <w:rsid w:val="00CF4BA3"/>
    <w:rsid w:val="00CF4C28"/>
    <w:rsid w:val="00CF4CF2"/>
    <w:rsid w:val="00CF4F59"/>
    <w:rsid w:val="00CF5594"/>
    <w:rsid w:val="00CF55AB"/>
    <w:rsid w:val="00CF5743"/>
    <w:rsid w:val="00CF59C6"/>
    <w:rsid w:val="00CF59C8"/>
    <w:rsid w:val="00CF5A53"/>
    <w:rsid w:val="00CF5D28"/>
    <w:rsid w:val="00CF5D53"/>
    <w:rsid w:val="00CF5F57"/>
    <w:rsid w:val="00CF6334"/>
    <w:rsid w:val="00CF6711"/>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6C6"/>
    <w:rsid w:val="00D01D13"/>
    <w:rsid w:val="00D01EAD"/>
    <w:rsid w:val="00D02400"/>
    <w:rsid w:val="00D0266D"/>
    <w:rsid w:val="00D0276B"/>
    <w:rsid w:val="00D0340B"/>
    <w:rsid w:val="00D0343D"/>
    <w:rsid w:val="00D035B9"/>
    <w:rsid w:val="00D03715"/>
    <w:rsid w:val="00D0384F"/>
    <w:rsid w:val="00D040B7"/>
    <w:rsid w:val="00D055A7"/>
    <w:rsid w:val="00D0569B"/>
    <w:rsid w:val="00D059D7"/>
    <w:rsid w:val="00D05A30"/>
    <w:rsid w:val="00D060FF"/>
    <w:rsid w:val="00D064E8"/>
    <w:rsid w:val="00D06546"/>
    <w:rsid w:val="00D06572"/>
    <w:rsid w:val="00D065CD"/>
    <w:rsid w:val="00D06D62"/>
    <w:rsid w:val="00D0724B"/>
    <w:rsid w:val="00D072A0"/>
    <w:rsid w:val="00D07442"/>
    <w:rsid w:val="00D07803"/>
    <w:rsid w:val="00D0787B"/>
    <w:rsid w:val="00D0799E"/>
    <w:rsid w:val="00D07F0C"/>
    <w:rsid w:val="00D07F90"/>
    <w:rsid w:val="00D11004"/>
    <w:rsid w:val="00D11355"/>
    <w:rsid w:val="00D1176F"/>
    <w:rsid w:val="00D11C3F"/>
    <w:rsid w:val="00D11C58"/>
    <w:rsid w:val="00D12325"/>
    <w:rsid w:val="00D1253F"/>
    <w:rsid w:val="00D12542"/>
    <w:rsid w:val="00D12761"/>
    <w:rsid w:val="00D14089"/>
    <w:rsid w:val="00D14487"/>
    <w:rsid w:val="00D147A9"/>
    <w:rsid w:val="00D1486A"/>
    <w:rsid w:val="00D14CF8"/>
    <w:rsid w:val="00D14D63"/>
    <w:rsid w:val="00D157B5"/>
    <w:rsid w:val="00D1592F"/>
    <w:rsid w:val="00D15C31"/>
    <w:rsid w:val="00D15E5D"/>
    <w:rsid w:val="00D15E7E"/>
    <w:rsid w:val="00D16058"/>
    <w:rsid w:val="00D1657E"/>
    <w:rsid w:val="00D16819"/>
    <w:rsid w:val="00D16AF9"/>
    <w:rsid w:val="00D16D6E"/>
    <w:rsid w:val="00D16FDD"/>
    <w:rsid w:val="00D1705C"/>
    <w:rsid w:val="00D178B8"/>
    <w:rsid w:val="00D17904"/>
    <w:rsid w:val="00D17E02"/>
    <w:rsid w:val="00D20016"/>
    <w:rsid w:val="00D20112"/>
    <w:rsid w:val="00D205AC"/>
    <w:rsid w:val="00D2063B"/>
    <w:rsid w:val="00D207A7"/>
    <w:rsid w:val="00D20B3C"/>
    <w:rsid w:val="00D21334"/>
    <w:rsid w:val="00D213CD"/>
    <w:rsid w:val="00D21553"/>
    <w:rsid w:val="00D215C3"/>
    <w:rsid w:val="00D21D46"/>
    <w:rsid w:val="00D21F03"/>
    <w:rsid w:val="00D22129"/>
    <w:rsid w:val="00D2216E"/>
    <w:rsid w:val="00D2279F"/>
    <w:rsid w:val="00D22AF1"/>
    <w:rsid w:val="00D22E93"/>
    <w:rsid w:val="00D236B1"/>
    <w:rsid w:val="00D242DA"/>
    <w:rsid w:val="00D24456"/>
    <w:rsid w:val="00D247A0"/>
    <w:rsid w:val="00D247EC"/>
    <w:rsid w:val="00D24EC1"/>
    <w:rsid w:val="00D26071"/>
    <w:rsid w:val="00D26183"/>
    <w:rsid w:val="00D26262"/>
    <w:rsid w:val="00D26448"/>
    <w:rsid w:val="00D264CE"/>
    <w:rsid w:val="00D26670"/>
    <w:rsid w:val="00D2670E"/>
    <w:rsid w:val="00D26816"/>
    <w:rsid w:val="00D26817"/>
    <w:rsid w:val="00D26910"/>
    <w:rsid w:val="00D26C26"/>
    <w:rsid w:val="00D27388"/>
    <w:rsid w:val="00D27B8B"/>
    <w:rsid w:val="00D27F74"/>
    <w:rsid w:val="00D301D4"/>
    <w:rsid w:val="00D3039F"/>
    <w:rsid w:val="00D30A27"/>
    <w:rsid w:val="00D30B3E"/>
    <w:rsid w:val="00D30CC3"/>
    <w:rsid w:val="00D30CF0"/>
    <w:rsid w:val="00D31170"/>
    <w:rsid w:val="00D313D4"/>
    <w:rsid w:val="00D31531"/>
    <w:rsid w:val="00D31643"/>
    <w:rsid w:val="00D31681"/>
    <w:rsid w:val="00D3191C"/>
    <w:rsid w:val="00D31B6E"/>
    <w:rsid w:val="00D3201F"/>
    <w:rsid w:val="00D321CB"/>
    <w:rsid w:val="00D3232B"/>
    <w:rsid w:val="00D32342"/>
    <w:rsid w:val="00D3239F"/>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69"/>
    <w:rsid w:val="00D37811"/>
    <w:rsid w:val="00D378E1"/>
    <w:rsid w:val="00D37A1A"/>
    <w:rsid w:val="00D37BC1"/>
    <w:rsid w:val="00D37C0E"/>
    <w:rsid w:val="00D40168"/>
    <w:rsid w:val="00D4047B"/>
    <w:rsid w:val="00D40547"/>
    <w:rsid w:val="00D4081B"/>
    <w:rsid w:val="00D40E1A"/>
    <w:rsid w:val="00D413C3"/>
    <w:rsid w:val="00D41435"/>
    <w:rsid w:val="00D415E0"/>
    <w:rsid w:val="00D41A40"/>
    <w:rsid w:val="00D42240"/>
    <w:rsid w:val="00D426DD"/>
    <w:rsid w:val="00D427C3"/>
    <w:rsid w:val="00D42E70"/>
    <w:rsid w:val="00D42EB8"/>
    <w:rsid w:val="00D43184"/>
    <w:rsid w:val="00D43500"/>
    <w:rsid w:val="00D43614"/>
    <w:rsid w:val="00D43819"/>
    <w:rsid w:val="00D43A12"/>
    <w:rsid w:val="00D43D3C"/>
    <w:rsid w:val="00D43DB5"/>
    <w:rsid w:val="00D43E0B"/>
    <w:rsid w:val="00D43FEA"/>
    <w:rsid w:val="00D441E2"/>
    <w:rsid w:val="00D4482F"/>
    <w:rsid w:val="00D44932"/>
    <w:rsid w:val="00D44C90"/>
    <w:rsid w:val="00D46111"/>
    <w:rsid w:val="00D465E7"/>
    <w:rsid w:val="00D4662F"/>
    <w:rsid w:val="00D4667A"/>
    <w:rsid w:val="00D466F6"/>
    <w:rsid w:val="00D469A0"/>
    <w:rsid w:val="00D46CEA"/>
    <w:rsid w:val="00D46E9B"/>
    <w:rsid w:val="00D46F1B"/>
    <w:rsid w:val="00D470FA"/>
    <w:rsid w:val="00D47298"/>
    <w:rsid w:val="00D475FB"/>
    <w:rsid w:val="00D47895"/>
    <w:rsid w:val="00D478C0"/>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74C"/>
    <w:rsid w:val="00D557E4"/>
    <w:rsid w:val="00D55889"/>
    <w:rsid w:val="00D55CDA"/>
    <w:rsid w:val="00D5640F"/>
    <w:rsid w:val="00D56779"/>
    <w:rsid w:val="00D56B5F"/>
    <w:rsid w:val="00D56D98"/>
    <w:rsid w:val="00D56DA6"/>
    <w:rsid w:val="00D57607"/>
    <w:rsid w:val="00D57A3F"/>
    <w:rsid w:val="00D57AF0"/>
    <w:rsid w:val="00D57D18"/>
    <w:rsid w:val="00D57E84"/>
    <w:rsid w:val="00D600BE"/>
    <w:rsid w:val="00D60275"/>
    <w:rsid w:val="00D605A7"/>
    <w:rsid w:val="00D606A8"/>
    <w:rsid w:val="00D61815"/>
    <w:rsid w:val="00D61938"/>
    <w:rsid w:val="00D61F2F"/>
    <w:rsid w:val="00D61F45"/>
    <w:rsid w:val="00D62596"/>
    <w:rsid w:val="00D62719"/>
    <w:rsid w:val="00D627E3"/>
    <w:rsid w:val="00D62BE4"/>
    <w:rsid w:val="00D62ECD"/>
    <w:rsid w:val="00D6362B"/>
    <w:rsid w:val="00D6373B"/>
    <w:rsid w:val="00D63AEC"/>
    <w:rsid w:val="00D63DB8"/>
    <w:rsid w:val="00D64426"/>
    <w:rsid w:val="00D64456"/>
    <w:rsid w:val="00D64475"/>
    <w:rsid w:val="00D64732"/>
    <w:rsid w:val="00D64830"/>
    <w:rsid w:val="00D64BA0"/>
    <w:rsid w:val="00D64CF8"/>
    <w:rsid w:val="00D65259"/>
    <w:rsid w:val="00D652E2"/>
    <w:rsid w:val="00D658F4"/>
    <w:rsid w:val="00D65BE7"/>
    <w:rsid w:val="00D65D17"/>
    <w:rsid w:val="00D65D78"/>
    <w:rsid w:val="00D65E1A"/>
    <w:rsid w:val="00D664D3"/>
    <w:rsid w:val="00D666DD"/>
    <w:rsid w:val="00D66AAA"/>
    <w:rsid w:val="00D66AEF"/>
    <w:rsid w:val="00D66B04"/>
    <w:rsid w:val="00D66E32"/>
    <w:rsid w:val="00D67570"/>
    <w:rsid w:val="00D676B4"/>
    <w:rsid w:val="00D67B55"/>
    <w:rsid w:val="00D67BC5"/>
    <w:rsid w:val="00D67CA0"/>
    <w:rsid w:val="00D67FB7"/>
    <w:rsid w:val="00D7014F"/>
    <w:rsid w:val="00D7021B"/>
    <w:rsid w:val="00D703B9"/>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C57"/>
    <w:rsid w:val="00D73CF6"/>
    <w:rsid w:val="00D73EFC"/>
    <w:rsid w:val="00D742FF"/>
    <w:rsid w:val="00D74661"/>
    <w:rsid w:val="00D7470D"/>
    <w:rsid w:val="00D74D9D"/>
    <w:rsid w:val="00D74DA0"/>
    <w:rsid w:val="00D75018"/>
    <w:rsid w:val="00D753A1"/>
    <w:rsid w:val="00D75529"/>
    <w:rsid w:val="00D75798"/>
    <w:rsid w:val="00D758B3"/>
    <w:rsid w:val="00D75BE3"/>
    <w:rsid w:val="00D75D19"/>
    <w:rsid w:val="00D76162"/>
    <w:rsid w:val="00D7630C"/>
    <w:rsid w:val="00D76525"/>
    <w:rsid w:val="00D76ADC"/>
    <w:rsid w:val="00D76F7B"/>
    <w:rsid w:val="00D77413"/>
    <w:rsid w:val="00D77634"/>
    <w:rsid w:val="00D776D0"/>
    <w:rsid w:val="00D777BE"/>
    <w:rsid w:val="00D777CD"/>
    <w:rsid w:val="00D777EE"/>
    <w:rsid w:val="00D77D71"/>
    <w:rsid w:val="00D77E97"/>
    <w:rsid w:val="00D80B04"/>
    <w:rsid w:val="00D810CE"/>
    <w:rsid w:val="00D8130B"/>
    <w:rsid w:val="00D814F4"/>
    <w:rsid w:val="00D81A8A"/>
    <w:rsid w:val="00D81BD1"/>
    <w:rsid w:val="00D81F10"/>
    <w:rsid w:val="00D8214C"/>
    <w:rsid w:val="00D82647"/>
    <w:rsid w:val="00D82686"/>
    <w:rsid w:val="00D826D6"/>
    <w:rsid w:val="00D82798"/>
    <w:rsid w:val="00D82907"/>
    <w:rsid w:val="00D82BF2"/>
    <w:rsid w:val="00D82D4A"/>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B4D"/>
    <w:rsid w:val="00D86080"/>
    <w:rsid w:val="00D8658C"/>
    <w:rsid w:val="00D866C3"/>
    <w:rsid w:val="00D868A8"/>
    <w:rsid w:val="00D869B3"/>
    <w:rsid w:val="00D86A51"/>
    <w:rsid w:val="00D86A8C"/>
    <w:rsid w:val="00D86F00"/>
    <w:rsid w:val="00D87189"/>
    <w:rsid w:val="00D8728C"/>
    <w:rsid w:val="00D87307"/>
    <w:rsid w:val="00D874DF"/>
    <w:rsid w:val="00D87557"/>
    <w:rsid w:val="00D876AE"/>
    <w:rsid w:val="00D87A12"/>
    <w:rsid w:val="00D87CC7"/>
    <w:rsid w:val="00D907E3"/>
    <w:rsid w:val="00D90922"/>
    <w:rsid w:val="00D90B6E"/>
    <w:rsid w:val="00D90E23"/>
    <w:rsid w:val="00D91F7C"/>
    <w:rsid w:val="00D922C1"/>
    <w:rsid w:val="00D922F0"/>
    <w:rsid w:val="00D92770"/>
    <w:rsid w:val="00D930E1"/>
    <w:rsid w:val="00D9346D"/>
    <w:rsid w:val="00D9354D"/>
    <w:rsid w:val="00D937D1"/>
    <w:rsid w:val="00D93A1B"/>
    <w:rsid w:val="00D93C04"/>
    <w:rsid w:val="00D93FAD"/>
    <w:rsid w:val="00D9415C"/>
    <w:rsid w:val="00D942CC"/>
    <w:rsid w:val="00D944E4"/>
    <w:rsid w:val="00D947DE"/>
    <w:rsid w:val="00D94D87"/>
    <w:rsid w:val="00D95011"/>
    <w:rsid w:val="00D955AA"/>
    <w:rsid w:val="00D95858"/>
    <w:rsid w:val="00D95B31"/>
    <w:rsid w:val="00D95D27"/>
    <w:rsid w:val="00D95DCC"/>
    <w:rsid w:val="00D95F89"/>
    <w:rsid w:val="00D96098"/>
    <w:rsid w:val="00D962BE"/>
    <w:rsid w:val="00D962DC"/>
    <w:rsid w:val="00D966B0"/>
    <w:rsid w:val="00D96B43"/>
    <w:rsid w:val="00D96E01"/>
    <w:rsid w:val="00D97CD7"/>
    <w:rsid w:val="00D97D99"/>
    <w:rsid w:val="00D97FA0"/>
    <w:rsid w:val="00D97FD5"/>
    <w:rsid w:val="00DA0276"/>
    <w:rsid w:val="00DA0376"/>
    <w:rsid w:val="00DA0619"/>
    <w:rsid w:val="00DA0CAE"/>
    <w:rsid w:val="00DA108B"/>
    <w:rsid w:val="00DA1240"/>
    <w:rsid w:val="00DA1350"/>
    <w:rsid w:val="00DA1538"/>
    <w:rsid w:val="00DA16E6"/>
    <w:rsid w:val="00DA180C"/>
    <w:rsid w:val="00DA1837"/>
    <w:rsid w:val="00DA18A2"/>
    <w:rsid w:val="00DA1D77"/>
    <w:rsid w:val="00DA1F9D"/>
    <w:rsid w:val="00DA2523"/>
    <w:rsid w:val="00DA2D93"/>
    <w:rsid w:val="00DA2F19"/>
    <w:rsid w:val="00DA3A1C"/>
    <w:rsid w:val="00DA3E7B"/>
    <w:rsid w:val="00DA3F17"/>
    <w:rsid w:val="00DA3FFD"/>
    <w:rsid w:val="00DA418E"/>
    <w:rsid w:val="00DA428B"/>
    <w:rsid w:val="00DA4419"/>
    <w:rsid w:val="00DA451D"/>
    <w:rsid w:val="00DA454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B01AD"/>
    <w:rsid w:val="00DB027E"/>
    <w:rsid w:val="00DB031E"/>
    <w:rsid w:val="00DB03C3"/>
    <w:rsid w:val="00DB03FC"/>
    <w:rsid w:val="00DB040B"/>
    <w:rsid w:val="00DB0677"/>
    <w:rsid w:val="00DB0AB8"/>
    <w:rsid w:val="00DB0D2A"/>
    <w:rsid w:val="00DB11CD"/>
    <w:rsid w:val="00DB135B"/>
    <w:rsid w:val="00DB14E0"/>
    <w:rsid w:val="00DB17C6"/>
    <w:rsid w:val="00DB1ADC"/>
    <w:rsid w:val="00DB1DAB"/>
    <w:rsid w:val="00DB1EE9"/>
    <w:rsid w:val="00DB2050"/>
    <w:rsid w:val="00DB2517"/>
    <w:rsid w:val="00DB2CE3"/>
    <w:rsid w:val="00DB2D83"/>
    <w:rsid w:val="00DB2E2A"/>
    <w:rsid w:val="00DB30B1"/>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712A"/>
    <w:rsid w:val="00DB71FA"/>
    <w:rsid w:val="00DB7568"/>
    <w:rsid w:val="00DB77DA"/>
    <w:rsid w:val="00DB77E7"/>
    <w:rsid w:val="00DB7B06"/>
    <w:rsid w:val="00DC0331"/>
    <w:rsid w:val="00DC043D"/>
    <w:rsid w:val="00DC0A95"/>
    <w:rsid w:val="00DC0BB8"/>
    <w:rsid w:val="00DC0FA4"/>
    <w:rsid w:val="00DC148A"/>
    <w:rsid w:val="00DC1890"/>
    <w:rsid w:val="00DC1938"/>
    <w:rsid w:val="00DC1A3D"/>
    <w:rsid w:val="00DC1AD7"/>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6186"/>
    <w:rsid w:val="00DC6B61"/>
    <w:rsid w:val="00DC6C1E"/>
    <w:rsid w:val="00DC6E61"/>
    <w:rsid w:val="00DC6F84"/>
    <w:rsid w:val="00DC7255"/>
    <w:rsid w:val="00DC72CE"/>
    <w:rsid w:val="00DC739F"/>
    <w:rsid w:val="00DC741C"/>
    <w:rsid w:val="00DC74BC"/>
    <w:rsid w:val="00DC74F9"/>
    <w:rsid w:val="00DC775E"/>
    <w:rsid w:val="00DC7859"/>
    <w:rsid w:val="00DC7951"/>
    <w:rsid w:val="00DC7980"/>
    <w:rsid w:val="00DD03AC"/>
    <w:rsid w:val="00DD10EB"/>
    <w:rsid w:val="00DD120F"/>
    <w:rsid w:val="00DD148E"/>
    <w:rsid w:val="00DD195E"/>
    <w:rsid w:val="00DD1C4B"/>
    <w:rsid w:val="00DD1E1B"/>
    <w:rsid w:val="00DD1F7B"/>
    <w:rsid w:val="00DD229E"/>
    <w:rsid w:val="00DD2BB4"/>
    <w:rsid w:val="00DD2D4B"/>
    <w:rsid w:val="00DD2FD1"/>
    <w:rsid w:val="00DD2FFF"/>
    <w:rsid w:val="00DD3029"/>
    <w:rsid w:val="00DD33A4"/>
    <w:rsid w:val="00DD3F4D"/>
    <w:rsid w:val="00DD3FF0"/>
    <w:rsid w:val="00DD404E"/>
    <w:rsid w:val="00DD428E"/>
    <w:rsid w:val="00DD435A"/>
    <w:rsid w:val="00DD439E"/>
    <w:rsid w:val="00DD48C5"/>
    <w:rsid w:val="00DD518C"/>
    <w:rsid w:val="00DD5538"/>
    <w:rsid w:val="00DD55E0"/>
    <w:rsid w:val="00DD5C11"/>
    <w:rsid w:val="00DD627D"/>
    <w:rsid w:val="00DD66E0"/>
    <w:rsid w:val="00DD6872"/>
    <w:rsid w:val="00DD68F1"/>
    <w:rsid w:val="00DD6A0D"/>
    <w:rsid w:val="00DD6B9B"/>
    <w:rsid w:val="00DD6F77"/>
    <w:rsid w:val="00DE0D60"/>
    <w:rsid w:val="00DE0D61"/>
    <w:rsid w:val="00DE17EC"/>
    <w:rsid w:val="00DE18A3"/>
    <w:rsid w:val="00DE1904"/>
    <w:rsid w:val="00DE1931"/>
    <w:rsid w:val="00DE1DAA"/>
    <w:rsid w:val="00DE1E38"/>
    <w:rsid w:val="00DE20CB"/>
    <w:rsid w:val="00DE23F7"/>
    <w:rsid w:val="00DE2470"/>
    <w:rsid w:val="00DE26F7"/>
    <w:rsid w:val="00DE2B90"/>
    <w:rsid w:val="00DE2D32"/>
    <w:rsid w:val="00DE3944"/>
    <w:rsid w:val="00DE3B0D"/>
    <w:rsid w:val="00DE3BDD"/>
    <w:rsid w:val="00DE3C54"/>
    <w:rsid w:val="00DE3DBB"/>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B9"/>
    <w:rsid w:val="00DE737B"/>
    <w:rsid w:val="00DE7F63"/>
    <w:rsid w:val="00DEB1BA"/>
    <w:rsid w:val="00DF027C"/>
    <w:rsid w:val="00DF0387"/>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FF8"/>
    <w:rsid w:val="00DF4359"/>
    <w:rsid w:val="00DF4DD0"/>
    <w:rsid w:val="00DF532E"/>
    <w:rsid w:val="00DF5331"/>
    <w:rsid w:val="00DF5755"/>
    <w:rsid w:val="00DF59F4"/>
    <w:rsid w:val="00DF5A74"/>
    <w:rsid w:val="00DF61B8"/>
    <w:rsid w:val="00DF64A1"/>
    <w:rsid w:val="00DF6924"/>
    <w:rsid w:val="00DF6E46"/>
    <w:rsid w:val="00DF73C1"/>
    <w:rsid w:val="00DF7511"/>
    <w:rsid w:val="00DF772E"/>
    <w:rsid w:val="00DF7751"/>
    <w:rsid w:val="00DF7FEE"/>
    <w:rsid w:val="00E00352"/>
    <w:rsid w:val="00E00708"/>
    <w:rsid w:val="00E009B1"/>
    <w:rsid w:val="00E00A4E"/>
    <w:rsid w:val="00E00BC3"/>
    <w:rsid w:val="00E0116C"/>
    <w:rsid w:val="00E011D7"/>
    <w:rsid w:val="00E01250"/>
    <w:rsid w:val="00E01914"/>
    <w:rsid w:val="00E01A14"/>
    <w:rsid w:val="00E01AA1"/>
    <w:rsid w:val="00E02109"/>
    <w:rsid w:val="00E0224E"/>
    <w:rsid w:val="00E02391"/>
    <w:rsid w:val="00E02483"/>
    <w:rsid w:val="00E0252B"/>
    <w:rsid w:val="00E0252C"/>
    <w:rsid w:val="00E0257E"/>
    <w:rsid w:val="00E02845"/>
    <w:rsid w:val="00E031BB"/>
    <w:rsid w:val="00E032FD"/>
    <w:rsid w:val="00E03440"/>
    <w:rsid w:val="00E0371C"/>
    <w:rsid w:val="00E037DD"/>
    <w:rsid w:val="00E03E62"/>
    <w:rsid w:val="00E0417B"/>
    <w:rsid w:val="00E0472E"/>
    <w:rsid w:val="00E047A4"/>
    <w:rsid w:val="00E04FA4"/>
    <w:rsid w:val="00E052B6"/>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10761"/>
    <w:rsid w:val="00E10AB3"/>
    <w:rsid w:val="00E10BE4"/>
    <w:rsid w:val="00E119E0"/>
    <w:rsid w:val="00E11D7A"/>
    <w:rsid w:val="00E11DE8"/>
    <w:rsid w:val="00E11EEB"/>
    <w:rsid w:val="00E12425"/>
    <w:rsid w:val="00E1279E"/>
    <w:rsid w:val="00E128F2"/>
    <w:rsid w:val="00E1295E"/>
    <w:rsid w:val="00E12F61"/>
    <w:rsid w:val="00E1380C"/>
    <w:rsid w:val="00E13925"/>
    <w:rsid w:val="00E139C5"/>
    <w:rsid w:val="00E13E5A"/>
    <w:rsid w:val="00E13EE4"/>
    <w:rsid w:val="00E13EF2"/>
    <w:rsid w:val="00E14240"/>
    <w:rsid w:val="00E142CA"/>
    <w:rsid w:val="00E14665"/>
    <w:rsid w:val="00E14F6A"/>
    <w:rsid w:val="00E15345"/>
    <w:rsid w:val="00E15635"/>
    <w:rsid w:val="00E16463"/>
    <w:rsid w:val="00E164E3"/>
    <w:rsid w:val="00E1659F"/>
    <w:rsid w:val="00E166E3"/>
    <w:rsid w:val="00E16991"/>
    <w:rsid w:val="00E16F82"/>
    <w:rsid w:val="00E1722C"/>
    <w:rsid w:val="00E17D02"/>
    <w:rsid w:val="00E17F6F"/>
    <w:rsid w:val="00E20326"/>
    <w:rsid w:val="00E205F8"/>
    <w:rsid w:val="00E20B20"/>
    <w:rsid w:val="00E20FEB"/>
    <w:rsid w:val="00E219D7"/>
    <w:rsid w:val="00E21E95"/>
    <w:rsid w:val="00E21F1F"/>
    <w:rsid w:val="00E2213E"/>
    <w:rsid w:val="00E22224"/>
    <w:rsid w:val="00E222DE"/>
    <w:rsid w:val="00E22A43"/>
    <w:rsid w:val="00E22AC7"/>
    <w:rsid w:val="00E22C3E"/>
    <w:rsid w:val="00E22D87"/>
    <w:rsid w:val="00E2314D"/>
    <w:rsid w:val="00E23306"/>
    <w:rsid w:val="00E239D1"/>
    <w:rsid w:val="00E2455D"/>
    <w:rsid w:val="00E246B9"/>
    <w:rsid w:val="00E24817"/>
    <w:rsid w:val="00E24E03"/>
    <w:rsid w:val="00E250C5"/>
    <w:rsid w:val="00E2565B"/>
    <w:rsid w:val="00E257E3"/>
    <w:rsid w:val="00E25CCB"/>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1029"/>
    <w:rsid w:val="00E3107C"/>
    <w:rsid w:val="00E31502"/>
    <w:rsid w:val="00E319DB"/>
    <w:rsid w:val="00E31A13"/>
    <w:rsid w:val="00E31AFC"/>
    <w:rsid w:val="00E31E7E"/>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6BC"/>
    <w:rsid w:val="00E3573D"/>
    <w:rsid w:val="00E3583A"/>
    <w:rsid w:val="00E35B7C"/>
    <w:rsid w:val="00E365D4"/>
    <w:rsid w:val="00E367DB"/>
    <w:rsid w:val="00E368D1"/>
    <w:rsid w:val="00E36D06"/>
    <w:rsid w:val="00E370C2"/>
    <w:rsid w:val="00E37BE5"/>
    <w:rsid w:val="00E37F5C"/>
    <w:rsid w:val="00E40444"/>
    <w:rsid w:val="00E40B57"/>
    <w:rsid w:val="00E40C85"/>
    <w:rsid w:val="00E40C94"/>
    <w:rsid w:val="00E4139F"/>
    <w:rsid w:val="00E417C6"/>
    <w:rsid w:val="00E41A27"/>
    <w:rsid w:val="00E41AB4"/>
    <w:rsid w:val="00E42497"/>
    <w:rsid w:val="00E42598"/>
    <w:rsid w:val="00E42737"/>
    <w:rsid w:val="00E42AED"/>
    <w:rsid w:val="00E4321F"/>
    <w:rsid w:val="00E43296"/>
    <w:rsid w:val="00E4346F"/>
    <w:rsid w:val="00E436F4"/>
    <w:rsid w:val="00E439AF"/>
    <w:rsid w:val="00E44128"/>
    <w:rsid w:val="00E4412D"/>
    <w:rsid w:val="00E4471D"/>
    <w:rsid w:val="00E44906"/>
    <w:rsid w:val="00E44961"/>
    <w:rsid w:val="00E449AA"/>
    <w:rsid w:val="00E449FC"/>
    <w:rsid w:val="00E44CBE"/>
    <w:rsid w:val="00E453A3"/>
    <w:rsid w:val="00E4583D"/>
    <w:rsid w:val="00E45C77"/>
    <w:rsid w:val="00E45FF8"/>
    <w:rsid w:val="00E4608B"/>
    <w:rsid w:val="00E46245"/>
    <w:rsid w:val="00E462FD"/>
    <w:rsid w:val="00E46BE7"/>
    <w:rsid w:val="00E46D7F"/>
    <w:rsid w:val="00E46DED"/>
    <w:rsid w:val="00E46E16"/>
    <w:rsid w:val="00E47CB1"/>
    <w:rsid w:val="00E501D3"/>
    <w:rsid w:val="00E5067A"/>
    <w:rsid w:val="00E50795"/>
    <w:rsid w:val="00E50879"/>
    <w:rsid w:val="00E50EB8"/>
    <w:rsid w:val="00E510EA"/>
    <w:rsid w:val="00E51997"/>
    <w:rsid w:val="00E519E5"/>
    <w:rsid w:val="00E51A26"/>
    <w:rsid w:val="00E51C3D"/>
    <w:rsid w:val="00E52123"/>
    <w:rsid w:val="00E52385"/>
    <w:rsid w:val="00E52388"/>
    <w:rsid w:val="00E52CBD"/>
    <w:rsid w:val="00E536A6"/>
    <w:rsid w:val="00E53A01"/>
    <w:rsid w:val="00E53B98"/>
    <w:rsid w:val="00E53D59"/>
    <w:rsid w:val="00E53EB3"/>
    <w:rsid w:val="00E540E9"/>
    <w:rsid w:val="00E54144"/>
    <w:rsid w:val="00E544BD"/>
    <w:rsid w:val="00E54CD3"/>
    <w:rsid w:val="00E55759"/>
    <w:rsid w:val="00E55DD5"/>
    <w:rsid w:val="00E563AE"/>
    <w:rsid w:val="00E564C4"/>
    <w:rsid w:val="00E564F0"/>
    <w:rsid w:val="00E56750"/>
    <w:rsid w:val="00E567C9"/>
    <w:rsid w:val="00E56D78"/>
    <w:rsid w:val="00E56E7F"/>
    <w:rsid w:val="00E57369"/>
    <w:rsid w:val="00E5762C"/>
    <w:rsid w:val="00E57890"/>
    <w:rsid w:val="00E57D52"/>
    <w:rsid w:val="00E57D97"/>
    <w:rsid w:val="00E57E1A"/>
    <w:rsid w:val="00E60397"/>
    <w:rsid w:val="00E6048E"/>
    <w:rsid w:val="00E604C4"/>
    <w:rsid w:val="00E60809"/>
    <w:rsid w:val="00E60C85"/>
    <w:rsid w:val="00E61300"/>
    <w:rsid w:val="00E6145E"/>
    <w:rsid w:val="00E61528"/>
    <w:rsid w:val="00E61877"/>
    <w:rsid w:val="00E61896"/>
    <w:rsid w:val="00E61A87"/>
    <w:rsid w:val="00E623FB"/>
    <w:rsid w:val="00E6286A"/>
    <w:rsid w:val="00E62928"/>
    <w:rsid w:val="00E6295A"/>
    <w:rsid w:val="00E62BBD"/>
    <w:rsid w:val="00E62C50"/>
    <w:rsid w:val="00E62CA5"/>
    <w:rsid w:val="00E62E78"/>
    <w:rsid w:val="00E62F98"/>
    <w:rsid w:val="00E62FA3"/>
    <w:rsid w:val="00E635B9"/>
    <w:rsid w:val="00E637D8"/>
    <w:rsid w:val="00E637F1"/>
    <w:rsid w:val="00E63884"/>
    <w:rsid w:val="00E63ADA"/>
    <w:rsid w:val="00E63F5A"/>
    <w:rsid w:val="00E64754"/>
    <w:rsid w:val="00E647C1"/>
    <w:rsid w:val="00E6499C"/>
    <w:rsid w:val="00E64B0E"/>
    <w:rsid w:val="00E64E34"/>
    <w:rsid w:val="00E65427"/>
    <w:rsid w:val="00E6591A"/>
    <w:rsid w:val="00E65A33"/>
    <w:rsid w:val="00E65BD1"/>
    <w:rsid w:val="00E65D15"/>
    <w:rsid w:val="00E65FAB"/>
    <w:rsid w:val="00E66179"/>
    <w:rsid w:val="00E669EF"/>
    <w:rsid w:val="00E66CD8"/>
    <w:rsid w:val="00E66E5D"/>
    <w:rsid w:val="00E6727C"/>
    <w:rsid w:val="00E6727F"/>
    <w:rsid w:val="00E67802"/>
    <w:rsid w:val="00E67B75"/>
    <w:rsid w:val="00E67EE5"/>
    <w:rsid w:val="00E67F4A"/>
    <w:rsid w:val="00E7013A"/>
    <w:rsid w:val="00E70D24"/>
    <w:rsid w:val="00E70FAE"/>
    <w:rsid w:val="00E71176"/>
    <w:rsid w:val="00E711A5"/>
    <w:rsid w:val="00E713CD"/>
    <w:rsid w:val="00E71B37"/>
    <w:rsid w:val="00E72622"/>
    <w:rsid w:val="00E728CD"/>
    <w:rsid w:val="00E72C6B"/>
    <w:rsid w:val="00E72ED4"/>
    <w:rsid w:val="00E72F36"/>
    <w:rsid w:val="00E72F40"/>
    <w:rsid w:val="00E73282"/>
    <w:rsid w:val="00E732DC"/>
    <w:rsid w:val="00E732E7"/>
    <w:rsid w:val="00E73522"/>
    <w:rsid w:val="00E7366D"/>
    <w:rsid w:val="00E73AB7"/>
    <w:rsid w:val="00E742A8"/>
    <w:rsid w:val="00E74890"/>
    <w:rsid w:val="00E749F5"/>
    <w:rsid w:val="00E74EBD"/>
    <w:rsid w:val="00E74F5D"/>
    <w:rsid w:val="00E755B4"/>
    <w:rsid w:val="00E7585F"/>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90"/>
    <w:rsid w:val="00E806D0"/>
    <w:rsid w:val="00E80CC5"/>
    <w:rsid w:val="00E810D3"/>
    <w:rsid w:val="00E81394"/>
    <w:rsid w:val="00E817E0"/>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27C"/>
    <w:rsid w:val="00E843B5"/>
    <w:rsid w:val="00E8459C"/>
    <w:rsid w:val="00E84748"/>
    <w:rsid w:val="00E84A3B"/>
    <w:rsid w:val="00E84B55"/>
    <w:rsid w:val="00E84C9E"/>
    <w:rsid w:val="00E850E9"/>
    <w:rsid w:val="00E85307"/>
    <w:rsid w:val="00E8541A"/>
    <w:rsid w:val="00E8584E"/>
    <w:rsid w:val="00E85B02"/>
    <w:rsid w:val="00E85B0A"/>
    <w:rsid w:val="00E85F3F"/>
    <w:rsid w:val="00E860B7"/>
    <w:rsid w:val="00E8649A"/>
    <w:rsid w:val="00E86611"/>
    <w:rsid w:val="00E8689F"/>
    <w:rsid w:val="00E86A22"/>
    <w:rsid w:val="00E86F8E"/>
    <w:rsid w:val="00E87457"/>
    <w:rsid w:val="00E875B1"/>
    <w:rsid w:val="00E87742"/>
    <w:rsid w:val="00E87A97"/>
    <w:rsid w:val="00E907E4"/>
    <w:rsid w:val="00E90A24"/>
    <w:rsid w:val="00E90C34"/>
    <w:rsid w:val="00E913D1"/>
    <w:rsid w:val="00E9168F"/>
    <w:rsid w:val="00E919AC"/>
    <w:rsid w:val="00E91E10"/>
    <w:rsid w:val="00E91EB0"/>
    <w:rsid w:val="00E92582"/>
    <w:rsid w:val="00E92810"/>
    <w:rsid w:val="00E92AAD"/>
    <w:rsid w:val="00E92E51"/>
    <w:rsid w:val="00E9321C"/>
    <w:rsid w:val="00E93460"/>
    <w:rsid w:val="00E93499"/>
    <w:rsid w:val="00E9376E"/>
    <w:rsid w:val="00E939CD"/>
    <w:rsid w:val="00E93B27"/>
    <w:rsid w:val="00E93BB0"/>
    <w:rsid w:val="00E93CB3"/>
    <w:rsid w:val="00E944FB"/>
    <w:rsid w:val="00E946A6"/>
    <w:rsid w:val="00E947E4"/>
    <w:rsid w:val="00E947E8"/>
    <w:rsid w:val="00E9480A"/>
    <w:rsid w:val="00E948F7"/>
    <w:rsid w:val="00E9495E"/>
    <w:rsid w:val="00E94D3A"/>
    <w:rsid w:val="00E953C2"/>
    <w:rsid w:val="00E9616B"/>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F54"/>
    <w:rsid w:val="00EA1059"/>
    <w:rsid w:val="00EA106D"/>
    <w:rsid w:val="00EA18C6"/>
    <w:rsid w:val="00EA1D43"/>
    <w:rsid w:val="00EA1FF5"/>
    <w:rsid w:val="00EA2013"/>
    <w:rsid w:val="00EA24E1"/>
    <w:rsid w:val="00EA3410"/>
    <w:rsid w:val="00EA3834"/>
    <w:rsid w:val="00EA38D5"/>
    <w:rsid w:val="00EA3B3B"/>
    <w:rsid w:val="00EA40C8"/>
    <w:rsid w:val="00EA4598"/>
    <w:rsid w:val="00EA4784"/>
    <w:rsid w:val="00EA48D4"/>
    <w:rsid w:val="00EA4C04"/>
    <w:rsid w:val="00EA4DE8"/>
    <w:rsid w:val="00EA4E12"/>
    <w:rsid w:val="00EA4EC9"/>
    <w:rsid w:val="00EA50BA"/>
    <w:rsid w:val="00EA5444"/>
    <w:rsid w:val="00EA568E"/>
    <w:rsid w:val="00EA590F"/>
    <w:rsid w:val="00EA5946"/>
    <w:rsid w:val="00EA5C14"/>
    <w:rsid w:val="00EA5E0F"/>
    <w:rsid w:val="00EA5E7B"/>
    <w:rsid w:val="00EA6118"/>
    <w:rsid w:val="00EA6FE4"/>
    <w:rsid w:val="00EA717E"/>
    <w:rsid w:val="00EA72D2"/>
    <w:rsid w:val="00EA733F"/>
    <w:rsid w:val="00EA76A7"/>
    <w:rsid w:val="00EA798D"/>
    <w:rsid w:val="00EA79E4"/>
    <w:rsid w:val="00EA7A09"/>
    <w:rsid w:val="00EA7AB9"/>
    <w:rsid w:val="00EA7D1D"/>
    <w:rsid w:val="00EA7F4C"/>
    <w:rsid w:val="00EA7FA7"/>
    <w:rsid w:val="00EB00C4"/>
    <w:rsid w:val="00EB02E1"/>
    <w:rsid w:val="00EB04C6"/>
    <w:rsid w:val="00EB053E"/>
    <w:rsid w:val="00EB0A5F"/>
    <w:rsid w:val="00EB12DD"/>
    <w:rsid w:val="00EB18B6"/>
    <w:rsid w:val="00EB18CA"/>
    <w:rsid w:val="00EB191C"/>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2F3"/>
    <w:rsid w:val="00EB349C"/>
    <w:rsid w:val="00EB37A7"/>
    <w:rsid w:val="00EB39F8"/>
    <w:rsid w:val="00EB3E83"/>
    <w:rsid w:val="00EB45D5"/>
    <w:rsid w:val="00EB4817"/>
    <w:rsid w:val="00EB4A26"/>
    <w:rsid w:val="00EB4F0F"/>
    <w:rsid w:val="00EB4F83"/>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A8"/>
    <w:rsid w:val="00EC141D"/>
    <w:rsid w:val="00EC1453"/>
    <w:rsid w:val="00EC14B0"/>
    <w:rsid w:val="00EC1647"/>
    <w:rsid w:val="00EC1F05"/>
    <w:rsid w:val="00EC2038"/>
    <w:rsid w:val="00EC204E"/>
    <w:rsid w:val="00EC21CB"/>
    <w:rsid w:val="00EC249E"/>
    <w:rsid w:val="00EC27B3"/>
    <w:rsid w:val="00EC2CFF"/>
    <w:rsid w:val="00EC2DFB"/>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DC"/>
    <w:rsid w:val="00EC71B0"/>
    <w:rsid w:val="00EC745E"/>
    <w:rsid w:val="00EC7650"/>
    <w:rsid w:val="00EC76C4"/>
    <w:rsid w:val="00EC775C"/>
    <w:rsid w:val="00EC7CE0"/>
    <w:rsid w:val="00EC7EAF"/>
    <w:rsid w:val="00EC7EEE"/>
    <w:rsid w:val="00ED07A2"/>
    <w:rsid w:val="00ED08EC"/>
    <w:rsid w:val="00ED0D7F"/>
    <w:rsid w:val="00ED0FC0"/>
    <w:rsid w:val="00ED1327"/>
    <w:rsid w:val="00ED150D"/>
    <w:rsid w:val="00ED2325"/>
    <w:rsid w:val="00ED2429"/>
    <w:rsid w:val="00ED25BD"/>
    <w:rsid w:val="00ED25CE"/>
    <w:rsid w:val="00ED27C3"/>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6063"/>
    <w:rsid w:val="00ED61DF"/>
    <w:rsid w:val="00ED6B3F"/>
    <w:rsid w:val="00ED6D4A"/>
    <w:rsid w:val="00ED6F8F"/>
    <w:rsid w:val="00ED721A"/>
    <w:rsid w:val="00ED738C"/>
    <w:rsid w:val="00ED74F6"/>
    <w:rsid w:val="00ED76C1"/>
    <w:rsid w:val="00ED7918"/>
    <w:rsid w:val="00ED7A68"/>
    <w:rsid w:val="00ED7F02"/>
    <w:rsid w:val="00ED7FD3"/>
    <w:rsid w:val="00EE007E"/>
    <w:rsid w:val="00EE035C"/>
    <w:rsid w:val="00EE0386"/>
    <w:rsid w:val="00EE05C0"/>
    <w:rsid w:val="00EE0C2C"/>
    <w:rsid w:val="00EE0E5D"/>
    <w:rsid w:val="00EE10E1"/>
    <w:rsid w:val="00EE11C2"/>
    <w:rsid w:val="00EE1309"/>
    <w:rsid w:val="00EE1F69"/>
    <w:rsid w:val="00EE20DE"/>
    <w:rsid w:val="00EE2241"/>
    <w:rsid w:val="00EE25B6"/>
    <w:rsid w:val="00EE280D"/>
    <w:rsid w:val="00EE2A61"/>
    <w:rsid w:val="00EE2ECB"/>
    <w:rsid w:val="00EE302A"/>
    <w:rsid w:val="00EE3663"/>
    <w:rsid w:val="00EE3A94"/>
    <w:rsid w:val="00EE3B66"/>
    <w:rsid w:val="00EE3E0A"/>
    <w:rsid w:val="00EE3E89"/>
    <w:rsid w:val="00EE4180"/>
    <w:rsid w:val="00EE41C4"/>
    <w:rsid w:val="00EE4240"/>
    <w:rsid w:val="00EE437F"/>
    <w:rsid w:val="00EE450C"/>
    <w:rsid w:val="00EE4597"/>
    <w:rsid w:val="00EE4745"/>
    <w:rsid w:val="00EE4B90"/>
    <w:rsid w:val="00EE4E88"/>
    <w:rsid w:val="00EE50A5"/>
    <w:rsid w:val="00EE5359"/>
    <w:rsid w:val="00EE563A"/>
    <w:rsid w:val="00EE5A27"/>
    <w:rsid w:val="00EE5BF5"/>
    <w:rsid w:val="00EE5DED"/>
    <w:rsid w:val="00EE5E14"/>
    <w:rsid w:val="00EE61FC"/>
    <w:rsid w:val="00EE659F"/>
    <w:rsid w:val="00EE6835"/>
    <w:rsid w:val="00EE6E77"/>
    <w:rsid w:val="00EE6EE6"/>
    <w:rsid w:val="00EE76A9"/>
    <w:rsid w:val="00EE799E"/>
    <w:rsid w:val="00EE79E8"/>
    <w:rsid w:val="00EE7CA8"/>
    <w:rsid w:val="00EE7FA7"/>
    <w:rsid w:val="00EE94B2"/>
    <w:rsid w:val="00EF0009"/>
    <w:rsid w:val="00EF0322"/>
    <w:rsid w:val="00EF0A5F"/>
    <w:rsid w:val="00EF0DA1"/>
    <w:rsid w:val="00EF1093"/>
    <w:rsid w:val="00EF118D"/>
    <w:rsid w:val="00EF124E"/>
    <w:rsid w:val="00EF1368"/>
    <w:rsid w:val="00EF1BA5"/>
    <w:rsid w:val="00EF1FCB"/>
    <w:rsid w:val="00EF21C3"/>
    <w:rsid w:val="00EF24BE"/>
    <w:rsid w:val="00EF25AF"/>
    <w:rsid w:val="00EF27F0"/>
    <w:rsid w:val="00EF2C14"/>
    <w:rsid w:val="00EF2C74"/>
    <w:rsid w:val="00EF2E6B"/>
    <w:rsid w:val="00EF3021"/>
    <w:rsid w:val="00EF31D3"/>
    <w:rsid w:val="00EF32CF"/>
    <w:rsid w:val="00EF3A8A"/>
    <w:rsid w:val="00EF3C19"/>
    <w:rsid w:val="00EF3C27"/>
    <w:rsid w:val="00EF40AA"/>
    <w:rsid w:val="00EF4A31"/>
    <w:rsid w:val="00EF4D1B"/>
    <w:rsid w:val="00EF54D1"/>
    <w:rsid w:val="00EF5539"/>
    <w:rsid w:val="00EF55B2"/>
    <w:rsid w:val="00EF5A31"/>
    <w:rsid w:val="00EF6367"/>
    <w:rsid w:val="00EF6485"/>
    <w:rsid w:val="00EF6545"/>
    <w:rsid w:val="00EF656E"/>
    <w:rsid w:val="00EF67BB"/>
    <w:rsid w:val="00EF6B76"/>
    <w:rsid w:val="00EF7019"/>
    <w:rsid w:val="00EF72F9"/>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DEC"/>
    <w:rsid w:val="00F01E6B"/>
    <w:rsid w:val="00F021F7"/>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720"/>
    <w:rsid w:val="00F05759"/>
    <w:rsid w:val="00F057D7"/>
    <w:rsid w:val="00F05D73"/>
    <w:rsid w:val="00F0600F"/>
    <w:rsid w:val="00F064EC"/>
    <w:rsid w:val="00F0676F"/>
    <w:rsid w:val="00F06B44"/>
    <w:rsid w:val="00F06CAB"/>
    <w:rsid w:val="00F06D2A"/>
    <w:rsid w:val="00F0718E"/>
    <w:rsid w:val="00F079C8"/>
    <w:rsid w:val="00F07F39"/>
    <w:rsid w:val="00F1093A"/>
    <w:rsid w:val="00F10BAA"/>
    <w:rsid w:val="00F10CB9"/>
    <w:rsid w:val="00F10E41"/>
    <w:rsid w:val="00F10F1C"/>
    <w:rsid w:val="00F110CD"/>
    <w:rsid w:val="00F110D5"/>
    <w:rsid w:val="00F11C80"/>
    <w:rsid w:val="00F12351"/>
    <w:rsid w:val="00F12525"/>
    <w:rsid w:val="00F1287F"/>
    <w:rsid w:val="00F12932"/>
    <w:rsid w:val="00F12A5D"/>
    <w:rsid w:val="00F12B3B"/>
    <w:rsid w:val="00F131E2"/>
    <w:rsid w:val="00F13489"/>
    <w:rsid w:val="00F14602"/>
    <w:rsid w:val="00F14F41"/>
    <w:rsid w:val="00F15188"/>
    <w:rsid w:val="00F15193"/>
    <w:rsid w:val="00F15226"/>
    <w:rsid w:val="00F15648"/>
    <w:rsid w:val="00F1564E"/>
    <w:rsid w:val="00F15954"/>
    <w:rsid w:val="00F15E4B"/>
    <w:rsid w:val="00F16306"/>
    <w:rsid w:val="00F16532"/>
    <w:rsid w:val="00F16739"/>
    <w:rsid w:val="00F169F5"/>
    <w:rsid w:val="00F16DE2"/>
    <w:rsid w:val="00F1734E"/>
    <w:rsid w:val="00F17719"/>
    <w:rsid w:val="00F1785A"/>
    <w:rsid w:val="00F178CF"/>
    <w:rsid w:val="00F17C12"/>
    <w:rsid w:val="00F17DC4"/>
    <w:rsid w:val="00F17F1F"/>
    <w:rsid w:val="00F2052B"/>
    <w:rsid w:val="00F205CA"/>
    <w:rsid w:val="00F2065C"/>
    <w:rsid w:val="00F21177"/>
    <w:rsid w:val="00F215B2"/>
    <w:rsid w:val="00F21744"/>
    <w:rsid w:val="00F21780"/>
    <w:rsid w:val="00F2179D"/>
    <w:rsid w:val="00F21DE8"/>
    <w:rsid w:val="00F21F4A"/>
    <w:rsid w:val="00F2204F"/>
    <w:rsid w:val="00F22183"/>
    <w:rsid w:val="00F223BD"/>
    <w:rsid w:val="00F2260F"/>
    <w:rsid w:val="00F22803"/>
    <w:rsid w:val="00F22D8F"/>
    <w:rsid w:val="00F22E44"/>
    <w:rsid w:val="00F23513"/>
    <w:rsid w:val="00F238EF"/>
    <w:rsid w:val="00F23C66"/>
    <w:rsid w:val="00F242A3"/>
    <w:rsid w:val="00F242AD"/>
    <w:rsid w:val="00F247F2"/>
    <w:rsid w:val="00F25069"/>
    <w:rsid w:val="00F2518F"/>
    <w:rsid w:val="00F251EA"/>
    <w:rsid w:val="00F252A8"/>
    <w:rsid w:val="00F255D9"/>
    <w:rsid w:val="00F255EF"/>
    <w:rsid w:val="00F2566E"/>
    <w:rsid w:val="00F259B6"/>
    <w:rsid w:val="00F263FE"/>
    <w:rsid w:val="00F264CB"/>
    <w:rsid w:val="00F265F7"/>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F6F"/>
    <w:rsid w:val="00F333E8"/>
    <w:rsid w:val="00F3371A"/>
    <w:rsid w:val="00F33A66"/>
    <w:rsid w:val="00F33DC8"/>
    <w:rsid w:val="00F34049"/>
    <w:rsid w:val="00F34444"/>
    <w:rsid w:val="00F34762"/>
    <w:rsid w:val="00F3484E"/>
    <w:rsid w:val="00F35132"/>
    <w:rsid w:val="00F35178"/>
    <w:rsid w:val="00F35925"/>
    <w:rsid w:val="00F359AE"/>
    <w:rsid w:val="00F35C28"/>
    <w:rsid w:val="00F35E99"/>
    <w:rsid w:val="00F3613F"/>
    <w:rsid w:val="00F36898"/>
    <w:rsid w:val="00F36A44"/>
    <w:rsid w:val="00F36A75"/>
    <w:rsid w:val="00F36AF2"/>
    <w:rsid w:val="00F36BDA"/>
    <w:rsid w:val="00F36CF2"/>
    <w:rsid w:val="00F36EBF"/>
    <w:rsid w:val="00F36EDF"/>
    <w:rsid w:val="00F36F6D"/>
    <w:rsid w:val="00F37117"/>
    <w:rsid w:val="00F37183"/>
    <w:rsid w:val="00F378F1"/>
    <w:rsid w:val="00F3793A"/>
    <w:rsid w:val="00F379D1"/>
    <w:rsid w:val="00F37D0A"/>
    <w:rsid w:val="00F403A1"/>
    <w:rsid w:val="00F403DB"/>
    <w:rsid w:val="00F4051C"/>
    <w:rsid w:val="00F4065A"/>
    <w:rsid w:val="00F409A5"/>
    <w:rsid w:val="00F41370"/>
    <w:rsid w:val="00F420CD"/>
    <w:rsid w:val="00F4275C"/>
    <w:rsid w:val="00F42E9B"/>
    <w:rsid w:val="00F42F17"/>
    <w:rsid w:val="00F4333E"/>
    <w:rsid w:val="00F433AB"/>
    <w:rsid w:val="00F434B2"/>
    <w:rsid w:val="00F4390A"/>
    <w:rsid w:val="00F43B3F"/>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D2"/>
    <w:rsid w:val="00F4744A"/>
    <w:rsid w:val="00F47C74"/>
    <w:rsid w:val="00F47C98"/>
    <w:rsid w:val="00F500A0"/>
    <w:rsid w:val="00F50DBD"/>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D1"/>
    <w:rsid w:val="00F54714"/>
    <w:rsid w:val="00F54ADC"/>
    <w:rsid w:val="00F54BFA"/>
    <w:rsid w:val="00F54C58"/>
    <w:rsid w:val="00F54E36"/>
    <w:rsid w:val="00F5546B"/>
    <w:rsid w:val="00F55520"/>
    <w:rsid w:val="00F556CD"/>
    <w:rsid w:val="00F558A2"/>
    <w:rsid w:val="00F5597B"/>
    <w:rsid w:val="00F55A6C"/>
    <w:rsid w:val="00F55ADF"/>
    <w:rsid w:val="00F55E94"/>
    <w:rsid w:val="00F560FE"/>
    <w:rsid w:val="00F562B0"/>
    <w:rsid w:val="00F562FF"/>
    <w:rsid w:val="00F5742A"/>
    <w:rsid w:val="00F57517"/>
    <w:rsid w:val="00F5788C"/>
    <w:rsid w:val="00F578E5"/>
    <w:rsid w:val="00F57A4B"/>
    <w:rsid w:val="00F57BEA"/>
    <w:rsid w:val="00F57E63"/>
    <w:rsid w:val="00F602F6"/>
    <w:rsid w:val="00F60430"/>
    <w:rsid w:val="00F60B3E"/>
    <w:rsid w:val="00F60C3D"/>
    <w:rsid w:val="00F60CD6"/>
    <w:rsid w:val="00F610FC"/>
    <w:rsid w:val="00F6111C"/>
    <w:rsid w:val="00F614C0"/>
    <w:rsid w:val="00F615EE"/>
    <w:rsid w:val="00F61647"/>
    <w:rsid w:val="00F617A8"/>
    <w:rsid w:val="00F61D01"/>
    <w:rsid w:val="00F623A6"/>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65CB"/>
    <w:rsid w:val="00F6681B"/>
    <w:rsid w:val="00F6698B"/>
    <w:rsid w:val="00F66A00"/>
    <w:rsid w:val="00F66CFB"/>
    <w:rsid w:val="00F66F56"/>
    <w:rsid w:val="00F679EF"/>
    <w:rsid w:val="00F67A05"/>
    <w:rsid w:val="00F67CCE"/>
    <w:rsid w:val="00F67DCA"/>
    <w:rsid w:val="00F68238"/>
    <w:rsid w:val="00F700F8"/>
    <w:rsid w:val="00F70614"/>
    <w:rsid w:val="00F7091A"/>
    <w:rsid w:val="00F70C73"/>
    <w:rsid w:val="00F713A3"/>
    <w:rsid w:val="00F713F6"/>
    <w:rsid w:val="00F717DE"/>
    <w:rsid w:val="00F718BA"/>
    <w:rsid w:val="00F71A40"/>
    <w:rsid w:val="00F71A8F"/>
    <w:rsid w:val="00F71ED7"/>
    <w:rsid w:val="00F71FFD"/>
    <w:rsid w:val="00F720F2"/>
    <w:rsid w:val="00F72442"/>
    <w:rsid w:val="00F72600"/>
    <w:rsid w:val="00F72622"/>
    <w:rsid w:val="00F72E8F"/>
    <w:rsid w:val="00F73032"/>
    <w:rsid w:val="00F7314D"/>
    <w:rsid w:val="00F7325D"/>
    <w:rsid w:val="00F73695"/>
    <w:rsid w:val="00F73B02"/>
    <w:rsid w:val="00F743BC"/>
    <w:rsid w:val="00F7444B"/>
    <w:rsid w:val="00F748A1"/>
    <w:rsid w:val="00F74F49"/>
    <w:rsid w:val="00F74F8C"/>
    <w:rsid w:val="00F752D7"/>
    <w:rsid w:val="00F75330"/>
    <w:rsid w:val="00F7541B"/>
    <w:rsid w:val="00F75B66"/>
    <w:rsid w:val="00F75F28"/>
    <w:rsid w:val="00F76056"/>
    <w:rsid w:val="00F76303"/>
    <w:rsid w:val="00F76373"/>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F92"/>
    <w:rsid w:val="00F80F97"/>
    <w:rsid w:val="00F81354"/>
    <w:rsid w:val="00F81387"/>
    <w:rsid w:val="00F81A84"/>
    <w:rsid w:val="00F81CB6"/>
    <w:rsid w:val="00F81ECD"/>
    <w:rsid w:val="00F82134"/>
    <w:rsid w:val="00F822E3"/>
    <w:rsid w:val="00F82362"/>
    <w:rsid w:val="00F82699"/>
    <w:rsid w:val="00F82866"/>
    <w:rsid w:val="00F82D3E"/>
    <w:rsid w:val="00F82D6D"/>
    <w:rsid w:val="00F8345A"/>
    <w:rsid w:val="00F8362D"/>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7018"/>
    <w:rsid w:val="00F87032"/>
    <w:rsid w:val="00F87094"/>
    <w:rsid w:val="00F872E6"/>
    <w:rsid w:val="00F87838"/>
    <w:rsid w:val="00F87AB3"/>
    <w:rsid w:val="00F87BEE"/>
    <w:rsid w:val="00F87FC7"/>
    <w:rsid w:val="00F87FEC"/>
    <w:rsid w:val="00F90142"/>
    <w:rsid w:val="00F90220"/>
    <w:rsid w:val="00F90D1D"/>
    <w:rsid w:val="00F90F12"/>
    <w:rsid w:val="00F910FE"/>
    <w:rsid w:val="00F913DC"/>
    <w:rsid w:val="00F91D04"/>
    <w:rsid w:val="00F91DDA"/>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D80"/>
    <w:rsid w:val="00F94DB3"/>
    <w:rsid w:val="00F95616"/>
    <w:rsid w:val="00F956F5"/>
    <w:rsid w:val="00F959F3"/>
    <w:rsid w:val="00F960BF"/>
    <w:rsid w:val="00F960F4"/>
    <w:rsid w:val="00F96500"/>
    <w:rsid w:val="00F96620"/>
    <w:rsid w:val="00F96EB9"/>
    <w:rsid w:val="00F9703B"/>
    <w:rsid w:val="00F97095"/>
    <w:rsid w:val="00F97316"/>
    <w:rsid w:val="00F9736A"/>
    <w:rsid w:val="00F97855"/>
    <w:rsid w:val="00F9788A"/>
    <w:rsid w:val="00F97E20"/>
    <w:rsid w:val="00FA0427"/>
    <w:rsid w:val="00FA044A"/>
    <w:rsid w:val="00FA0453"/>
    <w:rsid w:val="00FA0929"/>
    <w:rsid w:val="00FA0E6B"/>
    <w:rsid w:val="00FA1022"/>
    <w:rsid w:val="00FA15AB"/>
    <w:rsid w:val="00FA1669"/>
    <w:rsid w:val="00FA1E10"/>
    <w:rsid w:val="00FA27C2"/>
    <w:rsid w:val="00FA2AD3"/>
    <w:rsid w:val="00FA2C35"/>
    <w:rsid w:val="00FA3056"/>
    <w:rsid w:val="00FA31E7"/>
    <w:rsid w:val="00FA3386"/>
    <w:rsid w:val="00FA3448"/>
    <w:rsid w:val="00FA3CF5"/>
    <w:rsid w:val="00FA3FD1"/>
    <w:rsid w:val="00FA40AC"/>
    <w:rsid w:val="00FA413A"/>
    <w:rsid w:val="00FA4144"/>
    <w:rsid w:val="00FA422F"/>
    <w:rsid w:val="00FA44D1"/>
    <w:rsid w:val="00FA4759"/>
    <w:rsid w:val="00FA4971"/>
    <w:rsid w:val="00FA4DDF"/>
    <w:rsid w:val="00FA59DC"/>
    <w:rsid w:val="00FA5AB7"/>
    <w:rsid w:val="00FA5B8A"/>
    <w:rsid w:val="00FA5C71"/>
    <w:rsid w:val="00FA6277"/>
    <w:rsid w:val="00FA645E"/>
    <w:rsid w:val="00FA6A01"/>
    <w:rsid w:val="00FA6A4D"/>
    <w:rsid w:val="00FA6BF7"/>
    <w:rsid w:val="00FA6E7F"/>
    <w:rsid w:val="00FA6EB2"/>
    <w:rsid w:val="00FA6F9D"/>
    <w:rsid w:val="00FA7114"/>
    <w:rsid w:val="00FA726D"/>
    <w:rsid w:val="00FA74E1"/>
    <w:rsid w:val="00FA759D"/>
    <w:rsid w:val="00FA77F3"/>
    <w:rsid w:val="00FA7A08"/>
    <w:rsid w:val="00FA7A7B"/>
    <w:rsid w:val="00FB022C"/>
    <w:rsid w:val="00FB0442"/>
    <w:rsid w:val="00FB052D"/>
    <w:rsid w:val="00FB056B"/>
    <w:rsid w:val="00FB0E31"/>
    <w:rsid w:val="00FB14B1"/>
    <w:rsid w:val="00FB1A57"/>
    <w:rsid w:val="00FB1C2B"/>
    <w:rsid w:val="00FB1DF8"/>
    <w:rsid w:val="00FB22D7"/>
    <w:rsid w:val="00FB2379"/>
    <w:rsid w:val="00FB2949"/>
    <w:rsid w:val="00FB2B40"/>
    <w:rsid w:val="00FB2E3D"/>
    <w:rsid w:val="00FB2E3F"/>
    <w:rsid w:val="00FB30AC"/>
    <w:rsid w:val="00FB336B"/>
    <w:rsid w:val="00FB33CF"/>
    <w:rsid w:val="00FB3668"/>
    <w:rsid w:val="00FB3672"/>
    <w:rsid w:val="00FB36B1"/>
    <w:rsid w:val="00FB3CB7"/>
    <w:rsid w:val="00FB4B8A"/>
    <w:rsid w:val="00FB4C9C"/>
    <w:rsid w:val="00FB4D0D"/>
    <w:rsid w:val="00FB4D1E"/>
    <w:rsid w:val="00FB4EF8"/>
    <w:rsid w:val="00FB4F1B"/>
    <w:rsid w:val="00FB50FA"/>
    <w:rsid w:val="00FB5152"/>
    <w:rsid w:val="00FB5D29"/>
    <w:rsid w:val="00FB5D7B"/>
    <w:rsid w:val="00FB5F8F"/>
    <w:rsid w:val="00FB680E"/>
    <w:rsid w:val="00FB687B"/>
    <w:rsid w:val="00FB6B73"/>
    <w:rsid w:val="00FB6B81"/>
    <w:rsid w:val="00FB6C55"/>
    <w:rsid w:val="00FB7009"/>
    <w:rsid w:val="00FB799E"/>
    <w:rsid w:val="00FB7A0B"/>
    <w:rsid w:val="00FC0065"/>
    <w:rsid w:val="00FC0171"/>
    <w:rsid w:val="00FC0312"/>
    <w:rsid w:val="00FC062F"/>
    <w:rsid w:val="00FC0664"/>
    <w:rsid w:val="00FC0754"/>
    <w:rsid w:val="00FC119F"/>
    <w:rsid w:val="00FC18FB"/>
    <w:rsid w:val="00FC1F79"/>
    <w:rsid w:val="00FC20AD"/>
    <w:rsid w:val="00FC238D"/>
    <w:rsid w:val="00FC2954"/>
    <w:rsid w:val="00FC2A92"/>
    <w:rsid w:val="00FC3AEE"/>
    <w:rsid w:val="00FC3B7A"/>
    <w:rsid w:val="00FC3B80"/>
    <w:rsid w:val="00FC3E74"/>
    <w:rsid w:val="00FC42B5"/>
    <w:rsid w:val="00FC436E"/>
    <w:rsid w:val="00FC4598"/>
    <w:rsid w:val="00FC4621"/>
    <w:rsid w:val="00FC4A8D"/>
    <w:rsid w:val="00FC5556"/>
    <w:rsid w:val="00FC5ACE"/>
    <w:rsid w:val="00FC5DFC"/>
    <w:rsid w:val="00FC6057"/>
    <w:rsid w:val="00FC6238"/>
    <w:rsid w:val="00FC6343"/>
    <w:rsid w:val="00FC6657"/>
    <w:rsid w:val="00FC6DE8"/>
    <w:rsid w:val="00FC7057"/>
    <w:rsid w:val="00FC734B"/>
    <w:rsid w:val="00FC7951"/>
    <w:rsid w:val="00FC7A15"/>
    <w:rsid w:val="00FC7C63"/>
    <w:rsid w:val="00FC7EAE"/>
    <w:rsid w:val="00FD030E"/>
    <w:rsid w:val="00FD04F2"/>
    <w:rsid w:val="00FD0500"/>
    <w:rsid w:val="00FD069E"/>
    <w:rsid w:val="00FD06F1"/>
    <w:rsid w:val="00FD0A41"/>
    <w:rsid w:val="00FD0AAB"/>
    <w:rsid w:val="00FD0DFA"/>
    <w:rsid w:val="00FD0E2B"/>
    <w:rsid w:val="00FD1725"/>
    <w:rsid w:val="00FD1AA4"/>
    <w:rsid w:val="00FD1E03"/>
    <w:rsid w:val="00FD1E41"/>
    <w:rsid w:val="00FD236B"/>
    <w:rsid w:val="00FD23AF"/>
    <w:rsid w:val="00FD2785"/>
    <w:rsid w:val="00FD2D89"/>
    <w:rsid w:val="00FD33FC"/>
    <w:rsid w:val="00FD3730"/>
    <w:rsid w:val="00FD3ADE"/>
    <w:rsid w:val="00FD3B08"/>
    <w:rsid w:val="00FD3FF3"/>
    <w:rsid w:val="00FD41CE"/>
    <w:rsid w:val="00FD4375"/>
    <w:rsid w:val="00FD442B"/>
    <w:rsid w:val="00FD44D2"/>
    <w:rsid w:val="00FD4713"/>
    <w:rsid w:val="00FD4806"/>
    <w:rsid w:val="00FD48E8"/>
    <w:rsid w:val="00FD4B33"/>
    <w:rsid w:val="00FD4BA4"/>
    <w:rsid w:val="00FD534E"/>
    <w:rsid w:val="00FD55AB"/>
    <w:rsid w:val="00FD56C7"/>
    <w:rsid w:val="00FD58CC"/>
    <w:rsid w:val="00FD5993"/>
    <w:rsid w:val="00FD5CBB"/>
    <w:rsid w:val="00FD60CC"/>
    <w:rsid w:val="00FD6309"/>
    <w:rsid w:val="00FD6564"/>
    <w:rsid w:val="00FD6635"/>
    <w:rsid w:val="00FD68ED"/>
    <w:rsid w:val="00FD6AF6"/>
    <w:rsid w:val="00FD6B74"/>
    <w:rsid w:val="00FD70AE"/>
    <w:rsid w:val="00FD7617"/>
    <w:rsid w:val="00FE002E"/>
    <w:rsid w:val="00FE025C"/>
    <w:rsid w:val="00FE0272"/>
    <w:rsid w:val="00FE1293"/>
    <w:rsid w:val="00FE168F"/>
    <w:rsid w:val="00FE20D8"/>
    <w:rsid w:val="00FE2195"/>
    <w:rsid w:val="00FE2398"/>
    <w:rsid w:val="00FE314D"/>
    <w:rsid w:val="00FE32AB"/>
    <w:rsid w:val="00FE331F"/>
    <w:rsid w:val="00FE37D7"/>
    <w:rsid w:val="00FE3924"/>
    <w:rsid w:val="00FE4060"/>
    <w:rsid w:val="00FE42B2"/>
    <w:rsid w:val="00FE44AE"/>
    <w:rsid w:val="00FE469D"/>
    <w:rsid w:val="00FE4A2C"/>
    <w:rsid w:val="00FE4CDA"/>
    <w:rsid w:val="00FE4DAB"/>
    <w:rsid w:val="00FE4E6C"/>
    <w:rsid w:val="00FE4E9A"/>
    <w:rsid w:val="00FE4F44"/>
    <w:rsid w:val="00FE5091"/>
    <w:rsid w:val="00FE515A"/>
    <w:rsid w:val="00FE5421"/>
    <w:rsid w:val="00FE5624"/>
    <w:rsid w:val="00FE5B61"/>
    <w:rsid w:val="00FE5D2C"/>
    <w:rsid w:val="00FE5D7A"/>
    <w:rsid w:val="00FE5FBF"/>
    <w:rsid w:val="00FE60FB"/>
    <w:rsid w:val="00FE6440"/>
    <w:rsid w:val="00FE655B"/>
    <w:rsid w:val="00FE6796"/>
    <w:rsid w:val="00FE6C25"/>
    <w:rsid w:val="00FE6E8F"/>
    <w:rsid w:val="00FE6FF5"/>
    <w:rsid w:val="00FE7310"/>
    <w:rsid w:val="00FE73FE"/>
    <w:rsid w:val="00FE75A0"/>
    <w:rsid w:val="00FE76F9"/>
    <w:rsid w:val="00FE77D3"/>
    <w:rsid w:val="00FE7A0C"/>
    <w:rsid w:val="00FF033A"/>
    <w:rsid w:val="00FF05CA"/>
    <w:rsid w:val="00FF0964"/>
    <w:rsid w:val="00FF0CC8"/>
    <w:rsid w:val="00FF0F67"/>
    <w:rsid w:val="00FF100E"/>
    <w:rsid w:val="00FF16F2"/>
    <w:rsid w:val="00FF1A5F"/>
    <w:rsid w:val="00FF1A90"/>
    <w:rsid w:val="00FF1CEE"/>
    <w:rsid w:val="00FF1D2C"/>
    <w:rsid w:val="00FF1D49"/>
    <w:rsid w:val="00FF1E45"/>
    <w:rsid w:val="00FF1E52"/>
    <w:rsid w:val="00FF1F9B"/>
    <w:rsid w:val="00FF1FA2"/>
    <w:rsid w:val="00FF1FEB"/>
    <w:rsid w:val="00FF2386"/>
    <w:rsid w:val="00FF26AE"/>
    <w:rsid w:val="00FF2B42"/>
    <w:rsid w:val="00FF2D5B"/>
    <w:rsid w:val="00FF3A4D"/>
    <w:rsid w:val="00FF3B7F"/>
    <w:rsid w:val="00FF449A"/>
    <w:rsid w:val="00FF49EE"/>
    <w:rsid w:val="00FF4F04"/>
    <w:rsid w:val="00FF4F92"/>
    <w:rsid w:val="00FF54EB"/>
    <w:rsid w:val="00FF5713"/>
    <w:rsid w:val="00FF5C27"/>
    <w:rsid w:val="00FF5FDD"/>
    <w:rsid w:val="00FF62D6"/>
    <w:rsid w:val="00FF65B2"/>
    <w:rsid w:val="00FF66DB"/>
    <w:rsid w:val="00FF6822"/>
    <w:rsid w:val="00FF6C28"/>
    <w:rsid w:val="00FF6F6D"/>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B43"/>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7"/>
      </w:numPr>
      <w:outlineLvl w:val="5"/>
    </w:pPr>
  </w:style>
  <w:style w:type="paragraph" w:styleId="Heading7">
    <w:name w:val="heading 7"/>
    <w:basedOn w:val="H6"/>
    <w:next w:val="Normal"/>
    <w:qFormat/>
    <w:rsid w:val="005831DD"/>
    <w:pPr>
      <w:numPr>
        <w:ilvl w:val="6"/>
        <w:numId w:val="17"/>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26C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CA5"/>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3"/>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4"/>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5"/>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5AIRPNAIUNRU-1830940522-20712</_dlc_DocId>
    <_dlc_DocIdUrl xmlns="71c5aaf6-e6ce-465b-b873-5148d2a4c105">
      <Url>https://nokia.sharepoint.com/sites/c5g/5gradio/_layouts/15/DocIdRedir.aspx?ID=5AIRPNAIUNRU-1830940522-20712</Url>
      <Description>5AIRPNAIUNRU-1830940522-20712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71A04629-E56A-453F-88AA-B039248A98AC}">
  <ds:schemaRefs>
    <ds:schemaRef ds:uri="http://purl.org/dc/elements/1.1/"/>
    <ds:schemaRef ds:uri="http://schemas.microsoft.com/office/infopath/2007/PartnerControls"/>
    <ds:schemaRef ds:uri="http://purl.org/dc/terms/"/>
    <ds:schemaRef ds:uri="http://schemas.openxmlformats.org/package/2006/metadata/core-properties"/>
    <ds:schemaRef ds:uri="3b34c8f0-1ef5-4d1e-bb66-517ce7fe7356"/>
    <ds:schemaRef ds:uri="http://purl.org/dc/dcmitype/"/>
    <ds:schemaRef ds:uri="ebabf6ce-2443-438c-9946-ecc878e7654a"/>
    <ds:schemaRef ds:uri="http://schemas.microsoft.com/office/2006/documentManagement/types"/>
    <ds:schemaRef ds:uri="95d2e41d-1f11-4347-bb1c-11d6a32975dd"/>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3B85AC2-5481-4A79-84AE-AB23A8E00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81F18-8F18-4AC8-8A0E-413BDDA8B974}">
  <ds:schemaRefs>
    <ds:schemaRef ds:uri="Microsoft.SharePoint.Taxonomy.ContentTypeSync"/>
  </ds:schemaRefs>
</ds:datastoreItem>
</file>

<file path=customXml/itemProps5.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3278</Words>
  <Characters>17057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2023-05-15T11:50:00Z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e4495757-160e-4d52-b91d-0bc72fef5a53</vt:lpwstr>
  </property>
</Properties>
</file>