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w:t>
      </w:r>
      <w:proofErr w:type="gramStart"/>
      <w:r w:rsidRPr="00995CC4">
        <w:rPr>
          <w:i/>
          <w:iCs/>
          <w:sz w:val="20"/>
          <w:szCs w:val="20"/>
          <w:lang w:eastAsia="zh-CN"/>
        </w:rPr>
        <w:t>have</w:t>
      </w:r>
      <w:proofErr w:type="gramEnd"/>
      <w:r w:rsidRPr="00995CC4">
        <w:rPr>
          <w:i/>
          <w:iCs/>
          <w:sz w:val="20"/>
          <w:szCs w:val="20"/>
          <w:lang w:eastAsia="zh-CN"/>
        </w:rPr>
        <w:t xml:space="preser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sidRPr="00995CC4">
        <w:rPr>
          <w:i/>
          <w:iCs/>
          <w:sz w:val="20"/>
          <w:szCs w:val="20"/>
        </w:rPr>
        <w:t>process, and</w:t>
      </w:r>
      <w:proofErr w:type="gramEnd"/>
      <w:r w:rsidRPr="00995CC4">
        <w:rPr>
          <w:i/>
          <w:iCs/>
          <w:sz w:val="20"/>
          <w:szCs w:val="20"/>
        </w:rPr>
        <w:t xml:space="preserve">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 xml:space="preserve">Supported </w:t>
      </w:r>
      <w:proofErr w:type="gramStart"/>
      <w:r w:rsidRPr="00D4197E">
        <w:rPr>
          <w:rFonts w:eastAsiaTheme="minorEastAsia"/>
          <w:color w:val="7030A0"/>
          <w:sz w:val="20"/>
          <w:szCs w:val="20"/>
          <w:lang w:eastAsia="zh-CN"/>
        </w:rPr>
        <w:t>by</w:t>
      </w:r>
      <w:r w:rsidR="008D5607" w:rsidRPr="00D4197E">
        <w:rPr>
          <w:rFonts w:eastAsiaTheme="minorEastAsia"/>
          <w:color w:val="7030A0"/>
          <w:sz w:val="20"/>
          <w:szCs w:val="20"/>
          <w:lang w:eastAsia="zh-CN"/>
        </w:rPr>
        <w:t>:</w:t>
      </w:r>
      <w:proofErr w:type="gramEnd"/>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w:t>
      </w:r>
      <w:proofErr w:type="gramStart"/>
      <w:r w:rsidRPr="00C806E2">
        <w:rPr>
          <w:rFonts w:eastAsiaTheme="minorEastAsia"/>
          <w:color w:val="7030A0"/>
          <w:sz w:val="20"/>
          <w:szCs w:val="20"/>
          <w:lang w:eastAsia="zh-CN"/>
        </w:rPr>
        <w:t>by:</w:t>
      </w:r>
      <w:proofErr w:type="gramEnd"/>
      <w:r w:rsidRPr="00C806E2">
        <w:rPr>
          <w:rFonts w:eastAsiaTheme="minorEastAsia"/>
          <w:color w:val="7030A0"/>
          <w:sz w:val="20"/>
          <w:szCs w:val="20"/>
          <w:lang w:eastAsia="zh-CN"/>
        </w:rPr>
        <w:t xml:space="preserve">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p>
    <w:p w14:paraId="09C6570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aff9"/>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518C10DB"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w:t>
      </w:r>
      <w:proofErr w:type="gramStart"/>
      <w:r w:rsidRPr="00C806E2">
        <w:rPr>
          <w:rFonts w:eastAsiaTheme="minorEastAsia"/>
          <w:color w:val="7030A0"/>
          <w:sz w:val="20"/>
          <w:szCs w:val="20"/>
          <w:lang w:eastAsia="zh-CN"/>
        </w:rPr>
        <w:t>by:</w:t>
      </w:r>
      <w:proofErr w:type="gramEnd"/>
      <w:r w:rsidRPr="00C806E2">
        <w:rPr>
          <w:rFonts w:eastAsiaTheme="minorEastAsia"/>
          <w:color w:val="7030A0"/>
          <w:sz w:val="20"/>
          <w:szCs w:val="20"/>
          <w:lang w:eastAsia="zh-CN"/>
        </w:rPr>
        <w:t xml:space="preserve">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aff9"/>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w:t>
      </w:r>
      <w:proofErr w:type="gramStart"/>
      <w:r w:rsidRPr="00C806E2">
        <w:rPr>
          <w:rFonts w:eastAsiaTheme="minorEastAsia"/>
          <w:color w:val="7030A0"/>
          <w:sz w:val="20"/>
          <w:szCs w:val="20"/>
          <w:lang w:eastAsia="zh-CN"/>
        </w:rPr>
        <w:t>by:</w:t>
      </w:r>
      <w:proofErr w:type="gramEnd"/>
      <w:r w:rsidRPr="00C806E2">
        <w:rPr>
          <w:rFonts w:eastAsiaTheme="minorEastAsia"/>
          <w:color w:val="7030A0"/>
          <w:sz w:val="20"/>
          <w:szCs w:val="20"/>
          <w:lang w:eastAsia="zh-CN"/>
        </w:rPr>
        <w:t xml:space="preserve"> Huawei</w:t>
      </w:r>
    </w:p>
    <w:p w14:paraId="6D522723"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aff9"/>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1D31B253"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 xml:space="preserve">upported </w:t>
      </w:r>
      <w:proofErr w:type="gramStart"/>
      <w:r w:rsidRPr="00030960">
        <w:rPr>
          <w:rFonts w:eastAsiaTheme="minorEastAsia"/>
          <w:color w:val="7030A0"/>
          <w:sz w:val="20"/>
          <w:szCs w:val="20"/>
          <w:lang w:eastAsia="zh-CN"/>
        </w:rPr>
        <w:t>by:</w:t>
      </w:r>
      <w:proofErr w:type="gramEnd"/>
      <w:r w:rsidRPr="00030960">
        <w:rPr>
          <w:rFonts w:eastAsiaTheme="minorEastAsia"/>
          <w:color w:val="7030A0"/>
          <w:sz w:val="20"/>
          <w:szCs w:val="20"/>
          <w:lang w:eastAsia="zh-CN"/>
        </w:rPr>
        <w:t xml:space="preserve">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p>
    <w:p w14:paraId="0A6327B4" w14:textId="1033E70D"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w:t>
      </w:r>
      <w:proofErr w:type="gramStart"/>
      <w:r w:rsidRPr="00A83BE1">
        <w:rPr>
          <w:rFonts w:eastAsiaTheme="minorEastAsia"/>
          <w:color w:val="7030A0"/>
          <w:sz w:val="20"/>
          <w:szCs w:val="20"/>
          <w:lang w:eastAsia="zh-CN"/>
        </w:rPr>
        <w:t>by:</w:t>
      </w:r>
      <w:proofErr w:type="gramEnd"/>
      <w:r w:rsidRPr="00A83BE1">
        <w:rPr>
          <w:rFonts w:eastAsiaTheme="minorEastAsia"/>
          <w:color w:val="7030A0"/>
          <w:sz w:val="20"/>
          <w:szCs w:val="20"/>
          <w:lang w:eastAsia="zh-CN"/>
        </w:rPr>
        <w:t xml:space="preserve">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8"/>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aff9"/>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9"/>
              <w:rPr>
                <w:b/>
                <w:bCs/>
                <w:iCs/>
                <w:sz w:val="20"/>
                <w:szCs w:val="20"/>
                <w:highlight w:val="lightGray"/>
                <w:lang w:eastAsia="zh-CN"/>
              </w:rPr>
            </w:pPr>
          </w:p>
          <w:p w14:paraId="65E9D41B" w14:textId="225FF436" w:rsidR="00C015E8" w:rsidRDefault="00C015E8" w:rsidP="00C015E8">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aff9"/>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w:t>
            </w:r>
            <w:proofErr w:type="gramStart"/>
            <w:r w:rsidR="00EC168A" w:rsidRPr="00EC168A">
              <w:rPr>
                <w:sz w:val="20"/>
                <w:szCs w:val="20"/>
              </w:rPr>
              <w:t>open</w:t>
            </w:r>
            <w:proofErr w:type="gramEnd"/>
            <w:r w:rsidR="00EC168A" w:rsidRPr="00EC168A">
              <w:rPr>
                <w:sz w:val="20"/>
                <w:szCs w:val="20"/>
              </w:rPr>
              <w:t xml:space="preserve">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9"/>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rFonts w:hint="eastAsia"/>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Option 2.</w:t>
            </w:r>
          </w:p>
        </w:tc>
      </w:tr>
    </w:tbl>
    <w:p w14:paraId="4B131F5F" w14:textId="77777777" w:rsidR="0070260D" w:rsidRPr="0070260D" w:rsidRDefault="0070260D" w:rsidP="0070260D">
      <w:pPr>
        <w:spacing w:after="0"/>
        <w:rPr>
          <w:rFonts w:eastAsia="等线"/>
          <w:sz w:val="20"/>
          <w:szCs w:val="16"/>
          <w:lang w:eastAsia="zh-CN"/>
        </w:rPr>
      </w:pP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lastRenderedPageBreak/>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77777777" w:rsidR="004B30BE" w:rsidRDefault="004B30BE" w:rsidP="00B41962">
            <w:pPr>
              <w:jc w:val="center"/>
              <w:rPr>
                <w:rFonts w:hint="eastAsia"/>
                <w:sz w:val="20"/>
                <w:szCs w:val="20"/>
                <w:lang w:eastAsia="zh-CN"/>
              </w:rPr>
            </w:pP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77777777" w:rsidR="004B30BE" w:rsidRDefault="004B30BE" w:rsidP="00B41962">
            <w:pPr>
              <w:rPr>
                <w:rFonts w:hint="eastAsia"/>
                <w:sz w:val="20"/>
                <w:szCs w:val="20"/>
                <w:lang w:eastAsia="zh-CN"/>
              </w:rPr>
            </w:pP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w:t>
            </w:r>
            <w:proofErr w:type="gramStart"/>
            <w:r w:rsidRPr="00631131">
              <w:rPr>
                <w:sz w:val="20"/>
                <w:szCs w:val="20"/>
                <w:lang w:eastAsia="zh-CN"/>
              </w:rPr>
              <w:t>have</w:t>
            </w:r>
            <w:proofErr w:type="gramEnd"/>
            <w:r w:rsidRPr="00631131">
              <w:rPr>
                <w:sz w:val="20"/>
                <w:szCs w:val="20"/>
                <w:lang w:eastAsia="zh-CN"/>
              </w:rPr>
              <w:t xml:space="preser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lastRenderedPageBreak/>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9"/>
              <w:ind w:left="785"/>
              <w:rPr>
                <w:b/>
                <w:bCs/>
                <w:sz w:val="20"/>
                <w:szCs w:val="20"/>
                <w:highlight w:val="lightGray"/>
              </w:rPr>
            </w:pPr>
          </w:p>
          <w:p w14:paraId="49FD33F7" w14:textId="2848FC07"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rFonts w:hint="eastAsia"/>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w:t>
            </w:r>
            <w:proofErr w:type="gramStart"/>
            <w:r w:rsidRPr="002108BB">
              <w:rPr>
                <w:sz w:val="20"/>
                <w:szCs w:val="20"/>
                <w:lang w:eastAsia="zh-CN"/>
              </w:rPr>
              <w:t>e.g.</w:t>
            </w:r>
            <w:proofErr w:type="gramEnd"/>
            <w:r w:rsidRPr="002108BB">
              <w:rPr>
                <w:sz w:val="20"/>
                <w:szCs w:val="20"/>
                <w:lang w:eastAsia="zh-CN"/>
              </w:rPr>
              <w:t xml:space="preserve">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lastRenderedPageBreak/>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4B30BE">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4B30BE">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4B30BE">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4B30BE">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4B30BE">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4B30BE">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4B30BE">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4B30BE">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4B30BE">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4B30BE">
            <w:pPr>
              <w:ind w:left="360"/>
              <w:rPr>
                <w:sz w:val="20"/>
                <w:szCs w:val="20"/>
                <w:lang w:eastAsia="zh-CN"/>
              </w:rPr>
            </w:pPr>
            <w:hyperlink r:id="rId18" w:history="1">
              <w:r w:rsidR="0084162D">
                <w:rPr>
                  <w:rStyle w:val="aff6"/>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4B30BE">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4B30BE">
            <w:pPr>
              <w:ind w:left="360"/>
              <w:rPr>
                <w:sz w:val="20"/>
                <w:szCs w:val="20"/>
              </w:rPr>
            </w:pPr>
            <w:hyperlink r:id="rId20"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4B30BE">
            <w:pPr>
              <w:ind w:left="360"/>
            </w:pPr>
            <w:hyperlink r:id="rId21"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4B30BE">
            <w:pPr>
              <w:ind w:left="360"/>
              <w:rPr>
                <w:sz w:val="20"/>
                <w:szCs w:val="20"/>
              </w:rPr>
            </w:pPr>
            <w:hyperlink r:id="rId22"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4B30BE">
            <w:pPr>
              <w:ind w:left="360"/>
              <w:rPr>
                <w:sz w:val="20"/>
                <w:szCs w:val="20"/>
              </w:rPr>
            </w:pPr>
            <w:hyperlink r:id="rId23"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4B30BE">
            <w:pPr>
              <w:ind w:left="360"/>
              <w:rPr>
                <w:sz w:val="20"/>
                <w:szCs w:val="20"/>
                <w:lang w:eastAsia="zh-CN"/>
              </w:rPr>
            </w:pPr>
            <w:hyperlink r:id="rId24"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4B30BE">
            <w:pPr>
              <w:ind w:left="360"/>
              <w:rPr>
                <w:sz w:val="20"/>
                <w:szCs w:val="20"/>
              </w:rPr>
            </w:pPr>
            <w:hyperlink r:id="rId25"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4B30BE">
            <w:pPr>
              <w:ind w:left="360"/>
              <w:rPr>
                <w:sz w:val="20"/>
                <w:szCs w:val="20"/>
                <w:lang w:eastAsia="zh-CN"/>
              </w:rPr>
            </w:pPr>
            <w:hyperlink r:id="rId26"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4B30BE">
            <w:pPr>
              <w:ind w:left="360"/>
              <w:rPr>
                <w:sz w:val="20"/>
                <w:szCs w:val="20"/>
                <w:lang w:eastAsia="zh-CN"/>
              </w:rPr>
            </w:pPr>
            <w:hyperlink r:id="rId27"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4B30BE">
            <w:pPr>
              <w:ind w:left="360"/>
              <w:rPr>
                <w:sz w:val="20"/>
                <w:szCs w:val="20"/>
                <w:lang w:eastAsia="zh-CN"/>
              </w:rPr>
            </w:pPr>
            <w:hyperlink r:id="rId28"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4B30BE">
            <w:pPr>
              <w:ind w:left="360"/>
              <w:rPr>
                <w:rStyle w:val="aff6"/>
                <w:sz w:val="20"/>
                <w:szCs w:val="20"/>
              </w:rPr>
            </w:pPr>
            <w:hyperlink r:id="rId29"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4B30BE">
            <w:pPr>
              <w:ind w:left="360"/>
              <w:rPr>
                <w:rStyle w:val="aff6"/>
                <w:sz w:val="20"/>
                <w:szCs w:val="20"/>
              </w:rPr>
            </w:pPr>
            <w:hyperlink r:id="rId30" w:history="1">
              <w:r w:rsidR="0084162D">
                <w:rPr>
                  <w:rStyle w:val="aff6"/>
                  <w:sz w:val="20"/>
                  <w:szCs w:val="20"/>
                </w:rPr>
                <w:t>a</w:t>
              </w:r>
              <w:r w:rsidR="0084162D">
                <w:rPr>
                  <w:rStyle w:val="aff6"/>
                </w:rPr>
                <w:t>lbertor@qti.qualcomm.com</w:t>
              </w:r>
            </w:hyperlink>
            <w:r w:rsidR="0084162D">
              <w:rPr>
                <w:rStyle w:val="aff6"/>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9FEF3" w14:textId="77777777" w:rsidR="0094309B" w:rsidRDefault="0094309B">
      <w:pPr>
        <w:spacing w:after="0"/>
      </w:pPr>
      <w:r>
        <w:separator/>
      </w:r>
    </w:p>
  </w:endnote>
  <w:endnote w:type="continuationSeparator" w:id="0">
    <w:p w14:paraId="6BEA05C4" w14:textId="77777777" w:rsidR="0094309B" w:rsidRDefault="00943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43"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D349" w14:textId="77777777" w:rsidR="0094309B" w:rsidRDefault="0094309B">
      <w:pPr>
        <w:spacing w:after="0"/>
      </w:pPr>
      <w:r>
        <w:separator/>
      </w:r>
    </w:p>
  </w:footnote>
  <w:footnote w:type="continuationSeparator" w:id="0">
    <w:p w14:paraId="2C80CA4B" w14:textId="77777777" w:rsidR="0094309B" w:rsidRDefault="009430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3"/>
  </w:num>
  <w:num w:numId="4">
    <w:abstractNumId w:val="38"/>
  </w:num>
  <w:num w:numId="5">
    <w:abstractNumId w:val="28"/>
  </w:num>
  <w:num w:numId="6">
    <w:abstractNumId w:val="22"/>
  </w:num>
  <w:num w:numId="7">
    <w:abstractNumId w:val="25"/>
  </w:num>
  <w:num w:numId="8">
    <w:abstractNumId w:val="44"/>
  </w:num>
  <w:num w:numId="9">
    <w:abstractNumId w:val="26"/>
  </w:num>
  <w:num w:numId="10">
    <w:abstractNumId w:val="41"/>
  </w:num>
  <w:num w:numId="11">
    <w:abstractNumId w:val="18"/>
  </w:num>
  <w:num w:numId="12">
    <w:abstractNumId w:val="15"/>
  </w:num>
  <w:num w:numId="13">
    <w:abstractNumId w:val="13"/>
  </w:num>
  <w:num w:numId="14">
    <w:abstractNumId w:val="30"/>
  </w:num>
  <w:num w:numId="15">
    <w:abstractNumId w:val="1"/>
  </w:num>
  <w:num w:numId="16">
    <w:abstractNumId w:val="42"/>
  </w:num>
  <w:num w:numId="17">
    <w:abstractNumId w:val="5"/>
  </w:num>
  <w:num w:numId="18">
    <w:abstractNumId w:val="8"/>
  </w:num>
  <w:num w:numId="19">
    <w:abstractNumId w:val="21"/>
  </w:num>
  <w:num w:numId="20">
    <w:abstractNumId w:val="3"/>
  </w:num>
  <w:num w:numId="21">
    <w:abstractNumId w:val="20"/>
  </w:num>
  <w:num w:numId="22">
    <w:abstractNumId w:val="19"/>
  </w:num>
  <w:num w:numId="23">
    <w:abstractNumId w:val="40"/>
  </w:num>
  <w:num w:numId="24">
    <w:abstractNumId w:val="12"/>
  </w:num>
  <w:num w:numId="25">
    <w:abstractNumId w:val="4"/>
  </w:num>
  <w:num w:numId="26">
    <w:abstractNumId w:val="33"/>
  </w:num>
  <w:num w:numId="27">
    <w:abstractNumId w:val="2"/>
  </w:num>
  <w:num w:numId="28">
    <w:abstractNumId w:val="16"/>
  </w:num>
  <w:num w:numId="29">
    <w:abstractNumId w:val="36"/>
  </w:num>
  <w:num w:numId="30">
    <w:abstractNumId w:val="35"/>
  </w:num>
  <w:num w:numId="31">
    <w:abstractNumId w:val="9"/>
  </w:num>
  <w:num w:numId="32">
    <w:abstractNumId w:val="14"/>
  </w:num>
  <w:num w:numId="33">
    <w:abstractNumId w:val="27"/>
  </w:num>
  <w:num w:numId="34">
    <w:abstractNumId w:val="7"/>
  </w:num>
  <w:num w:numId="35">
    <w:abstractNumId w:val="37"/>
  </w:num>
  <w:num w:numId="36">
    <w:abstractNumId w:val="11"/>
  </w:num>
  <w:num w:numId="37">
    <w:abstractNumId w:val="29"/>
  </w:num>
  <w:num w:numId="38">
    <w:abstractNumId w:val="10"/>
  </w:num>
  <w:num w:numId="39">
    <w:abstractNumId w:val="31"/>
  </w:num>
  <w:num w:numId="40">
    <w:abstractNumId w:val="24"/>
  </w:num>
  <w:num w:numId="41">
    <w:abstractNumId w:val="6"/>
  </w:num>
  <w:num w:numId="42">
    <w:abstractNumId w:val="5"/>
  </w:num>
  <w:num w:numId="43">
    <w:abstractNumId w:val="33"/>
  </w:num>
  <w:num w:numId="44">
    <w:abstractNumId w:val="2"/>
  </w:num>
  <w:num w:numId="45">
    <w:abstractNumId w:val="39"/>
  </w:num>
  <w:num w:numId="46">
    <w:abstractNumId w:val="0"/>
  </w:num>
  <w:num w:numId="47">
    <w:abstractNumId w:val="0"/>
  </w:num>
  <w:num w:numId="48">
    <w:abstractNumId w:val="32"/>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15E8"/>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val="en-US" w:eastAsia="en-US"/>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7658</Words>
  <Characters>44634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WenT Tang (汤文)</cp:lastModifiedBy>
  <cp:revision>3</cp:revision>
  <cp:lastPrinted>2015-09-18T07:21:00Z</cp:lastPrinted>
  <dcterms:created xsi:type="dcterms:W3CDTF">2023-04-18T04:17:00Z</dcterms:created>
  <dcterms:modified xsi:type="dcterms:W3CDTF">2023-04-18T04:20:00Z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