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r w:rsidRPr="00B66109">
        <w:rPr>
          <w:rFonts w:ascii="Times New Roman" w:hAnsi="Times New Roman" w:cs="Times New Roman"/>
          <w:i/>
          <w:color w:val="000000"/>
          <w:lang w:eastAsia="zh-CN"/>
        </w:rPr>
        <w:t>cgRetransmissionTimer</w:t>
      </w:r>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xiaomi</w:t>
      </w:r>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r w:rsidR="00AB6FB5" w:rsidRPr="0038366C">
        <w:rPr>
          <w:rFonts w:ascii="Arial" w:hAnsi="Arial" w:cs="Arial"/>
          <w:color w:val="4472C4" w:themeColor="accent1"/>
          <w:sz w:val="20"/>
          <w:szCs w:val="20"/>
          <w:lang w:val="en-US" w:eastAsia="ja-JP"/>
        </w:rPr>
        <w:t xml:space="preserve">xiaomi,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timeDomainAllocation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cg-nrofSlots and cg-nrofPUSCH-InSlot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xiaomi</w:t>
            </w:r>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F17B27" w:rsidRPr="00313E98" w14:paraId="6FA73045" w14:textId="77777777" w:rsidTr="000C5EA2">
        <w:tc>
          <w:tcPr>
            <w:tcW w:w="1271"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C5EA2">
        <w:tc>
          <w:tcPr>
            <w:tcW w:w="1271"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C5EA2">
        <w:tc>
          <w:tcPr>
            <w:tcW w:w="1271"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C5EA2">
        <w:tc>
          <w:tcPr>
            <w:tcW w:w="1271"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C5EA2">
        <w:tc>
          <w:tcPr>
            <w:tcW w:w="1271"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58"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F03ED">
        <w:tc>
          <w:tcPr>
            <w:tcW w:w="1271"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F03ED">
        <w:tc>
          <w:tcPr>
            <w:tcW w:w="1271"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58"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sidRPr="000C3D90">
              <w:rPr>
                <w:rFonts w:ascii="Times New Roman" w:hAnsi="Times New Roman" w:cs="Times New Roman"/>
                <w:szCs w:val="18"/>
                <w:lang w:eastAsia="ja-JP"/>
              </w:rPr>
              <w:t xml:space="preserve">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w:t>
            </w:r>
            <w:r w:rsidRPr="000C3D90">
              <w:rPr>
                <w:rFonts w:ascii="Times New Roman" w:hAnsi="Times New Roman" w:cs="Times New Roman"/>
                <w:szCs w:val="18"/>
                <w:lang w:eastAsia="ja-JP"/>
              </w:rPr>
              <w:t>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bl>
    <w:p w14:paraId="3D717C37" w14:textId="7BC3F9B4" w:rsidR="005F75F6" w:rsidRPr="000F03ED"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cg-RetransmissionTimer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lastRenderedPageBreak/>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r w:rsidR="00A527B3" w:rsidRPr="00A527B3">
        <w:rPr>
          <w:rFonts w:ascii="Times New Roman" w:hAnsi="Times New Roman" w:cs="Times New Roman"/>
          <w:b/>
          <w:color w:val="E66E0A"/>
          <w:szCs w:val="20"/>
        </w:rPr>
        <w:t>xiaomi)</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xiaomi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 xml:space="preserve">discuss to reach to a solution. Regarding </w:t>
      </w:r>
      <w:r w:rsidR="001D009A" w:rsidRPr="00241CCF">
        <w:rPr>
          <w:rFonts w:ascii="Arial" w:hAnsi="Arial" w:cs="Arial"/>
          <w:bCs/>
          <w:sz w:val="20"/>
          <w:szCs w:val="20"/>
          <w:lang w:val="en-US"/>
        </w:rPr>
        <w:lastRenderedPageBreak/>
        <w:t>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gNB if </w:t>
            </w:r>
            <w:r w:rsidRPr="005057F6">
              <w:rPr>
                <w:rFonts w:ascii="Times New Roman" w:hAnsi="Times New Roman" w:cs="Times New Roman"/>
                <w:sz w:val="20"/>
                <w:szCs w:val="20"/>
              </w:rPr>
              <w:lastRenderedPageBreak/>
              <w:t>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cg-RetransmissionTimer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CURRENT_symbol/(periodicity/X)) + offset] modulo nrofHARQ-Processes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xiaomi</w:t>
            </w:r>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gramEnd"/>
            <w:r w:rsidRPr="005057F6">
              <w:rPr>
                <w:rFonts w:ascii="Times New Roman" w:hAnsi="Times New Roman" w:cs="Times New Roman"/>
                <w:sz w:val="20"/>
                <w:szCs w:val="20"/>
              </w:rPr>
              <w:t>CURRENT_symbol / (periodicity / X))] modulo nrofHARQ-Processes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o HARQ Process ID = (increment the HARQ process ID of the preceding PUSCH in the period) modulo nrofHARQ-Processes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lastRenderedPageBreak/>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9612CF" w:rsidRPr="00313E98" w14:paraId="0A150452" w14:textId="77777777" w:rsidTr="000C5EA2">
        <w:tc>
          <w:tcPr>
            <w:tcW w:w="1271"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0C5EA2">
        <w:tc>
          <w:tcPr>
            <w:tcW w:w="1271"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0C5EA2">
        <w:tc>
          <w:tcPr>
            <w:tcW w:w="1271"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0C5EA2">
        <w:tc>
          <w:tcPr>
            <w:tcW w:w="1271"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0C5EA2">
        <w:tc>
          <w:tcPr>
            <w:tcW w:w="1271"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37494">
        <w:tc>
          <w:tcPr>
            <w:tcW w:w="1271"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0C5EA2">
        <w:tc>
          <w:tcPr>
            <w:tcW w:w="1271"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Google </w:t>
            </w:r>
          </w:p>
        </w:tc>
        <w:tc>
          <w:tcPr>
            <w:tcW w:w="8358"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gramEnd"/>
            <w:r w:rsidRPr="00252EFE">
              <w:rPr>
                <w:rFonts w:ascii="Times New Roman" w:hAnsi="Times New Roman" w:cs="Times New Roman"/>
                <w:szCs w:val="18"/>
                <w:lang w:eastAsia="ja-JP"/>
              </w:rPr>
              <w:t>CURRENT_symbol/periodicity)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gramEnd"/>
            <w:r w:rsidRPr="00B038BA">
              <w:rPr>
                <w:rFonts w:eastAsia="Calibri" w:cs="Arial"/>
                <w:sz w:val="20"/>
                <w:szCs w:val="20"/>
                <w:lang w:val="en-GB" w:eastAsia="ja-JP"/>
              </w:rPr>
              <w:t>CURRENT_symbol/periodicity)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modulo nrofHARQ-Processes</w:t>
            </w:r>
          </w:p>
          <w:p w14:paraId="0B9D81E1" w14:textId="77777777" w:rsidR="009612CF" w:rsidRPr="00313E98" w:rsidRDefault="009612CF" w:rsidP="000C5EA2">
            <w:pPr>
              <w:rPr>
                <w:rFonts w:ascii="Times New Roman" w:hAnsi="Times New Roman" w:cs="Times New Roman"/>
                <w:b/>
                <w:bCs/>
                <w:szCs w:val="18"/>
                <w:lang w:eastAsia="ja-JP"/>
              </w:rPr>
            </w:pPr>
          </w:p>
        </w:tc>
      </w:tr>
    </w:tbl>
    <w:p w14:paraId="1C3CD586" w14:textId="77777777" w:rsidR="00257588" w:rsidRPr="00F17B27" w:rsidRDefault="00257588" w:rsidP="00F17B27">
      <w:pPr>
        <w:rPr>
          <w:lang w:val="en-GB"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xiaomi</w:t>
      </w:r>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lastRenderedPageBreak/>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r w:rsidRPr="0022431F">
        <w:rPr>
          <w:rFonts w:ascii="Arial" w:hAnsi="Arial" w:cs="Arial"/>
          <w:i/>
          <w:iCs/>
          <w:sz w:val="20"/>
          <w:szCs w:val="20"/>
        </w:rPr>
        <w:t xml:space="preserve">frequencyDomainAllocation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lastRenderedPageBreak/>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r w:rsidRPr="00072C6D">
        <w:rPr>
          <w:rFonts w:ascii="Arial" w:hAnsi="Arial" w:cs="Arial"/>
          <w:i/>
          <w:iCs/>
          <w:sz w:val="20"/>
          <w:szCs w:val="20"/>
        </w:rPr>
        <w:t xml:space="preserve">frequencyDomainAllocation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A12218" w:rsidRPr="00313E98" w14:paraId="67427A3B" w14:textId="77777777" w:rsidTr="000C5EA2">
        <w:tc>
          <w:tcPr>
            <w:tcW w:w="1271"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0C5EA2">
        <w:tc>
          <w:tcPr>
            <w:tcW w:w="1271"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0C5EA2">
        <w:tc>
          <w:tcPr>
            <w:tcW w:w="1271"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lastRenderedPageBreak/>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0C5EA2">
        <w:tc>
          <w:tcPr>
            <w:tcW w:w="1271"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0C5EA2">
        <w:tc>
          <w:tcPr>
            <w:tcW w:w="1271"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37494">
        <w:tc>
          <w:tcPr>
            <w:tcW w:w="1271"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0C5EA2">
        <w:tc>
          <w:tcPr>
            <w:tcW w:w="1271"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bl>
    <w:p w14:paraId="777EEF6A" w14:textId="77777777" w:rsidR="00A12218" w:rsidRPr="00754228" w:rsidRDefault="00A12218" w:rsidP="00A12218">
      <w:pPr>
        <w:rPr>
          <w:lang w:val="en-GB"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lastRenderedPageBreak/>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lastRenderedPageBreak/>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lastRenderedPageBreak/>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020E82" w:rsidRPr="00313E98" w14:paraId="0C943190" w14:textId="77777777" w:rsidTr="000C5EA2">
        <w:tc>
          <w:tcPr>
            <w:tcW w:w="1271"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0C5EA2">
        <w:tc>
          <w:tcPr>
            <w:tcW w:w="1271"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0C5EA2">
        <w:tc>
          <w:tcPr>
            <w:tcW w:w="1271"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 xml:space="preserve">-prioritize repetition in XR WI </w:t>
            </w:r>
            <w:r w:rsidRPr="00B166AD">
              <w:rPr>
                <w:rFonts w:ascii="Times New Roman" w:hAnsi="Times New Roman" w:cs="Times New Roman"/>
                <w:szCs w:val="18"/>
                <w:lang w:eastAsia="ja-JP"/>
              </w:rPr>
              <w:lastRenderedPageBreak/>
              <w:t>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0C5EA2">
        <w:tc>
          <w:tcPr>
            <w:tcW w:w="1271"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0C5EA2">
        <w:tc>
          <w:tcPr>
            <w:tcW w:w="1271"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37494">
        <w:tc>
          <w:tcPr>
            <w:tcW w:w="1271"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0C5EA2">
        <w:tc>
          <w:tcPr>
            <w:tcW w:w="1271"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bl>
    <w:p w14:paraId="0161DE4C" w14:textId="77777777" w:rsidR="007B4F61" w:rsidRPr="007B4F61" w:rsidRDefault="007B4F61" w:rsidP="007B4F61">
      <w:pPr>
        <w:rPr>
          <w:lang w:val="en-GB" w:eastAsia="ja-JP"/>
        </w:rPr>
      </w:pPr>
    </w:p>
    <w:p w14:paraId="7EB339AB" w14:textId="46CF272B" w:rsidR="00007EB3" w:rsidRDefault="00AA50F3" w:rsidP="00412C87">
      <w:pPr>
        <w:pStyle w:val="Heading1"/>
      </w:pPr>
      <w:r w:rsidRPr="0086349E">
        <w:lastRenderedPageBreak/>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024A506F"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(12)</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xiaomi</w:t>
      </w:r>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xiaomi</w:t>
      </w:r>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xiaomi</w:t>
      </w:r>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r w:rsidRPr="00CE4FCD">
        <w:rPr>
          <w:rFonts w:ascii="Arial" w:hAnsi="Arial" w:cs="Arial"/>
          <w:bCs/>
          <w:color w:val="4472C4" w:themeColor="accent1"/>
          <w:sz w:val="20"/>
          <w:szCs w:val="20"/>
          <w:lang w:val="en-US"/>
        </w:rPr>
        <w:t>xiaomi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lastRenderedPageBreak/>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sidRPr="00DF1B75">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sidRPr="00DF1B75">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xiaomi</w:t>
            </w:r>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w:t>
            </w:r>
            <w:r w:rsidRPr="00BD7A3A">
              <w:rPr>
                <w:rFonts w:ascii="Times New Roman" w:hAnsi="Times New Roman" w:cs="Times New Roman"/>
                <w:sz w:val="20"/>
                <w:szCs w:val="20"/>
                <w:lang w:eastAsia="ja-JP"/>
              </w:rPr>
              <w:lastRenderedPageBreak/>
              <w:t>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w:t>
            </w:r>
            <w:r>
              <w:rPr>
                <w:rFonts w:ascii="Times New Roman" w:hAnsi="Times New Roman" w:cs="Times New Roman"/>
                <w:bCs/>
                <w:szCs w:val="18"/>
                <w:lang w:eastAsia="ja-JP"/>
              </w:rPr>
              <w:t>optimal</w:t>
            </w:r>
            <w:r>
              <w:rPr>
                <w:rFonts w:ascii="Times New Roman" w:hAnsi="Times New Roman" w:cs="Times New Roman"/>
                <w:bCs/>
                <w:szCs w:val="18"/>
                <w:lang w:eastAsia="ja-JP"/>
              </w:rPr>
              <w:t xml:space="preserve"> as you may need to indicate a group of CG occasions mapping to the same bit as used even if some of them are unused. </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xiaomi</w:t>
            </w:r>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605647" w:rsidRPr="00313E98" w14:paraId="6CF3401F" w14:textId="77777777" w:rsidTr="000C5EA2">
        <w:tc>
          <w:tcPr>
            <w:tcW w:w="1271"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0C5EA2">
        <w:tc>
          <w:tcPr>
            <w:tcW w:w="1271"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0C5EA2">
        <w:tc>
          <w:tcPr>
            <w:tcW w:w="1271"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58"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0C5EA2">
        <w:tc>
          <w:tcPr>
            <w:tcW w:w="1271"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0C5EA2">
        <w:tc>
          <w:tcPr>
            <w:tcW w:w="1271"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37494">
        <w:tc>
          <w:tcPr>
            <w:tcW w:w="1271"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0C5EA2">
        <w:tc>
          <w:tcPr>
            <w:tcW w:w="1271"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bl>
    <w:p w14:paraId="5E89FB4C" w14:textId="77777777" w:rsidR="00605647" w:rsidRPr="00754228" w:rsidRDefault="00605647" w:rsidP="00605647">
      <w:pPr>
        <w:rPr>
          <w:lang w:val="en-GB"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lastRenderedPageBreak/>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lastRenderedPageBreak/>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DD7790" w:rsidRPr="00313E98" w14:paraId="532AC917" w14:textId="77777777" w:rsidTr="000C5EA2">
        <w:tc>
          <w:tcPr>
            <w:tcW w:w="1271"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0C5EA2">
        <w:tc>
          <w:tcPr>
            <w:tcW w:w="1271"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0C5EA2">
        <w:tc>
          <w:tcPr>
            <w:tcW w:w="1271"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0C5EA2">
        <w:tc>
          <w:tcPr>
            <w:tcW w:w="1271"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0C5EA2">
        <w:tc>
          <w:tcPr>
            <w:tcW w:w="1271"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37494">
        <w:tc>
          <w:tcPr>
            <w:tcW w:w="1271"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0C5EA2">
        <w:tc>
          <w:tcPr>
            <w:tcW w:w="1271"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bl>
    <w:p w14:paraId="0B16ECEE" w14:textId="77777777" w:rsidR="007F1647" w:rsidRPr="00754228" w:rsidRDefault="007F1647" w:rsidP="007F1647">
      <w:pPr>
        <w:rPr>
          <w:lang w:val="en-GB"/>
        </w:rPr>
      </w:pPr>
      <w:bookmarkStart w:id="1" w:name="_Toc127479412"/>
    </w:p>
    <w:bookmarkEnd w:id="1"/>
    <w:p w14:paraId="3360722A" w14:textId="52BE04C9" w:rsidR="007235C0" w:rsidRDefault="00754228" w:rsidP="00E90FD3">
      <w:pPr>
        <w:pStyle w:val="Heading2"/>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lastRenderedPageBreak/>
        <w:t>Support:</w:t>
      </w:r>
      <w:r w:rsidR="00440CFD" w:rsidRPr="00C812A2">
        <w:rPr>
          <w:rFonts w:ascii="Arial" w:hAnsi="Arial" w:cs="Arial"/>
          <w:sz w:val="20"/>
          <w:szCs w:val="20"/>
          <w:lang w:val="en-GB" w:eastAsia="ja-JP"/>
        </w:rPr>
        <w:t xml:space="preserve"> </w:t>
      </w:r>
      <w:r w:rsidR="00440CFD" w:rsidRPr="001A320D">
        <w:rPr>
          <w:rFonts w:ascii="Arial" w:hAnsi="Arial" w:cs="Arial"/>
          <w:color w:val="4472C4" w:themeColor="accent1"/>
          <w:sz w:val="20"/>
          <w:szCs w:val="20"/>
          <w:lang w:val="en-GB" w:eastAsia="ja-JP"/>
        </w:rPr>
        <w:t>xiaomi</w:t>
      </w:r>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800460" w:rsidRPr="00C649E6" w14:paraId="1A2EB077" w14:textId="77777777" w:rsidTr="000C5EA2">
        <w:tc>
          <w:tcPr>
            <w:tcW w:w="1271" w:type="dxa"/>
          </w:tcPr>
          <w:p w14:paraId="41D976FA"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030048" w:rsidRPr="00665953" w:rsidRDefault="00030048" w:rsidP="00030048">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030048" w:rsidRPr="00665953" w:rsidRDefault="00030048" w:rsidP="00030048">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800460" w:rsidRPr="00665953" w:rsidRDefault="00030048" w:rsidP="00665953">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FFS on other conditions.</w:t>
            </w:r>
          </w:p>
        </w:tc>
      </w:tr>
      <w:tr w:rsidR="00800460" w:rsidRPr="00C649E6" w14:paraId="29BCD402" w14:textId="77777777" w:rsidTr="000C5EA2">
        <w:tc>
          <w:tcPr>
            <w:tcW w:w="1271" w:type="dxa"/>
          </w:tcPr>
          <w:p w14:paraId="0C349362"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066066" w:rsidRPr="00665953" w:rsidRDefault="00066066" w:rsidP="00066066">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066066" w:rsidRPr="00665953" w:rsidRDefault="00066066" w:rsidP="00066066">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800460" w:rsidRPr="00665953" w:rsidRDefault="00066066" w:rsidP="00665953">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800460" w:rsidRPr="00C649E6" w14:paraId="04692B07" w14:textId="77777777" w:rsidTr="000C5EA2">
        <w:tc>
          <w:tcPr>
            <w:tcW w:w="1271" w:type="dxa"/>
          </w:tcPr>
          <w:p w14:paraId="4C1E167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0E27FA" w:rsidRPr="00665953" w:rsidRDefault="000E27FA"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800460" w:rsidRPr="00665953" w:rsidRDefault="000E27FA"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E30361" w:rsidRPr="00C649E6" w14:paraId="056C04A3" w14:textId="77777777" w:rsidTr="000C5EA2">
        <w:tc>
          <w:tcPr>
            <w:tcW w:w="1271" w:type="dxa"/>
          </w:tcPr>
          <w:p w14:paraId="53844890" w14:textId="6834CE2C" w:rsidR="00E30361" w:rsidRPr="00C649E6" w:rsidRDefault="00E30361"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E30361" w:rsidRPr="00665953" w:rsidRDefault="00E30361"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E30361" w:rsidRPr="00665953" w:rsidRDefault="00E30361" w:rsidP="000E27FA">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860EB5" w:rsidRPr="00C649E6" w14:paraId="36A49EDB" w14:textId="77777777" w:rsidTr="000C5EA2">
        <w:tc>
          <w:tcPr>
            <w:tcW w:w="1271" w:type="dxa"/>
          </w:tcPr>
          <w:p w14:paraId="41A24D89" w14:textId="0FC2D7AF" w:rsidR="00860EB5" w:rsidRDefault="00860EB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860EB5" w:rsidRPr="00665953" w:rsidRDefault="00860EB5" w:rsidP="00860EB5">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860EB5" w:rsidRPr="00665953" w:rsidRDefault="00860EB5" w:rsidP="00E30361">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14A2D" w:rsidRPr="00C649E6" w14:paraId="7F9E6A84" w14:textId="77777777" w:rsidTr="000C5EA2">
        <w:tc>
          <w:tcPr>
            <w:tcW w:w="1271" w:type="dxa"/>
          </w:tcPr>
          <w:p w14:paraId="3EC64ED5" w14:textId="5E5C64A7" w:rsidR="00214A2D" w:rsidRPr="00C649E6" w:rsidRDefault="00214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MTK</w:t>
            </w:r>
          </w:p>
        </w:tc>
        <w:tc>
          <w:tcPr>
            <w:tcW w:w="8358" w:type="dxa"/>
          </w:tcPr>
          <w:p w14:paraId="7B694F8C" w14:textId="77777777" w:rsidR="00214A2D" w:rsidRPr="00665953" w:rsidRDefault="00214A2D" w:rsidP="00214A2D">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214A2D" w:rsidRPr="00665953" w:rsidRDefault="00214A2D"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B18D2" w:rsidRPr="00C649E6" w14:paraId="1390CA47" w14:textId="77777777" w:rsidTr="000C5EA2">
        <w:tc>
          <w:tcPr>
            <w:tcW w:w="1271" w:type="dxa"/>
          </w:tcPr>
          <w:p w14:paraId="1FFCB35A" w14:textId="0018AE41" w:rsidR="00FB18D2" w:rsidRDefault="00FB18D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FB18D2" w:rsidRPr="00665953" w:rsidRDefault="00FB18D2" w:rsidP="00FB18D2">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FB18D2" w:rsidRPr="00665953" w:rsidRDefault="00FB18D2" w:rsidP="00665953">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800460" w:rsidRPr="00C649E6" w14:paraId="0C53EFC3" w14:textId="77777777" w:rsidTr="000C5EA2">
        <w:tc>
          <w:tcPr>
            <w:tcW w:w="1271" w:type="dxa"/>
          </w:tcPr>
          <w:p w14:paraId="1B192FBF"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800460" w:rsidRPr="00665953" w:rsidRDefault="00C2779B"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7D0C16" w:rsidRPr="00C649E6" w14:paraId="75E833FF" w14:textId="77777777" w:rsidTr="000C5EA2">
        <w:tc>
          <w:tcPr>
            <w:tcW w:w="1271" w:type="dxa"/>
          </w:tcPr>
          <w:p w14:paraId="4CA931F3" w14:textId="5FEB8A6A" w:rsidR="007D0C16" w:rsidRPr="00C649E6" w:rsidRDefault="007D0C16"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4C2519" w:rsidRPr="00665953" w:rsidRDefault="004C2519" w:rsidP="004C2519">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7D0C16" w:rsidRPr="00665953" w:rsidRDefault="004C2519" w:rsidP="007D0C1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800460" w:rsidRPr="00C649E6" w14:paraId="5EFB6EA9" w14:textId="77777777" w:rsidTr="000C5EA2">
        <w:tc>
          <w:tcPr>
            <w:tcW w:w="1271" w:type="dxa"/>
          </w:tcPr>
          <w:p w14:paraId="366F3D8D"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992C75" w:rsidRPr="00665953" w:rsidRDefault="00992C75" w:rsidP="00992C75">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800460" w:rsidRPr="00665953" w:rsidRDefault="00992C75" w:rsidP="004D1ED6">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800460" w:rsidRPr="00C649E6" w14:paraId="1BD70145" w14:textId="77777777" w:rsidTr="000C5EA2">
        <w:tc>
          <w:tcPr>
            <w:tcW w:w="1271" w:type="dxa"/>
          </w:tcPr>
          <w:p w14:paraId="6ED12B2C"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53650C" w:rsidRPr="00665953" w:rsidRDefault="0053650C" w:rsidP="00665953">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53650C" w:rsidRPr="00665953" w:rsidRDefault="0053650C" w:rsidP="0053650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53650C" w:rsidRPr="00665953" w:rsidRDefault="0053650C" w:rsidP="0053650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800460" w:rsidRPr="00665953" w:rsidRDefault="0053650C" w:rsidP="00665953">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800460" w:rsidRPr="00C649E6" w14:paraId="2FD5DE9C" w14:textId="77777777" w:rsidTr="000C5EA2">
        <w:tc>
          <w:tcPr>
            <w:tcW w:w="1271" w:type="dxa"/>
          </w:tcPr>
          <w:p w14:paraId="77AE0E29" w14:textId="53036A1E" w:rsidR="00800460" w:rsidRPr="00C649E6" w:rsidRDefault="00E71373"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EE7168" w:rsidRPr="00665953" w:rsidRDefault="00EE7168" w:rsidP="00EE7168">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800460" w:rsidRPr="00665953" w:rsidRDefault="00EE7168" w:rsidP="00A07A2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800460" w:rsidRPr="00C649E6" w14:paraId="298BFB11" w14:textId="77777777" w:rsidTr="000C5EA2">
        <w:tc>
          <w:tcPr>
            <w:tcW w:w="1271" w:type="dxa"/>
          </w:tcPr>
          <w:p w14:paraId="3AC9D67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6A15B8" w:rsidRPr="00665953" w:rsidRDefault="006A15B8" w:rsidP="006A15B8">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lastRenderedPageBreak/>
              <w:t xml:space="preserve">Another topic was a need for a timeline but that is unnecessary as a gNB is aware of the requirements for UE processing timelines and specifically of the PUSCH preparation timeline. </w:t>
            </w:r>
          </w:p>
          <w:p w14:paraId="381B17C3"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6A15B8" w:rsidRPr="00665953" w:rsidRDefault="006A15B8" w:rsidP="00A0710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6A15B8" w:rsidRPr="00665953" w:rsidRDefault="006A15B8" w:rsidP="00A0710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800460" w:rsidRPr="00665953" w:rsidRDefault="00800460" w:rsidP="000C5EA2">
            <w:pPr>
              <w:rPr>
                <w:rFonts w:ascii="Times New Roman" w:hAnsi="Times New Roman" w:cs="Times New Roman"/>
                <w:sz w:val="20"/>
                <w:szCs w:val="20"/>
                <w:lang w:val="x-none"/>
              </w:rPr>
            </w:pPr>
          </w:p>
        </w:tc>
      </w:tr>
      <w:tr w:rsidR="00C428EA" w:rsidRPr="00C649E6" w14:paraId="7A46B440" w14:textId="77777777" w:rsidTr="000C5EA2">
        <w:tc>
          <w:tcPr>
            <w:tcW w:w="1271" w:type="dxa"/>
          </w:tcPr>
          <w:p w14:paraId="08FF21FA" w14:textId="26804B18" w:rsidR="00C428EA" w:rsidRDefault="00C428EA"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057DFB62" w14:textId="77777777" w:rsidR="00C428EA" w:rsidRPr="00665953" w:rsidRDefault="00C428EA"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C428EA" w:rsidRPr="00665953" w:rsidRDefault="00C428EA" w:rsidP="000C5EA2">
            <w:pPr>
              <w:rPr>
                <w:rFonts w:ascii="Times New Roman" w:hAnsi="Times New Roman" w:cs="Times New Roman"/>
                <w:sz w:val="20"/>
                <w:szCs w:val="20"/>
              </w:rPr>
            </w:pPr>
          </w:p>
        </w:tc>
      </w:tr>
      <w:tr w:rsidR="00BD0A2D" w:rsidRPr="00C649E6" w14:paraId="3A6B3743" w14:textId="77777777" w:rsidTr="000C5EA2">
        <w:tc>
          <w:tcPr>
            <w:tcW w:w="1271" w:type="dxa"/>
          </w:tcPr>
          <w:p w14:paraId="72BBB1E6" w14:textId="0DDC9CD4" w:rsidR="00BD0A2D" w:rsidRDefault="00BD0A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D0A2D" w:rsidRPr="00665953" w:rsidRDefault="00BD0A2D" w:rsidP="00C428EA">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800460" w:rsidRPr="00C649E6" w14:paraId="1A7A2F30" w14:textId="77777777" w:rsidTr="000C5EA2">
        <w:tc>
          <w:tcPr>
            <w:tcW w:w="1271" w:type="dxa"/>
          </w:tcPr>
          <w:p w14:paraId="71B738C5" w14:textId="2A473A83" w:rsidR="00800460" w:rsidRPr="00C649E6" w:rsidRDefault="00B0005B" w:rsidP="000C5EA2">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C03B51" w:rsidRPr="00665953" w:rsidRDefault="00C03B51" w:rsidP="00C03B51">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C03B51" w:rsidRPr="00665953" w:rsidRDefault="00C03B51" w:rsidP="00C03B51">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800460" w:rsidRPr="00665953" w:rsidRDefault="00800460" w:rsidP="000C5EA2">
            <w:pPr>
              <w:rPr>
                <w:rFonts w:ascii="Times New Roman" w:hAnsi="Times New Roman" w:cs="Times New Roman"/>
                <w:sz w:val="20"/>
                <w:szCs w:val="20"/>
              </w:rPr>
            </w:pPr>
          </w:p>
        </w:tc>
      </w:tr>
      <w:tr w:rsidR="00800460" w:rsidRPr="00C649E6" w14:paraId="4777D65A" w14:textId="77777777" w:rsidTr="000C5EA2">
        <w:tc>
          <w:tcPr>
            <w:tcW w:w="1271" w:type="dxa"/>
          </w:tcPr>
          <w:p w14:paraId="16401159" w14:textId="77777777" w:rsidR="00800460" w:rsidRPr="00C649E6" w:rsidRDefault="00800460"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xiaomi</w:t>
            </w:r>
          </w:p>
        </w:tc>
        <w:tc>
          <w:tcPr>
            <w:tcW w:w="8358" w:type="dxa"/>
          </w:tcPr>
          <w:p w14:paraId="0E6C47D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103748" w:rsidRPr="00665953" w:rsidRDefault="00103748" w:rsidP="00103748">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A07A2A" w:rsidRPr="00665953" w:rsidRDefault="00103748"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4B2AC3" w:rsidRPr="00C649E6" w14:paraId="4EE29D9E" w14:textId="77777777" w:rsidTr="000C5EA2">
        <w:tc>
          <w:tcPr>
            <w:tcW w:w="1271" w:type="dxa"/>
          </w:tcPr>
          <w:p w14:paraId="36518CA3" w14:textId="4710A1F4" w:rsidR="004B2AC3" w:rsidRPr="00C649E6" w:rsidRDefault="00C619F0"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4B2AC3" w:rsidRPr="00665953" w:rsidRDefault="00C619F0" w:rsidP="000C5EA2">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lastRenderedPageBreak/>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271"/>
        <w:gridCol w:w="8358"/>
      </w:tblGrid>
      <w:tr w:rsidR="003C4CE5" w:rsidRPr="00313E98" w14:paraId="05C61FCC" w14:textId="77777777" w:rsidTr="000C5EA2">
        <w:tc>
          <w:tcPr>
            <w:tcW w:w="1271"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0C5EA2">
        <w:tc>
          <w:tcPr>
            <w:tcW w:w="1271"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58"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0C5EA2">
        <w:tc>
          <w:tcPr>
            <w:tcW w:w="1271"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0C5EA2">
        <w:tc>
          <w:tcPr>
            <w:tcW w:w="1271"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58"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0C5EA2">
        <w:tc>
          <w:tcPr>
            <w:tcW w:w="1271"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58"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37494">
        <w:tc>
          <w:tcPr>
            <w:tcW w:w="1271"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0C5EA2">
        <w:tc>
          <w:tcPr>
            <w:tcW w:w="1271"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6E32F147" w14:textId="77777777" w:rsidR="000C3D90" w:rsidRPr="005F7EF6" w:rsidRDefault="000C3D90" w:rsidP="000C3D90">
            <w:pPr>
              <w:rPr>
                <w:rFonts w:ascii="Times New Roman" w:hAnsi="Times New Roman" w:cs="Times New Roman"/>
                <w:sz w:val="22"/>
                <w:szCs w:val="18"/>
                <w:lang w:eastAsia="ja-JP"/>
              </w:rPr>
            </w:pPr>
            <w:r w:rsidRPr="005F7EF6">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 w:val="22"/>
                <w:szCs w:val="18"/>
                <w:lang w:eastAsia="ja-JP"/>
              </w:rPr>
            </w:pPr>
            <w:r w:rsidRPr="005F7EF6">
              <w:rPr>
                <w:rFonts w:ascii="Times New Roman" w:hAnsi="Times New Roman" w:cs="Times New Roman"/>
                <w:sz w:val="22"/>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 w:val="22"/>
                <w:szCs w:val="18"/>
                <w:lang w:eastAsia="ja-JP"/>
              </w:rPr>
            </w:pPr>
            <w:r w:rsidRPr="005F7EF6">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w:t>
            </w:r>
            <w:r w:rsidRPr="005F7EF6">
              <w:rPr>
                <w:rFonts w:ascii="Times New Roman" w:hAnsi="Times New Roman" w:cs="Times New Roman"/>
                <w:sz w:val="22"/>
                <w:szCs w:val="18"/>
                <w:lang w:eastAsia="ja-JP"/>
              </w:rPr>
              <w:lastRenderedPageBreak/>
              <w:t xml:space="preserve">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bl>
    <w:p w14:paraId="7D76B04B" w14:textId="77777777" w:rsidR="003C4CE5" w:rsidRPr="00754228" w:rsidRDefault="003C4CE5" w:rsidP="003C4CE5">
      <w:pPr>
        <w:rPr>
          <w:lang w:val="en-GB"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2" w:name="_In-sequence_SDU_delivery"/>
      <w:bookmarkEnd w:id="2"/>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xiaomi</w:t>
            </w:r>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AAA6" w14:textId="77777777" w:rsidR="00D470E4" w:rsidRDefault="00D470E4">
      <w:r>
        <w:separator/>
      </w:r>
    </w:p>
  </w:endnote>
  <w:endnote w:type="continuationSeparator" w:id="0">
    <w:p w14:paraId="0D66E35F" w14:textId="77777777" w:rsidR="00D470E4" w:rsidRDefault="00D470E4">
      <w:r>
        <w:continuationSeparator/>
      </w:r>
    </w:p>
  </w:endnote>
  <w:endnote w:type="continuationNotice" w:id="1">
    <w:p w14:paraId="4AA6F729" w14:textId="77777777" w:rsidR="00D470E4" w:rsidRDefault="00D47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3FDC" w14:textId="77777777" w:rsidR="00D470E4" w:rsidRDefault="00D470E4">
      <w:r>
        <w:separator/>
      </w:r>
    </w:p>
  </w:footnote>
  <w:footnote w:type="continuationSeparator" w:id="0">
    <w:p w14:paraId="35DB3DC6" w14:textId="77777777" w:rsidR="00D470E4" w:rsidRDefault="00D470E4">
      <w:r>
        <w:continuationSeparator/>
      </w:r>
    </w:p>
  </w:footnote>
  <w:footnote w:type="continuationNotice" w:id="1">
    <w:p w14:paraId="6F98237B" w14:textId="77777777" w:rsidR="00D470E4" w:rsidRDefault="00D470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3"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A7CBAD8"/>
    <w:multiLevelType w:val="singleLevel"/>
    <w:tmpl w:val="3A7CBAD8"/>
    <w:lvl w:ilvl="0">
      <w:start w:val="1"/>
      <w:numFmt w:val="decimal"/>
      <w:suff w:val="space"/>
      <w:lvlText w:val="%1."/>
      <w:lvlJc w:val="left"/>
    </w:lvl>
  </w:abstractNum>
  <w:abstractNum w:abstractNumId="18"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4"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38"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1"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2"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6"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36178355">
    <w:abstractNumId w:val="18"/>
  </w:num>
  <w:num w:numId="2" w16cid:durableId="1440444512">
    <w:abstractNumId w:val="0"/>
  </w:num>
  <w:num w:numId="3" w16cid:durableId="1648707198">
    <w:abstractNumId w:val="31"/>
  </w:num>
  <w:num w:numId="4" w16cid:durableId="547231258">
    <w:abstractNumId w:val="36"/>
  </w:num>
  <w:num w:numId="5" w16cid:durableId="2111192423">
    <w:abstractNumId w:val="11"/>
  </w:num>
  <w:num w:numId="6" w16cid:durableId="446700499">
    <w:abstractNumId w:val="6"/>
  </w:num>
  <w:num w:numId="7" w16cid:durableId="108550037">
    <w:abstractNumId w:val="43"/>
  </w:num>
  <w:num w:numId="8" w16cid:durableId="1536966254">
    <w:abstractNumId w:val="14"/>
  </w:num>
  <w:num w:numId="9" w16cid:durableId="2079402761">
    <w:abstractNumId w:val="39"/>
  </w:num>
  <w:num w:numId="10" w16cid:durableId="1534420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55962">
    <w:abstractNumId w:val="1"/>
  </w:num>
  <w:num w:numId="12" w16cid:durableId="2036997518">
    <w:abstractNumId w:val="30"/>
  </w:num>
  <w:num w:numId="13" w16cid:durableId="1189371973">
    <w:abstractNumId w:val="42"/>
  </w:num>
  <w:num w:numId="14" w16cid:durableId="1550805625">
    <w:abstractNumId w:val="4"/>
  </w:num>
  <w:num w:numId="15" w16cid:durableId="248386687">
    <w:abstractNumId w:val="25"/>
  </w:num>
  <w:num w:numId="16" w16cid:durableId="1925718781">
    <w:abstractNumId w:val="45"/>
  </w:num>
  <w:num w:numId="17" w16cid:durableId="602882840">
    <w:abstractNumId w:val="46"/>
  </w:num>
  <w:num w:numId="18" w16cid:durableId="1991014940">
    <w:abstractNumId w:val="10"/>
  </w:num>
  <w:num w:numId="19" w16cid:durableId="1780248646">
    <w:abstractNumId w:val="15"/>
  </w:num>
  <w:num w:numId="20" w16cid:durableId="1783575554">
    <w:abstractNumId w:val="12"/>
  </w:num>
  <w:num w:numId="21" w16cid:durableId="739180568">
    <w:abstractNumId w:val="13"/>
  </w:num>
  <w:num w:numId="22" w16cid:durableId="1829205817">
    <w:abstractNumId w:val="20"/>
  </w:num>
  <w:num w:numId="23" w16cid:durableId="697893136">
    <w:abstractNumId w:val="32"/>
  </w:num>
  <w:num w:numId="24" w16cid:durableId="973828211">
    <w:abstractNumId w:val="38"/>
  </w:num>
  <w:num w:numId="25" w16cid:durableId="878392461">
    <w:abstractNumId w:val="19"/>
  </w:num>
  <w:num w:numId="26" w16cid:durableId="148249611">
    <w:abstractNumId w:val="34"/>
  </w:num>
  <w:num w:numId="27" w16cid:durableId="192427654">
    <w:abstractNumId w:val="35"/>
  </w:num>
  <w:num w:numId="28" w16cid:durableId="710616805">
    <w:abstractNumId w:val="5"/>
  </w:num>
  <w:num w:numId="29" w16cid:durableId="2005544519">
    <w:abstractNumId w:val="7"/>
  </w:num>
  <w:num w:numId="30" w16cid:durableId="1322003188">
    <w:abstractNumId w:val="37"/>
  </w:num>
  <w:num w:numId="31" w16cid:durableId="857041049">
    <w:abstractNumId w:val="26"/>
  </w:num>
  <w:num w:numId="32" w16cid:durableId="1564095451">
    <w:abstractNumId w:val="16"/>
  </w:num>
  <w:num w:numId="33" w16cid:durableId="688725343">
    <w:abstractNumId w:val="29"/>
  </w:num>
  <w:num w:numId="34" w16cid:durableId="1822884679">
    <w:abstractNumId w:val="28"/>
  </w:num>
  <w:num w:numId="35" w16cid:durableId="890187856">
    <w:abstractNumId w:val="9"/>
  </w:num>
  <w:num w:numId="36" w16cid:durableId="1331905935">
    <w:abstractNumId w:val="44"/>
  </w:num>
  <w:num w:numId="37" w16cid:durableId="1222600638">
    <w:abstractNumId w:val="33"/>
  </w:num>
  <w:num w:numId="38" w16cid:durableId="861476644">
    <w:abstractNumId w:val="21"/>
  </w:num>
  <w:num w:numId="39" w16cid:durableId="1568108665">
    <w:abstractNumId w:val="23"/>
  </w:num>
  <w:num w:numId="40" w16cid:durableId="1702241806">
    <w:abstractNumId w:val="2"/>
  </w:num>
  <w:num w:numId="41" w16cid:durableId="1210803676">
    <w:abstractNumId w:val="8"/>
  </w:num>
  <w:num w:numId="42" w16cid:durableId="226495447">
    <w:abstractNumId w:val="22"/>
  </w:num>
  <w:num w:numId="43" w16cid:durableId="1522668526">
    <w:abstractNumId w:val="40"/>
  </w:num>
  <w:num w:numId="44" w16cid:durableId="115636749">
    <w:abstractNumId w:val="41"/>
  </w:num>
  <w:num w:numId="45" w16cid:durableId="977958356">
    <w:abstractNumId w:val="3"/>
  </w:num>
  <w:num w:numId="46" w16cid:durableId="1550461659">
    <w:abstractNumId w:val="17"/>
  </w:num>
  <w:num w:numId="47" w16cid:durableId="120771369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A864A-F846-40D6-AD65-C001D272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56</Pages>
  <Words>22885</Words>
  <Characters>130448</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153027</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Google (Abdellatif Salah)</cp:lastModifiedBy>
  <cp:revision>18</cp:revision>
  <dcterms:created xsi:type="dcterms:W3CDTF">2023-04-17T20:06:00Z</dcterms:created>
  <dcterms:modified xsi:type="dcterms:W3CDTF">2023-04-18T01:30:00Z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