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Moreover, as discussed in the first round, SSB transmissions are agreed to be not impacted during inactive periods. Hence, we do not see the need for this. If needed,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3DB83DEB"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LGE</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9E4DE1">
        <w:rPr>
          <w:rFonts w:ascii="Times New Roman" w:hAnsi="Times New Roman"/>
          <w:strike/>
          <w:color w:val="FF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Pr>
          <w:rFonts w:ascii="Times New Roman" w:hAnsi="Times New Roman"/>
          <w:szCs w:val="20"/>
          <w:lang w:eastAsia="zh-CN"/>
        </w:rPr>
        <w:t>Spreadtrum</w:t>
      </w:r>
      <w:proofErr w:type="spellEnd"/>
      <w:r w:rsidR="007D2AF1">
        <w:rPr>
          <w:rFonts w:ascii="Times New Roman" w:hAnsi="Times New Roman"/>
          <w:szCs w:val="20"/>
          <w:lang w:eastAsia="zh-CN"/>
        </w:rPr>
        <w:t>, 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lastRenderedPageBreak/>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lastRenderedPageBreak/>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Regarding the concern that missing of the L1 indication by UE can cause missing of</w:t>
            </w:r>
            <w:r>
              <w:rPr>
                <w:rFonts w:ascii="新細明體" w:eastAsia="新細明體" w:hAnsi="新細明體"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w:t>
            </w:r>
            <w:r>
              <w:rPr>
                <w:rFonts w:ascii="Times New Roman" w:eastAsiaTheme="minorEastAsia" w:hAnsi="Times New Roman"/>
                <w:szCs w:val="20"/>
                <w:lang w:eastAsia="ko-KR"/>
              </w:rPr>
              <w:lastRenderedPageBreak/>
              <w:t xml:space="preserve">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w:t>
            </w:r>
            <w:proofErr w:type="gramStart"/>
            <w:r>
              <w:rPr>
                <w:rFonts w:ascii="Times New Roman" w:eastAsiaTheme="minorEastAsia" w:hAnsi="Times New Roman"/>
                <w:color w:val="00B050"/>
                <w:szCs w:val="20"/>
                <w:lang w:eastAsia="ko-KR"/>
              </w:rPr>
              <w:t xml:space="preserve">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proofErr w:type="gramStart"/>
            <w:r>
              <w:rPr>
                <w:rFonts w:ascii="Times New Roman" w:eastAsiaTheme="minorEastAsia" w:hAnsi="Times New Roman"/>
                <w:color w:val="FF0000"/>
                <w:szCs w:val="20"/>
                <w:lang w:eastAsia="ko-KR"/>
              </w:rPr>
              <w:t>e.g.</w:t>
            </w:r>
            <w:proofErr w:type="gramEnd"/>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lastRenderedPageBreak/>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w:t>
            </w:r>
            <w:r>
              <w:lastRenderedPageBreak/>
              <w:t>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w:t>
            </w:r>
            <w:proofErr w:type="gramStart"/>
            <w:r>
              <w:t>has to</w:t>
            </w:r>
            <w:proofErr w:type="gramEnd"/>
            <w:r>
              <w:t xml:space="preserve">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lastRenderedPageBreak/>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lastRenderedPageBreak/>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lastRenderedPageBreak/>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lastRenderedPageBreak/>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lastRenderedPageBreak/>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is operating </w:t>
            </w:r>
            <w:proofErr w:type="gramStart"/>
            <w:r w:rsidRPr="00C7701F">
              <w:rPr>
                <w:rFonts w:ascii="Times New Roman" w:eastAsia="DengXian" w:hAnsi="Times New Roman"/>
                <w:szCs w:val="20"/>
                <w:lang w:eastAsia="zh-CN"/>
              </w:rPr>
              <w:t>and also</w:t>
            </w:r>
            <w:proofErr w:type="gramEnd"/>
            <w:r w:rsidRPr="00C7701F">
              <w:rPr>
                <w:rFonts w:ascii="Times New Roman" w:eastAsia="DengXian" w:hAnsi="Times New Roman"/>
                <w:szCs w:val="20"/>
                <w:lang w:eastAsia="zh-CN"/>
              </w:rPr>
              <w:t xml:space="preserve"> can potentially save UE power. In general,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always can stop transmission for any signal, many of the features considered for NES is to support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save power efficiently while minimizing UE impact. </w:t>
            </w:r>
            <w:proofErr w:type="gramStart"/>
            <w:r w:rsidRPr="00C7701F">
              <w:rPr>
                <w:rFonts w:ascii="Times New Roman" w:eastAsia="DengXian" w:hAnsi="Times New Roman"/>
                <w:szCs w:val="20"/>
                <w:lang w:eastAsia="zh-CN"/>
              </w:rPr>
              <w:t>Minimizing  UE</w:t>
            </w:r>
            <w:proofErr w:type="gramEnd"/>
            <w:r w:rsidRPr="00C7701F">
              <w:rPr>
                <w:rFonts w:ascii="Times New Roman" w:eastAsia="DengXian" w:hAnsi="Times New Roman"/>
                <w:szCs w:val="20"/>
                <w:lang w:eastAsia="zh-CN"/>
              </w:rPr>
              <w:t xml:space="preserv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w:t>
            </w:r>
            <w:proofErr w:type="spellStart"/>
            <w:r w:rsidRPr="00C7701F">
              <w:rPr>
                <w:rFonts w:ascii="Times New Roman" w:eastAsia="DengXian" w:hAnsi="Times New Roman"/>
                <w:szCs w:val="20"/>
                <w:lang w:eastAsia="zh-CN"/>
              </w:rPr>
              <w:t>measObjectNR</w:t>
            </w:r>
            <w:proofErr w:type="spellEnd"/>
            <w:r w:rsidRPr="00C7701F">
              <w:rPr>
                <w:rFonts w:ascii="Times New Roman" w:eastAsia="DengXian" w:hAnsi="Times New Roman"/>
                <w:szCs w:val="20"/>
                <w:lang w:eastAsia="zh-CN"/>
              </w:rPr>
              <w:t xml:space="preserve"> (for RRM)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 xml:space="preserve">ot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lastRenderedPageBreak/>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lastRenderedPageBreak/>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 xml:space="preserve">We think we can treat “Periodic/Semi-persistent CSI-RS associated with </w:t>
            </w:r>
            <w:proofErr w:type="spellStart"/>
            <w:r w:rsidRPr="00C7701F">
              <w:rPr>
                <w:rFonts w:ascii="Times New Roman" w:eastAsiaTheme="minorEastAsia" w:hAnsi="Times New Roman"/>
                <w:szCs w:val="20"/>
                <w:lang w:eastAsia="ko-KR"/>
              </w:rPr>
              <w:t>RadioLinkMonitoringConfig</w:t>
            </w:r>
            <w:proofErr w:type="spellEnd"/>
            <w:r w:rsidRPr="00C7701F">
              <w:rPr>
                <w:rFonts w:ascii="Times New Roman" w:eastAsiaTheme="minorEastAsia" w:hAnsi="Times New Roman"/>
                <w:szCs w:val="20"/>
                <w:lang w:eastAsia="ko-KR"/>
              </w:rPr>
              <w:t xml:space="preserve"> and </w:t>
            </w:r>
            <w:proofErr w:type="spellStart"/>
            <w:r w:rsidRPr="00C7701F">
              <w:rPr>
                <w:rFonts w:ascii="Times New Roman" w:eastAsiaTheme="minorEastAsia" w:hAnsi="Times New Roman"/>
                <w:szCs w:val="20"/>
                <w:lang w:eastAsia="ko-KR"/>
              </w:rPr>
              <w:t>BeamFailureDectection</w:t>
            </w:r>
            <w:proofErr w:type="spellEnd"/>
            <w:r w:rsidRPr="00C7701F">
              <w:rPr>
                <w:rFonts w:ascii="Times New Roman" w:eastAsiaTheme="minorEastAsia" w:hAnsi="Times New Roman"/>
                <w:szCs w:val="20"/>
                <w:lang w:eastAsia="ko-KR"/>
              </w:rPr>
              <w:t xml:space="preserve"> (for RLM and BFD)” similarly with CSI for mobility and support disable during non-active periods of DTX with a separate enable/disable </w:t>
            </w:r>
            <w:proofErr w:type="spellStart"/>
            <w:r w:rsidRPr="00C7701F">
              <w:rPr>
                <w:rFonts w:ascii="Times New Roman" w:eastAsiaTheme="minorEastAsia" w:hAnsi="Times New Roman"/>
                <w:szCs w:val="20"/>
                <w:lang w:eastAsia="ko-KR"/>
              </w:rPr>
              <w:t>gNB</w:t>
            </w:r>
            <w:proofErr w:type="spellEnd"/>
            <w:r w:rsidRPr="00C7701F">
              <w:rPr>
                <w:rFonts w:ascii="Times New Roman" w:eastAsiaTheme="minorEastAsia" w:hAnsi="Times New Roman"/>
                <w:szCs w:val="20"/>
                <w:lang w:eastAsia="ko-KR"/>
              </w:rPr>
              <w:t xml:space="preserve">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lastRenderedPageBreak/>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Default="00CC32C9" w:rsidP="00CC32C9">
      <w:pPr>
        <w:pStyle w:val="Heading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Default="00FC0F62" w:rsidP="00FC0F62">
      <w:pPr>
        <w:pStyle w:val="Heading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lastRenderedPageBreak/>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422CB9F8"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L1-RSPR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Default="00FC0F62" w:rsidP="00FC0F62">
      <w:pPr>
        <w:pStyle w:val="Heading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lastRenderedPageBreak/>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7650C8" w:rsidRDefault="00D00318" w:rsidP="00D00318">
      <w:pPr>
        <w:pStyle w:val="ListParagraph"/>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7806579E"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637ECD15"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60F8F221" w14:textId="49B9CD50"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0B78845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lastRenderedPageBreak/>
        <w:t>Proposal #4-7A</w:t>
      </w:r>
    </w:p>
    <w:p w14:paraId="297AD66D"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6880E9FD"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349D794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968CE64" w14:textId="44C2C1E5" w:rsidR="00D00318" w:rsidRDefault="00D00318" w:rsidP="005269F8">
      <w:pPr>
        <w:pStyle w:val="BodyText"/>
        <w:spacing w:after="0"/>
        <w:rPr>
          <w:rFonts w:ascii="Times New Roman" w:hAnsi="Times New Roman"/>
          <w:szCs w:val="20"/>
          <w:lang w:eastAsia="zh-CN"/>
        </w:rPr>
      </w:pP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 xml:space="preserve">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#4-7B,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hint="eastAsia"/>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xml:space="preserve">. However, we should not compromise the serving link/beam quality by reducing the </w:t>
            </w:r>
            <w:proofErr w:type="spellStart"/>
            <w:r w:rsidRPr="00C22B10">
              <w:rPr>
                <w:rFonts w:ascii="Times New Roman" w:eastAsia="DengXian" w:hAnsi="Times New Roman"/>
                <w:szCs w:val="20"/>
                <w:lang w:eastAsia="zh-CN"/>
              </w:rPr>
              <w:t>gNB</w:t>
            </w:r>
            <w:proofErr w:type="spellEnd"/>
            <w:r w:rsidRPr="00C22B10">
              <w:rPr>
                <w:rFonts w:ascii="Times New Roman" w:eastAsia="DengXian" w:hAnsi="Times New Roman"/>
                <w:szCs w:val="20"/>
                <w:lang w:eastAsia="zh-CN"/>
              </w:rPr>
              <w:t xml:space="preserve">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43729E">
        <w:tc>
          <w:tcPr>
            <w:tcW w:w="1129" w:type="dxa"/>
          </w:tcPr>
          <w:p w14:paraId="51FE8923" w14:textId="77777777" w:rsidR="00C7701F" w:rsidRDefault="00C7701F" w:rsidP="0068779F">
            <w:pPr>
              <w:pStyle w:val="BodyText"/>
              <w:spacing w:after="0"/>
              <w:rPr>
                <w:rFonts w:ascii="Times New Roman" w:eastAsia="DengXian" w:hAnsi="Times New Roman" w:hint="eastAsia"/>
                <w:szCs w:val="20"/>
                <w:lang w:eastAsia="zh-CN"/>
              </w:rPr>
            </w:pPr>
          </w:p>
        </w:tc>
        <w:tc>
          <w:tcPr>
            <w:tcW w:w="8221" w:type="dxa"/>
          </w:tcPr>
          <w:p w14:paraId="2CDFDAB5" w14:textId="77777777" w:rsidR="00C7701F" w:rsidRDefault="00C7701F" w:rsidP="0068779F">
            <w:pPr>
              <w:pStyle w:val="BodyText"/>
              <w:spacing w:after="0"/>
              <w:rPr>
                <w:rFonts w:ascii="Times New Roman" w:eastAsia="DengXian" w:hAnsi="Times New Roman" w:hint="eastAsia"/>
                <w:szCs w:val="20"/>
                <w:lang w:eastAsia="zh-CN"/>
              </w:rPr>
            </w:pP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lastRenderedPageBreak/>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lastRenderedPageBreak/>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26BF911A" w14:textId="6CC03FF9" w:rsidR="00C161BB" w:rsidRDefault="00F11A51" w:rsidP="00F11A51">
      <w:pPr>
        <w:pStyle w:val="BodyText"/>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BodyText"/>
        <w:spacing w:after="0"/>
        <w:rPr>
          <w:rFonts w:ascii="Times New Roman" w:hAnsi="Times New Roman"/>
          <w:szCs w:val="20"/>
          <w:lang w:eastAsia="zh-CN"/>
        </w:rPr>
      </w:pPr>
    </w:p>
    <w:p w14:paraId="70CB3DEC" w14:textId="77777777" w:rsidR="00C161BB" w:rsidRDefault="00C161BB" w:rsidP="00C161BB">
      <w:pPr>
        <w:pStyle w:val="Heading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BodyText"/>
        <w:spacing w:after="0"/>
        <w:rPr>
          <w:rFonts w:ascii="Times New Roman" w:hAnsi="Times New Roman"/>
          <w:szCs w:val="20"/>
          <w:lang w:eastAsia="zh-CN"/>
        </w:rPr>
      </w:pPr>
    </w:p>
    <w:p w14:paraId="5A8D10D2" w14:textId="4703C93E" w:rsidR="00C161BB" w:rsidRDefault="00C161BB">
      <w:pPr>
        <w:pStyle w:val="BodyText"/>
        <w:spacing w:after="0"/>
        <w:rPr>
          <w:rFonts w:ascii="Times New Roman" w:hAnsi="Times New Roman"/>
          <w:szCs w:val="20"/>
          <w:lang w:eastAsia="zh-CN"/>
        </w:rPr>
      </w:pPr>
    </w:p>
    <w:p w14:paraId="21C674A4" w14:textId="77777777" w:rsidR="00F11A51" w:rsidRDefault="00F11A51">
      <w:pPr>
        <w:pStyle w:val="BodyText"/>
        <w:spacing w:after="0"/>
        <w:rPr>
          <w:rFonts w:ascii="Times New Roman" w:hAnsi="Times New Roman"/>
          <w:szCs w:val="20"/>
          <w:lang w:eastAsia="zh-CN"/>
        </w:rPr>
      </w:pPr>
    </w:p>
    <w:p w14:paraId="5A509F6A"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BodyText"/>
        <w:spacing w:after="0"/>
        <w:rPr>
          <w:rFonts w:ascii="Times New Roman" w:eastAsiaTheme="minorEastAsia" w:hAnsi="Times New Roman"/>
          <w:szCs w:val="20"/>
          <w:lang w:eastAsia="ko-KR"/>
        </w:rPr>
      </w:pPr>
    </w:p>
    <w:p w14:paraId="4E6EB93C" w14:textId="77777777" w:rsidR="00B03362" w:rsidRPr="007650C8" w:rsidRDefault="00B03362" w:rsidP="00C161BB">
      <w:pPr>
        <w:pStyle w:val="BodyText"/>
        <w:spacing w:after="0"/>
        <w:rPr>
          <w:rFonts w:ascii="Times New Roman" w:eastAsiaTheme="minorEastAsia" w:hAnsi="Times New Roman"/>
          <w:szCs w:val="20"/>
          <w:lang w:eastAsia="ko-KR"/>
        </w:rPr>
      </w:pPr>
    </w:p>
    <w:p w14:paraId="7FF07388"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32052748"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A1AE8D"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lastRenderedPageBreak/>
        <w:t>FFS: whether to</w:t>
      </w:r>
      <w:r w:rsidRPr="007650C8">
        <w:rPr>
          <w:rFonts w:eastAsia="SimSun"/>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FA4A2F2" w14:textId="77777777" w:rsidR="00C161BB" w:rsidRPr="007650C8" w:rsidRDefault="00C161BB" w:rsidP="00C161BB">
      <w:pPr>
        <w:pStyle w:val="ListParagraph"/>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A0C1940" w14:textId="77777777" w:rsidR="00C161BB" w:rsidRPr="007650C8" w:rsidRDefault="00C161BB" w:rsidP="00C161BB">
      <w:pPr>
        <w:pStyle w:val="BodyText"/>
        <w:spacing w:after="0"/>
        <w:rPr>
          <w:rFonts w:ascii="Times New Roman" w:hAnsi="Times New Roman"/>
          <w:szCs w:val="20"/>
          <w:lang w:eastAsia="zh-CN"/>
        </w:rPr>
      </w:pPr>
    </w:p>
    <w:p w14:paraId="5D315F20"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0D7B8CA"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3ED8E89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22609099"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6D9814F2"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7E68802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0A0A065B" w14:textId="77777777" w:rsidR="00C161BB" w:rsidRPr="007650C8" w:rsidRDefault="00C161BB" w:rsidP="00C161BB">
      <w:pPr>
        <w:pStyle w:val="BodyText"/>
        <w:spacing w:after="0"/>
        <w:rPr>
          <w:rFonts w:ascii="Times New Roman" w:hAnsi="Times New Roman"/>
          <w:szCs w:val="20"/>
          <w:lang w:eastAsia="zh-CN"/>
        </w:rPr>
      </w:pPr>
    </w:p>
    <w:p w14:paraId="3DA299F7"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78290E2B"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5A117444"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2149C995" w14:textId="77777777" w:rsidR="00C161BB" w:rsidRPr="007650C8" w:rsidRDefault="00C161BB" w:rsidP="00C161BB">
      <w:pPr>
        <w:pStyle w:val="BodyText"/>
        <w:spacing w:after="0"/>
        <w:rPr>
          <w:rFonts w:ascii="Times New Roman" w:hAnsi="Times New Roman"/>
          <w:szCs w:val="20"/>
          <w:lang w:eastAsia="zh-CN"/>
        </w:rPr>
      </w:pPr>
    </w:p>
    <w:p w14:paraId="26C7240F"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7F285959"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49F8A218"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E046" w14:textId="77777777" w:rsidR="00D4190C" w:rsidRDefault="00D4190C" w:rsidP="00DC71EB">
      <w:pPr>
        <w:spacing w:after="0" w:line="240" w:lineRule="auto"/>
      </w:pPr>
      <w:r>
        <w:separator/>
      </w:r>
    </w:p>
  </w:endnote>
  <w:endnote w:type="continuationSeparator" w:id="0">
    <w:p w14:paraId="304FE517" w14:textId="77777777" w:rsidR="00D4190C" w:rsidRDefault="00D4190C"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91C0F" w14:textId="77777777" w:rsidR="00D4190C" w:rsidRDefault="00D4190C" w:rsidP="00DC71EB">
      <w:pPr>
        <w:spacing w:after="0" w:line="240" w:lineRule="auto"/>
      </w:pPr>
      <w:r>
        <w:separator/>
      </w:r>
    </w:p>
  </w:footnote>
  <w:footnote w:type="continuationSeparator" w:id="0">
    <w:p w14:paraId="14CD1043" w14:textId="77777777" w:rsidR="00D4190C" w:rsidRDefault="00D4190C"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4DE1"/>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130</Pages>
  <Words>46732</Words>
  <Characters>266376</Characters>
  <Application>Microsoft Office Word</Application>
  <DocSecurity>0</DocSecurity>
  <Lines>2219</Lines>
  <Paragraphs>624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Weide Wu</cp:lastModifiedBy>
  <cp:revision>4</cp:revision>
  <dcterms:created xsi:type="dcterms:W3CDTF">2023-04-25T09:36:00Z</dcterms:created>
  <dcterms:modified xsi:type="dcterms:W3CDTF">2023-04-25T09:57:00Z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