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lang w:eastAsia="zh-CN"/>
        </w:rPr>
      </w:pPr>
    </w:p>
    <w:p w14:paraId="2ED09C34" w14:textId="7777777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4ED322AB" w14:textId="77777777" w:rsidR="002F6B81" w:rsidRDefault="0037380E">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w:t>
            </w:r>
            <w:proofErr w:type="gramStart"/>
            <w:r>
              <w:rPr>
                <w:rFonts w:ascii="Times New Roman" w:eastAsia="Yu Mincho" w:hAnsi="Times New Roman"/>
                <w:szCs w:val="20"/>
                <w:lang w:eastAsia="ja-JP"/>
              </w:rPr>
              <w:t>This is why</w:t>
            </w:r>
            <w:proofErr w:type="gramEnd"/>
            <w:r>
              <w:rPr>
                <w:rFonts w:ascii="Times New Roman" w:eastAsia="Yu Mincho" w:hAnsi="Times New Roman"/>
                <w:szCs w:val="20"/>
                <w:lang w:eastAsia="ja-JP"/>
              </w:rPr>
              <w:t xml:space="preserve"> we have a note in the WID instead of having such requirement. The spec impact of the proposal is minimal, the NES 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tc>
          <w:tcPr>
            <w:tcW w:w="1129" w:type="dxa"/>
            <w:shd w:val="clear" w:color="auto" w:fill="FBE4D5" w:themeFill="accent2" w:themeFillTint="33"/>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xml:space="preserve">”,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w:t>
            </w:r>
            <w:proofErr w:type="gramStart"/>
            <w:r>
              <w:rPr>
                <w:rFonts w:ascii="Times New Roman" w:eastAsia="DengXian" w:hAnsi="Times New Roman"/>
                <w:szCs w:val="20"/>
                <w:lang w:eastAsia="zh-CN"/>
              </w:rPr>
              <w:t>i.e.</w:t>
            </w:r>
            <w:proofErr w:type="gramEnd"/>
            <w:r>
              <w:rPr>
                <w:rFonts w:ascii="Times New Roman" w:eastAsia="DengXian" w:hAnsi="Times New Roman"/>
                <w:szCs w:val="20"/>
                <w:lang w:eastAsia="zh-CN"/>
              </w:rPr>
              <w:t xml:space="preserv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w:t>
            </w:r>
            <w:proofErr w:type="gramStart"/>
            <w:r>
              <w:rPr>
                <w:rFonts w:ascii="Times New Roman" w:eastAsia="Yu Mincho" w:hAnsi="Times New Roman"/>
                <w:szCs w:val="20"/>
                <w:lang w:eastAsia="ja-JP"/>
              </w:rPr>
              <w:t>later on</w:t>
            </w:r>
            <w:proofErr w:type="gramEnd"/>
            <w:r>
              <w:rPr>
                <w:rFonts w:ascii="Times New Roman" w:eastAsia="Yu Mincho" w:hAnsi="Times New Roman"/>
                <w:szCs w:val="20"/>
                <w:lang w:eastAsia="ja-JP"/>
              </w:rPr>
              <w:t xml:space="preserve">,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r w:rsidR="003672FC" w14:paraId="63ECC16E" w14:textId="77777777" w:rsidTr="00DC71EB">
        <w:tc>
          <w:tcPr>
            <w:tcW w:w="1129" w:type="dxa"/>
          </w:tcPr>
          <w:p w14:paraId="01B33EE5" w14:textId="64475F3B" w:rsidR="003672FC" w:rsidRDefault="003672FC" w:rsidP="003672FC">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Ericsson4</w:t>
            </w:r>
          </w:p>
        </w:tc>
        <w:tc>
          <w:tcPr>
            <w:tcW w:w="8221" w:type="dxa"/>
          </w:tcPr>
          <w:p w14:paraId="5480954E" w14:textId="211D59AA" w:rsidR="003672FC" w:rsidRDefault="003672FC" w:rsidP="003672FC">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 xml:space="preserve">Support – since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anyway active and transmitting SSB, there is no reason to consider that period as inactive and add unnecessary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scheduling restrictions. </w:t>
            </w:r>
          </w:p>
        </w:tc>
      </w:tr>
    </w:tbl>
    <w:p w14:paraId="37C8AE92" w14:textId="77777777" w:rsidR="002F6B81" w:rsidRDefault="002F6B81">
      <w:pPr>
        <w:pStyle w:val="BodyText"/>
        <w:spacing w:after="0"/>
        <w:rPr>
          <w:rFonts w:ascii="Times New Roman" w:hAnsi="Times New Roman"/>
          <w:szCs w:val="20"/>
          <w:lang w:eastAsia="zh-CN"/>
        </w:rPr>
      </w:pPr>
    </w:p>
    <w:p w14:paraId="28DDFB5F" w14:textId="77777777" w:rsidR="002F6B81" w:rsidRDefault="002F6B81">
      <w:pPr>
        <w:pStyle w:val="BodyText"/>
        <w:spacing w:after="0"/>
        <w:rPr>
          <w:rFonts w:ascii="Times New Roman" w:hAnsi="Times New Roman"/>
          <w:szCs w:val="20"/>
          <w:lang w:eastAsia="zh-CN"/>
        </w:rPr>
      </w:pPr>
    </w:p>
    <w:p w14:paraId="6701274D" w14:textId="77777777" w:rsidR="002F6B81" w:rsidRDefault="002F6B81">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t>CEWiT</w:t>
            </w:r>
            <w:proofErr w:type="spellEnd"/>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Default="0037380E">
      <w:pPr>
        <w:pStyle w:val="Heading6"/>
        <w:spacing w:after="120" w:line="240" w:lineRule="auto"/>
        <w:rPr>
          <w:rFonts w:ascii="Arial" w:hAnsi="Arial" w:cs="Arial"/>
        </w:rPr>
      </w:pPr>
      <w:r>
        <w:rPr>
          <w:rFonts w:ascii="Arial" w:hAnsi="Arial" w:cs="Arial"/>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tc>
          <w:tcPr>
            <w:tcW w:w="1129" w:type="dxa"/>
            <w:shd w:val="clear" w:color="auto" w:fill="FBE4D5" w:themeFill="accent2" w:themeFillTint="33"/>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of enhancement for cell DTX and cell DRX based on L1 signaling, </w:t>
            </w:r>
            <w:proofErr w:type="gramStart"/>
            <w:r>
              <w:rPr>
                <w:rFonts w:ascii="Times New Roman" w:eastAsia="Malgun Gothic" w:hAnsi="Times New Roman"/>
                <w:i/>
                <w:iCs/>
                <w:szCs w:val="20"/>
                <w:lang w:eastAsia="ko-KR"/>
              </w:rPr>
              <w:t>and also</w:t>
            </w:r>
            <w:proofErr w:type="gramEnd"/>
            <w:r>
              <w:rPr>
                <w:rFonts w:ascii="Times New Roman" w:eastAsia="Malgun Gothic" w:hAnsi="Times New Roman"/>
                <w:i/>
                <w:iCs/>
                <w:szCs w:val="20"/>
                <w:lang w:eastAsia="ko-KR"/>
              </w:rPr>
              <w:t xml:space="preserve">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3672FC" w14:paraId="0B167B73" w14:textId="77777777" w:rsidTr="00DC71EB">
        <w:tc>
          <w:tcPr>
            <w:tcW w:w="1129" w:type="dxa"/>
          </w:tcPr>
          <w:p w14:paraId="78C1EEE4" w14:textId="6C7AD61B" w:rsidR="003672FC" w:rsidRDefault="003672FC" w:rsidP="003672F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3F74C19F" w14:textId="77777777" w:rsidR="003672FC" w:rsidRDefault="003672FC" w:rsidP="003672F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D34B551" w14:textId="77777777" w:rsidR="003672FC" w:rsidRDefault="003672FC" w:rsidP="003672F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A1CEC58" w14:textId="77777777" w:rsidR="003672FC" w:rsidRDefault="003672FC" w:rsidP="003672FC">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42F6A4A1" w14:textId="72A3D8FD" w:rsidR="003672FC" w:rsidRDefault="003672FC" w:rsidP="003672F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p>
        </w:tc>
      </w:tr>
    </w:tbl>
    <w:p w14:paraId="096B3BBA" w14:textId="77777777" w:rsidR="002F6B81" w:rsidRDefault="002F6B81">
      <w:pPr>
        <w:pStyle w:val="BodyText"/>
        <w:spacing w:after="0"/>
        <w:rPr>
          <w:rFonts w:ascii="Times New Roman" w:eastAsiaTheme="minorEastAsia" w:hAnsi="Times New Roman"/>
          <w:szCs w:val="20"/>
          <w:lang w:eastAsia="ko-KR"/>
        </w:rPr>
      </w:pPr>
    </w:p>
    <w:p w14:paraId="71DF1021" w14:textId="77777777" w:rsidR="002F6B81" w:rsidRDefault="002F6B81">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77777777" w:rsidR="002F6B81" w:rsidRDefault="0037380E">
      <w:pPr>
        <w:pStyle w:val="Heading4"/>
        <w:rPr>
          <w:rFonts w:eastAsia="SimSun"/>
          <w:szCs w:val="18"/>
          <w:lang w:val="en-US" w:eastAsia="zh-CN"/>
        </w:rPr>
      </w:pPr>
      <w:r>
        <w:rPr>
          <w:rFonts w:eastAsia="SimSun"/>
          <w:szCs w:val="18"/>
          <w:lang w:val="en-US" w:eastAsia="zh-CN"/>
        </w:rPr>
        <w:t>[ON HOLD-Next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77777777" w:rsidR="002F6B81" w:rsidRDefault="002F6B81">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Heading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66B476AB" w14:textId="77777777" w:rsidR="002F6B81" w:rsidRDefault="0037380E">
            <w:pPr>
              <w:pStyle w:val="Heading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outlineLvl w:val="4"/>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outlineLvl w:val="4"/>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outlineLvl w:val="4"/>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outlineLvl w:val="4"/>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outlineLvl w:val="4"/>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outlineLvl w:val="4"/>
              <w:rPr>
                <w:rFonts w:eastAsiaTheme="minorEastAsia"/>
                <w:lang w:eastAsia="ko-KR"/>
              </w:rPr>
            </w:pPr>
            <w:r>
              <w:rPr>
                <w:rFonts w:eastAsiaTheme="minorEastAsia"/>
                <w:lang w:eastAsia="ko-KR"/>
              </w:rPr>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outlineLvl w:val="4"/>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outlineLvl w:val="4"/>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outlineLvl w:val="4"/>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Heading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Heading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CC26FAA" w14:textId="77777777" w:rsidR="002F6B81" w:rsidRDefault="0037380E">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DC71EB">
        <w:tc>
          <w:tcPr>
            <w:tcW w:w="1444" w:type="dxa"/>
            <w:shd w:val="clear" w:color="auto" w:fill="FBE4D5" w:themeFill="accent2" w:themeFillTint="33"/>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FBE4D5" w:themeFill="accent2" w:themeFillTint="33"/>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DE19EB" w14:paraId="23421168" w14:textId="77777777" w:rsidTr="00DC71EB">
        <w:tc>
          <w:tcPr>
            <w:tcW w:w="1444" w:type="dxa"/>
          </w:tcPr>
          <w:p w14:paraId="73168BCB" w14:textId="5CA038F5" w:rsidR="00DE19EB" w:rsidRDefault="00DE19EB" w:rsidP="00DE19EB">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Ericsson4</w:t>
            </w:r>
          </w:p>
        </w:tc>
        <w:tc>
          <w:tcPr>
            <w:tcW w:w="7906" w:type="dxa"/>
          </w:tcPr>
          <w:p w14:paraId="42FDF237" w14:textId="09B5F5E2" w:rsidR="00DE19EB" w:rsidRDefault="00DE19EB" w:rsidP="00DE19E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tc>
          <w:tcPr>
            <w:tcW w:w="1129" w:type="dxa"/>
            <w:shd w:val="clear" w:color="auto" w:fill="FBE4D5" w:themeFill="accent2" w:themeFillTint="33"/>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 and/or process of CSI-RS (for RRM or BM), we propose the following modification</w:t>
            </w:r>
          </w:p>
          <w:p w14:paraId="39F9B2B3"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BodyText"/>
              <w:spacing w:before="0" w:line="240" w:lineRule="auto"/>
              <w:rPr>
                <w:rFonts w:ascii="Times New Roman" w:eastAsia="DengXian" w:hAnsi="Times New Roman"/>
                <w:szCs w:val="20"/>
                <w:lang w:val="de-DE" w:eastAsia="zh-CN"/>
              </w:rPr>
            </w:pPr>
          </w:p>
          <w:p w14:paraId="6E32DB6C" w14:textId="77777777" w:rsidR="002F6B81" w:rsidRDefault="0037380E">
            <w:pPr>
              <w:pStyle w:val="ListParagraph"/>
              <w:numPr>
                <w:ilvl w:val="0"/>
                <w:numId w:val="34"/>
              </w:numPr>
              <w:spacing w:before="0" w:after="120" w:line="240" w:lineRule="auto"/>
              <w:rPr>
                <w:rFonts w:eastAsia="SimSun"/>
                <w:sz w:val="20"/>
                <w:szCs w:val="20"/>
                <w:lang w:val="de-DE" w:eastAsia="zh-CN"/>
              </w:rPr>
            </w:pPr>
            <w:r>
              <w:rPr>
                <w:rFonts w:eastAsia="SimSun"/>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78D36C6" w14:textId="77777777" w:rsidR="002F6B81" w:rsidRDefault="0037380E">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2BADBAB"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DC71EB">
        <w:trPr>
          <w:trHeight w:val="5809"/>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xml:space="preserve">” need to be clarified. We do not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do</w:t>
            </w:r>
            <w:proofErr w:type="gramEnd"/>
            <w:r>
              <w:rPr>
                <w:rFonts w:ascii="Times New Roman" w:eastAsia="DengXian" w:hAnsi="Times New Roman"/>
                <w:szCs w:val="20"/>
                <w:lang w:eastAsia="zh-CN"/>
              </w:rPr>
              <w:t xml:space="preserve">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430236">
              <w:rPr>
                <w:rFonts w:eastAsia="SimSun"/>
                <w:sz w:val="20"/>
                <w:szCs w:val="20"/>
                <w:lang w:eastAsia="zh-CN"/>
              </w:rPr>
              <w:t>ot</w:t>
            </w:r>
            <w:proofErr w:type="gramEnd"/>
            <w:r w:rsidRPr="00430236">
              <w:rPr>
                <w:rFonts w:eastAsia="SimSun"/>
                <w:sz w:val="20"/>
                <w:szCs w:val="20"/>
                <w:lang w:eastAsia="zh-CN"/>
              </w:rPr>
              <w:t xml:space="preserve">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outlineLvl w:val="5"/>
              <w:rPr>
                <w:rFonts w:ascii="Arial" w:hAnsi="Arial" w:cs="Arial"/>
              </w:rPr>
            </w:pPr>
            <w:r>
              <w:rPr>
                <w:rFonts w:ascii="Arial" w:hAnsi="Arial" w:cs="Arial"/>
              </w:rPr>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D2543D">
              <w:rPr>
                <w:rFonts w:eastAsia="SimSun"/>
                <w:sz w:val="20"/>
                <w:szCs w:val="20"/>
                <w:lang w:eastAsia="zh-CN"/>
              </w:rPr>
              <w:t>ot</w:t>
            </w:r>
            <w:proofErr w:type="gramEnd"/>
            <w:r w:rsidRPr="00D2543D">
              <w:rPr>
                <w:rFonts w:eastAsia="SimSun"/>
                <w:sz w:val="20"/>
                <w:szCs w:val="20"/>
                <w:lang w:eastAsia="zh-CN"/>
              </w:rPr>
              <w:t xml:space="preserve">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21C6C29A" w14:textId="25FD33E2" w:rsidR="009F476A" w:rsidRDefault="005D499F"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w:t>
            </w:r>
            <w:proofErr w:type="gramStart"/>
            <w:r w:rsidRPr="00CC58F9">
              <w:rPr>
                <w:rFonts w:ascii="Times New Roman" w:eastAsia="DengXian" w:hAnsi="Times New Roman"/>
                <w:szCs w:val="20"/>
                <w:lang w:eastAsia="zh-CN"/>
              </w:rPr>
              <w:t>On</w:t>
            </w:r>
            <w:proofErr w:type="gramEnd"/>
            <w:r w:rsidRPr="00CC58F9">
              <w:rPr>
                <w:rFonts w:ascii="Times New Roman" w:eastAsia="DengXian" w:hAnsi="Times New Roman"/>
                <w:szCs w:val="20"/>
                <w:lang w:eastAsia="zh-CN"/>
              </w:rPr>
              <w:t xml:space="preserve">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 xml:space="preserve">How does </w:t>
            </w:r>
            <w:proofErr w:type="spellStart"/>
            <w:r w:rsidRPr="00CC58F9">
              <w:rPr>
                <w:rFonts w:eastAsia="DengXian"/>
                <w:sz w:val="20"/>
                <w:szCs w:val="20"/>
                <w:lang w:eastAsia="zh-CN"/>
              </w:rPr>
              <w:t>gNB</w:t>
            </w:r>
            <w:proofErr w:type="spellEnd"/>
            <w:r w:rsidRPr="00CC58F9">
              <w:rPr>
                <w:rFonts w:eastAsia="DengXian"/>
                <w:sz w:val="20"/>
                <w:szCs w:val="20"/>
                <w:lang w:eastAsia="zh-CN"/>
              </w:rPr>
              <w:t xml:space="preserve">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DengXian"/>
                <w:sz w:val="20"/>
                <w:szCs w:val="20"/>
                <w:lang w:eastAsia="zh-CN"/>
              </w:rPr>
            </w:pPr>
          </w:p>
        </w:tc>
      </w:tr>
      <w:tr w:rsidR="00296A42" w14:paraId="25F1C1A6" w14:textId="77777777" w:rsidTr="00296A42">
        <w:tc>
          <w:tcPr>
            <w:tcW w:w="1129" w:type="dxa"/>
          </w:tcPr>
          <w:p w14:paraId="19FC4304" w14:textId="77777777" w:rsidR="00296A42" w:rsidRDefault="00296A42" w:rsidP="00F8499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7DA3C26C" w14:textId="77777777" w:rsidR="00296A42" w:rsidRDefault="00296A42" w:rsidP="00F8499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0E669E80" w14:textId="77777777" w:rsidR="00296A42" w:rsidRDefault="00296A42" w:rsidP="00F8499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11DB5252" w14:textId="77777777" w:rsidR="00296A42" w:rsidRPr="00AB3691" w:rsidRDefault="00296A42" w:rsidP="00F8499C">
            <w:pPr>
              <w:pStyle w:val="BodyText"/>
              <w:spacing w:after="0"/>
              <w:rPr>
                <w:rFonts w:ascii="Times New Roman" w:eastAsiaTheme="minorEastAsia" w:hAnsi="Times New Roman"/>
                <w:szCs w:val="20"/>
                <w:lang w:eastAsia="ko-KR"/>
              </w:rPr>
            </w:pPr>
          </w:p>
        </w:tc>
      </w:tr>
      <w:tr w:rsidR="00DE19EB" w14:paraId="43034F82" w14:textId="77777777" w:rsidTr="00296A42">
        <w:tc>
          <w:tcPr>
            <w:tcW w:w="1129" w:type="dxa"/>
          </w:tcPr>
          <w:p w14:paraId="34FA44D7" w14:textId="6AF6C30A" w:rsidR="00DE19EB" w:rsidRDefault="00DE19EB" w:rsidP="00DE19EB">
            <w:pPr>
              <w:pStyle w:val="BodyText"/>
              <w:spacing w:after="0"/>
              <w:rPr>
                <w:rFonts w:ascii="Times New Roman" w:eastAsiaTheme="minorEastAsia" w:hAnsi="Times New Roman" w:hint="eastAsia"/>
                <w:szCs w:val="20"/>
                <w:lang w:eastAsia="ko-KR"/>
              </w:rPr>
            </w:pPr>
            <w:r>
              <w:rPr>
                <w:rFonts w:ascii="Times New Roman" w:eastAsia="DengXian" w:hAnsi="Times New Roman"/>
                <w:szCs w:val="20"/>
                <w:lang w:eastAsia="zh-CN"/>
              </w:rPr>
              <w:t>Ericsson4</w:t>
            </w:r>
          </w:p>
        </w:tc>
        <w:tc>
          <w:tcPr>
            <w:tcW w:w="8221" w:type="dxa"/>
          </w:tcPr>
          <w:p w14:paraId="17A5539E" w14:textId="77777777" w:rsidR="00DE19EB" w:rsidRPr="00F532DB" w:rsidRDefault="00DE19EB" w:rsidP="00DE19E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3C8586FA" w14:textId="77777777" w:rsidR="00DE19EB" w:rsidRDefault="00DE19EB" w:rsidP="00DE19E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6997EF99" w14:textId="77777777" w:rsidR="00DE19EB" w:rsidRPr="00F532DB" w:rsidRDefault="00DE19EB" w:rsidP="00DE19EB">
            <w:pPr>
              <w:pStyle w:val="ListParagraph"/>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04CFA511" w14:textId="77777777" w:rsidR="00DE19EB" w:rsidRPr="00F532DB" w:rsidRDefault="00DE19EB" w:rsidP="00DE19EB">
            <w:pPr>
              <w:pStyle w:val="ListParagraph"/>
              <w:numPr>
                <w:ilvl w:val="1"/>
                <w:numId w:val="34"/>
              </w:numPr>
              <w:rPr>
                <w:rFonts w:eastAsia="SimSun"/>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2CFC208B" w14:textId="77777777" w:rsidR="00DE19EB" w:rsidRPr="00F532DB" w:rsidRDefault="00DE19EB" w:rsidP="00DE19EB">
            <w:pPr>
              <w:pStyle w:val="ListParagraph"/>
              <w:numPr>
                <w:ilvl w:val="2"/>
                <w:numId w:val="34"/>
              </w:numPr>
              <w:rPr>
                <w:rFonts w:eastAsia="SimSun"/>
                <w:i/>
                <w:iCs/>
                <w:sz w:val="20"/>
                <w:szCs w:val="20"/>
                <w:lang w:eastAsia="zh-CN"/>
              </w:rPr>
            </w:pPr>
            <w:r w:rsidRPr="00F532DB">
              <w:rPr>
                <w:rFonts w:eastAsia="Malgun Gothic"/>
                <w:i/>
                <w:iCs/>
                <w:sz w:val="20"/>
                <w:szCs w:val="20"/>
              </w:rPr>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5F794425" w14:textId="77777777" w:rsidR="00DE19EB" w:rsidRDefault="00DE19EB" w:rsidP="00DE19E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4A381C81" w14:textId="77777777" w:rsidR="00DE19EB" w:rsidRDefault="00DE19EB" w:rsidP="00DE19E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65AA4B44" w14:textId="77777777" w:rsidR="00DE19EB" w:rsidRDefault="00DE19EB" w:rsidP="00DE19E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511657B4" w14:textId="77777777" w:rsidR="00DE19EB" w:rsidRPr="005F3A05" w:rsidRDefault="00DE19EB" w:rsidP="00DE19EB">
            <w:pPr>
              <w:pStyle w:val="ListParagraph"/>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612F72B9" w14:textId="77777777" w:rsidR="00DE19EB" w:rsidRPr="005F3A05" w:rsidRDefault="00DE19EB" w:rsidP="00DE19EB">
            <w:pPr>
              <w:pStyle w:val="ListParagraph"/>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002FC0C7" w14:textId="77777777" w:rsidR="00DE19EB" w:rsidRDefault="00DE19EB" w:rsidP="00DE19EB">
            <w:pPr>
              <w:pStyle w:val="BodyText"/>
              <w:spacing w:after="0"/>
              <w:rPr>
                <w:rFonts w:ascii="Times New Roman" w:eastAsiaTheme="minorEastAsia" w:hAnsi="Times New Roman"/>
                <w:szCs w:val="20"/>
                <w:lang w:eastAsia="ko-KR"/>
              </w:rPr>
            </w:pP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tc>
          <w:tcPr>
            <w:tcW w:w="1129" w:type="dxa"/>
            <w:shd w:val="clear" w:color="auto" w:fill="FBE4D5" w:themeFill="accent2" w:themeFillTint="33"/>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BFD, same comment as CSI-RS for BM above. Furthermore, legacy spec supports the case where BFD-RS is not explicitly configured, and UE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77777777" w:rsidR="002F6B81" w:rsidRDefault="002F6B81">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77777777" w:rsidR="002F6B81" w:rsidRDefault="0037380E">
      <w:pPr>
        <w:pStyle w:val="Heading4"/>
        <w:rPr>
          <w:rFonts w:eastAsia="SimSun"/>
          <w:szCs w:val="18"/>
          <w:lang w:val="en-US" w:eastAsia="zh-CN"/>
        </w:rPr>
      </w:pPr>
      <w:r>
        <w:rPr>
          <w:rFonts w:eastAsia="SimSun"/>
          <w:szCs w:val="18"/>
          <w:lang w:val="en-US" w:eastAsia="zh-CN"/>
        </w:rPr>
        <w:t>[ON HOLD-Next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tc>
          <w:tcPr>
            <w:tcW w:w="1129" w:type="dxa"/>
            <w:shd w:val="clear" w:color="auto" w:fill="FBE4D5" w:themeFill="accent2" w:themeFillTint="33"/>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77777777" w:rsidR="002F6B81" w:rsidRDefault="002F6B81">
            <w:pPr>
              <w:pStyle w:val="BodyText"/>
              <w:spacing w:after="0"/>
              <w:rPr>
                <w:rFonts w:ascii="Times New Roman" w:eastAsia="DengXian" w:hAnsi="Times New Roman"/>
                <w:szCs w:val="20"/>
                <w:lang w:eastAsia="zh-CN"/>
              </w:rPr>
            </w:pPr>
          </w:p>
        </w:tc>
        <w:tc>
          <w:tcPr>
            <w:tcW w:w="8221" w:type="dxa"/>
          </w:tcPr>
          <w:p w14:paraId="0F62C317" w14:textId="77777777" w:rsidR="002F6B81" w:rsidRDefault="002F6B81">
            <w:pPr>
              <w:pStyle w:val="BodyText"/>
              <w:spacing w:after="0"/>
              <w:rPr>
                <w:rFonts w:ascii="Times New Roman" w:eastAsia="DengXian" w:hAnsi="Times New Roman"/>
                <w:szCs w:val="20"/>
                <w:lang w:eastAsia="zh-CN"/>
              </w:rPr>
            </w:pP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52F20393" w14:textId="77777777" w:rsidR="002F6B81" w:rsidRDefault="002F6B81">
      <w:pPr>
        <w:pStyle w:val="BodyText"/>
        <w:spacing w:after="0"/>
        <w:rPr>
          <w:rFonts w:ascii="Times New Roman" w:eastAsiaTheme="minorEastAsia" w:hAnsi="Times New Roman"/>
          <w:szCs w:val="20"/>
          <w:lang w:eastAsia="ko-KR"/>
        </w:rPr>
      </w:pPr>
    </w:p>
    <w:p w14:paraId="29800A60" w14:textId="77777777" w:rsidR="002F6B81" w:rsidRDefault="002F6B81">
      <w:pPr>
        <w:pStyle w:val="BodyText"/>
        <w:spacing w:after="0"/>
        <w:rPr>
          <w:rFonts w:ascii="Times New Roman" w:eastAsiaTheme="minorEastAsia" w:hAnsi="Times New Roman"/>
          <w:szCs w:val="20"/>
          <w:lang w:eastAsia="ko-KR"/>
        </w:rPr>
      </w:pPr>
    </w:p>
    <w:p w14:paraId="301AD4E6" w14:textId="77777777" w:rsidR="002F6B81" w:rsidRDefault="002F6B81">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77777777" w:rsidR="002F6B81" w:rsidRDefault="002F6B81">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77777777" w:rsidR="002F6B81" w:rsidRDefault="002F6B81">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ListParagraph"/>
        <w:numPr>
          <w:ilvl w:val="0"/>
          <w:numId w:val="37"/>
        </w:numPr>
        <w:ind w:left="540" w:hanging="540"/>
      </w:pPr>
      <w:r>
        <w:t xml:space="preserve">R1-2303025, “Discussion on enhancements on cell DTX/DRX mechanism,” </w:t>
      </w:r>
      <w:proofErr w:type="spellStart"/>
      <w:r>
        <w:t>InterDigital</w:t>
      </w:r>
      <w:proofErr w:type="spellEnd"/>
      <w:r>
        <w:t>,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CB36" w14:textId="77777777" w:rsidR="00714908" w:rsidRDefault="00714908" w:rsidP="00DC71EB">
      <w:pPr>
        <w:spacing w:after="0" w:line="240" w:lineRule="auto"/>
      </w:pPr>
      <w:r>
        <w:separator/>
      </w:r>
    </w:p>
  </w:endnote>
  <w:endnote w:type="continuationSeparator" w:id="0">
    <w:p w14:paraId="2F283456" w14:textId="77777777" w:rsidR="00714908" w:rsidRDefault="00714908"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GPｺﾞｼｯｸE"/>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7AB0" w14:textId="77777777" w:rsidR="00714908" w:rsidRDefault="00714908" w:rsidP="00DC71EB">
      <w:pPr>
        <w:spacing w:after="0" w:line="240" w:lineRule="auto"/>
      </w:pPr>
      <w:r>
        <w:separator/>
      </w:r>
    </w:p>
  </w:footnote>
  <w:footnote w:type="continuationSeparator" w:id="0">
    <w:p w14:paraId="389CB335" w14:textId="77777777" w:rsidR="00714908" w:rsidRDefault="00714908"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3724285">
    <w:abstractNumId w:val="33"/>
    <w:lvlOverride w:ilvl="0">
      <w:startOverride w:val="1"/>
    </w:lvlOverride>
  </w:num>
  <w:num w:numId="2" w16cid:durableId="708798913">
    <w:abstractNumId w:val="33"/>
  </w:num>
  <w:num w:numId="3" w16cid:durableId="907570985">
    <w:abstractNumId w:val="22"/>
  </w:num>
  <w:num w:numId="4" w16cid:durableId="370543617">
    <w:abstractNumId w:val="11"/>
  </w:num>
  <w:num w:numId="5" w16cid:durableId="1464812884">
    <w:abstractNumId w:val="18"/>
  </w:num>
  <w:num w:numId="6" w16cid:durableId="1881277798">
    <w:abstractNumId w:val="8"/>
  </w:num>
  <w:num w:numId="7" w16cid:durableId="437216049">
    <w:abstractNumId w:val="4"/>
  </w:num>
  <w:num w:numId="8" w16cid:durableId="1531916814">
    <w:abstractNumId w:val="25"/>
  </w:num>
  <w:num w:numId="9" w16cid:durableId="2022584802">
    <w:abstractNumId w:val="28"/>
  </w:num>
  <w:num w:numId="10" w16cid:durableId="1766918104">
    <w:abstractNumId w:val="29"/>
  </w:num>
  <w:num w:numId="11" w16cid:durableId="268127623">
    <w:abstractNumId w:val="16"/>
  </w:num>
  <w:num w:numId="12" w16cid:durableId="464978291">
    <w:abstractNumId w:val="1"/>
  </w:num>
  <w:num w:numId="13" w16cid:durableId="1949583907">
    <w:abstractNumId w:val="14"/>
  </w:num>
  <w:num w:numId="14" w16cid:durableId="691683921">
    <w:abstractNumId w:val="37"/>
  </w:num>
  <w:num w:numId="15" w16cid:durableId="274797670">
    <w:abstractNumId w:val="36"/>
  </w:num>
  <w:num w:numId="16" w16cid:durableId="393623272">
    <w:abstractNumId w:val="34"/>
  </w:num>
  <w:num w:numId="17" w16cid:durableId="274483432">
    <w:abstractNumId w:val="19"/>
  </w:num>
  <w:num w:numId="18" w16cid:durableId="1530220054">
    <w:abstractNumId w:val="30"/>
  </w:num>
  <w:num w:numId="19" w16cid:durableId="1813257213">
    <w:abstractNumId w:val="10"/>
  </w:num>
  <w:num w:numId="20" w16cid:durableId="1451513182">
    <w:abstractNumId w:val="15"/>
  </w:num>
  <w:num w:numId="21" w16cid:durableId="1336759378">
    <w:abstractNumId w:val="17"/>
  </w:num>
  <w:num w:numId="22" w16cid:durableId="1918392176">
    <w:abstractNumId w:val="7"/>
  </w:num>
  <w:num w:numId="23" w16cid:durableId="2011374494">
    <w:abstractNumId w:val="26"/>
  </w:num>
  <w:num w:numId="24" w16cid:durableId="1208563865">
    <w:abstractNumId w:val="31"/>
  </w:num>
  <w:num w:numId="25" w16cid:durableId="902646230">
    <w:abstractNumId w:val="5"/>
  </w:num>
  <w:num w:numId="26" w16cid:durableId="1592663559">
    <w:abstractNumId w:val="0"/>
  </w:num>
  <w:num w:numId="27" w16cid:durableId="2127694425">
    <w:abstractNumId w:val="21"/>
  </w:num>
  <w:num w:numId="28" w16cid:durableId="1946964411">
    <w:abstractNumId w:val="3"/>
  </w:num>
  <w:num w:numId="29" w16cid:durableId="1642495182">
    <w:abstractNumId w:val="35"/>
  </w:num>
  <w:num w:numId="30" w16cid:durableId="1807352352">
    <w:abstractNumId w:val="9"/>
  </w:num>
  <w:num w:numId="31" w16cid:durableId="31004344">
    <w:abstractNumId w:val="2"/>
  </w:num>
  <w:num w:numId="32" w16cid:durableId="465316906">
    <w:abstractNumId w:val="12"/>
  </w:num>
  <w:num w:numId="33" w16cid:durableId="1191526744">
    <w:abstractNumId w:val="20"/>
  </w:num>
  <w:num w:numId="34" w16cid:durableId="615254778">
    <w:abstractNumId w:val="32"/>
  </w:num>
  <w:num w:numId="35" w16cid:durableId="171913795">
    <w:abstractNumId w:val="6"/>
  </w:num>
  <w:num w:numId="36" w16cid:durableId="157425379">
    <w:abstractNumId w:val="27"/>
  </w:num>
  <w:num w:numId="37" w16cid:durableId="105467559">
    <w:abstractNumId w:val="24"/>
  </w:num>
  <w:num w:numId="38" w16cid:durableId="1667434200">
    <w:abstractNumId w:val="13"/>
  </w:num>
  <w:num w:numId="39" w16cid:durableId="3602819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4A87"/>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6A42"/>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B81"/>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2FC"/>
    <w:rsid w:val="00367EE4"/>
    <w:rsid w:val="0037038E"/>
    <w:rsid w:val="003722C0"/>
    <w:rsid w:val="003728D6"/>
    <w:rsid w:val="00372E1E"/>
    <w:rsid w:val="0037380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3A30"/>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908"/>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0271"/>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18D7"/>
    <w:rsid w:val="009C3A9F"/>
    <w:rsid w:val="009C49D4"/>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A774A"/>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08C7"/>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58F9"/>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19EB"/>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03E"/>
    <w:rsid w:val="00F01CDC"/>
    <w:rsid w:val="00F02172"/>
    <w:rsid w:val="00F0414D"/>
    <w:rsid w:val="00F05D11"/>
    <w:rsid w:val="00F06BA9"/>
    <w:rsid w:val="00F06DCB"/>
    <w:rsid w:val="00F06DD1"/>
    <w:rsid w:val="00F06F9F"/>
    <w:rsid w:val="00F0712E"/>
    <w:rsid w:val="00F07D89"/>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5EFA"/>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122</Pages>
  <Words>43692</Words>
  <Characters>249047</Characters>
  <Application>Microsoft Office Word</Application>
  <DocSecurity>0</DocSecurity>
  <Lines>2075</Lines>
  <Paragraphs>584</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292155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Ajit Nimbalker</cp:lastModifiedBy>
  <cp:revision>11</cp:revision>
  <dcterms:created xsi:type="dcterms:W3CDTF">2023-04-24T23:24:00Z</dcterms:created>
  <dcterms:modified xsi:type="dcterms:W3CDTF">2023-04-25T01:41:00Z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