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#4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SimSun"/>
          <w:lang w:val="en-US" w:eastAsia="zh-CN"/>
        </w:rPr>
      </w:pPr>
      <w:r>
        <w:rPr>
          <w:rFonts w:eastAsia="SimSun"/>
          <w:lang w:val="en-US" w:eastAsia="zh-CN"/>
        </w:rPr>
        <w:t>2.1 General cell DRX/DTX operation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15"/>
        <w:tabs>
          <w:tab w:val="left" w:pos="1480"/>
        </w:tabs>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15"/>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SimSun" w:cs="Times"/>
                      <w:lang w:eastAsia="zh-CN"/>
                    </w:rPr>
                  </w:pPr>
                  <w:r>
                    <w:rPr>
                      <w:rFonts w:eastAsia="SimSun"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SimSun" w:cs="Times"/>
                      <w:lang w:eastAsia="zh-CN"/>
                    </w:rPr>
                  </w:pPr>
                  <w:r>
                    <w:rPr>
                      <w:rFonts w:eastAsia="SimSun" w:cs="Times"/>
                      <w:lang w:eastAsia="zh-CN"/>
                    </w:rPr>
                    <w:t>consider impact to at least KPIs from the SI when physical layers/signals/channels are impacted by cell DTX/DRX</w:t>
                  </w:r>
                </w:p>
                <w:p>
                  <w:pPr>
                    <w:pStyle w:val="15"/>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15"/>
                    <w:spacing w:before="120" w:after="0"/>
                    <w:rPr>
                      <w:rFonts w:ascii="Times New Roman" w:hAnsi="Times New Roman" w:eastAsia="Yu Mincho"/>
                      <w:szCs w:val="20"/>
                      <w:lang w:eastAsia="ja-JP"/>
                    </w:rPr>
                  </w:pP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15"/>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15"/>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15"/>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15"/>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15"/>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15"/>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0"/>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15"/>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15"/>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15"/>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15"/>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15"/>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15"/>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15"/>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15"/>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15"/>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(your proposal) Adding standard support to always account SSB symbols as Cell DTX active time.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 you for the answers. But the advantage of this exception is still not clear nor proven. </w:t>
            </w:r>
          </w:p>
          <w:p>
            <w:pPr>
              <w:pStyle w:val="15"/>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15"/>
              <w:spacing w:before="120" w:after="0"/>
              <w:ind w:left="720"/>
              <w:rPr>
                <w:bCs/>
                <w:lang w:eastAsia="zh-CN"/>
              </w:rPr>
            </w:pPr>
            <w:r>
              <w:rPr>
                <w:bCs/>
                <w:lang w:eastAsia="zh-CN"/>
              </w:rPr>
              <w:t xml:space="preserve">Because </w:t>
            </w:r>
          </w:p>
          <w:p>
            <w:pPr>
              <w:pStyle w:val="15"/>
              <w:spacing w:before="120" w:after="0"/>
              <w:ind w:left="720"/>
              <w:rPr>
                <w:bCs/>
                <w:lang w:eastAsia="zh-CN"/>
              </w:rPr>
            </w:pPr>
            <w:r>
              <w:rPr>
                <w:bCs/>
                <w:lang w:eastAsia="zh-CN"/>
              </w:rPr>
              <w:t xml:space="preserve">1) the periodicity and the on duration of the baseline is not defined yet </w:t>
            </w:r>
          </w:p>
          <w:p>
            <w:pPr>
              <w:pStyle w:val="15"/>
              <w:spacing w:before="120" w:after="0"/>
              <w:ind w:left="720"/>
              <w:rPr>
                <w:bCs/>
                <w:lang w:eastAsia="zh-CN"/>
              </w:rPr>
            </w:pPr>
            <w:r>
              <w:rPr>
                <w:bCs/>
                <w:lang w:eastAsia="zh-CN"/>
              </w:rPr>
              <w:t>2) The periodicity of SSB is known and in most practically cases it is 10 ms</w:t>
            </w:r>
          </w:p>
          <w:p>
            <w:pPr>
              <w:pStyle w:val="15"/>
              <w:spacing w:before="120" w:after="0"/>
              <w:rPr>
                <w:bCs/>
                <w:lang w:eastAsia="zh-CN"/>
              </w:rPr>
            </w:pPr>
          </w:p>
          <w:p>
            <w:pPr>
              <w:pStyle w:val="15"/>
              <w:spacing w:before="120" w:after="0"/>
              <w:rPr>
                <w:rFonts w:ascii="Times New Roman" w:hAnsi="Times New Roman" w:eastAsia="等线"/>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等线"/>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@Spreadrum,</w:t>
            </w:r>
            <w:r>
              <w:rPr>
                <w:rFonts w:hint="eastAsia" w:ascii="Times New Roman" w:hAnsi="Times New Roman" w:eastAsia="Yu Mincho"/>
                <w:szCs w:val="20"/>
                <w:lang w:eastAsia="ja-JP"/>
              </w:rPr>
              <w:t xml:space="preserve"> F</w:t>
            </w:r>
            <w:r>
              <w:rPr>
                <w:rFonts w:ascii="Times New Roman" w:hAnsi="Times New Roman" w:eastAsia="Yu Mincho"/>
                <w:szCs w:val="20"/>
                <w:lang w:eastAsia="ja-JP"/>
              </w:rPr>
              <w:t>ujitsu</w:t>
            </w:r>
            <w:r>
              <w:rPr>
                <w:rFonts w:ascii="Times New Roman" w:hAnsi="Times New Roman" w:eastAsia="等线"/>
                <w:szCs w:val="20"/>
                <w:lang w:eastAsia="zh-CN"/>
              </w:rPr>
              <w:t xml:space="preserve"> Regarding hard maintenance for the spec, could you elaborate a bit more?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@MTK we are open to discuss with your suggestion.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15"/>
              <w:spacing w:before="120" w:after="0"/>
              <w:rPr>
                <w:rFonts w:ascii="Times New Roman" w:hAnsi="Times New Roman" w:eastAsia="等线"/>
                <w:szCs w:val="20"/>
                <w:lang w:eastAsia="zh-CN"/>
              </w:rPr>
            </w:pPr>
            <w:r>
              <w:rPr>
                <w:rFonts w:ascii="Times New Roman" w:hAnsi="Times New Roman" w:eastAsia="Yu Mincho"/>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It is correct that gNB needs to be active for transmitting SSB. However, cell DTX/DRX configuration is to define UE behavior. It does not mean that gNB needs to be inactive during non-active time of cell DTX/DRX.</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the proposal and are OK Mediatek suggestion. We suggest below revision. </w:t>
            </w:r>
          </w:p>
          <w:p>
            <w:pPr>
              <w:pStyle w:val="15"/>
              <w:spacing w:before="120" w:after="0"/>
              <w:ind w:left="720"/>
              <w:rPr>
                <w:rFonts w:ascii="Times New Roman" w:hAnsi="Times New Roman" w:eastAsia="等线"/>
                <w:szCs w:val="20"/>
                <w:lang w:eastAsia="zh-CN"/>
              </w:rPr>
            </w:pPr>
            <w:r>
              <w:rPr>
                <w:rFonts w:ascii="Times New Roman" w:hAnsi="Times New Roman" w:eastAsia="等线"/>
                <w:szCs w:val="20"/>
                <w:lang w:eastAsia="zh-CN"/>
              </w:rPr>
              <w:t xml:space="preserve">• OFDM symbols </w:t>
            </w:r>
            <w:r>
              <w:rPr>
                <w:rFonts w:ascii="Times New Roman" w:hAnsi="Times New Roman" w:eastAsia="等线"/>
                <w:color w:val="FF0000"/>
                <w:szCs w:val="20"/>
                <w:lang w:eastAsia="zh-CN"/>
              </w:rPr>
              <w:t>and slot(s)</w:t>
            </w:r>
            <w:r>
              <w:rPr>
                <w:rFonts w:ascii="Times New Roman" w:hAnsi="Times New Roman" w:eastAsia="等线"/>
                <w:szCs w:val="20"/>
                <w:lang w:eastAsia="zh-CN"/>
              </w:rPr>
              <w:t xml:space="preserve"> containing SSB are considered part of active period for cell DTX.</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I am sure if many of the companies that provided concerns for the proposal are not convinced of the proposal yet. I will not ask for GTW time on this yet.</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p>
        </w:tc>
        <w:tc>
          <w:tcPr>
            <w:tcW w:w="8221" w:type="dxa"/>
          </w:tcPr>
          <w:p>
            <w:pPr>
              <w:pStyle w:val="15"/>
              <w:spacing w:before="120" w:after="0"/>
              <w:rPr>
                <w:rFonts w:ascii="Times New Roman" w:hAnsi="Times New Roman" w:eastAsia="等线"/>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b/>
      </w: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15"/>
        <w:spacing w:after="0"/>
        <w:rPr>
          <w:rFonts w:ascii="Times New Roman" w:hAnsi="Times New Roman" w:eastAsia="等线"/>
          <w:szCs w:val="20"/>
          <w:lang w:eastAsia="zh-CN"/>
        </w:rPr>
      </w:pPr>
      <w:r>
        <w:rPr>
          <w:rFonts w:ascii="Times New Roman" w:hAnsi="Times New Roman" w:eastAsia="等线"/>
          <w:szCs w:val="20"/>
          <w:lang w:eastAsia="zh-CN"/>
        </w:rPr>
        <w:t>Moderator has provided further updates based on Mediatek in #1-2B.</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15"/>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15"/>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15"/>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top"/>
          </w:tcPr>
          <w:p>
            <w:pPr>
              <w:pStyle w:val="15"/>
              <w:spacing w:before="120" w:after="0"/>
              <w:rPr>
                <w:rFonts w:hint="default" w:ascii="Times New Roman" w:hAnsi="Times New Roman" w:eastAsia="等线" w:cs="Times New Roman"/>
                <w:szCs w:val="20"/>
                <w:lang w:val="en-US" w:eastAsia="ko-KR" w:bidi="ar-SA"/>
              </w:rPr>
            </w:pPr>
            <w:r>
              <w:rPr>
                <w:rFonts w:hint="default" w:ascii="Times New Roman" w:hAnsi="Times New Roman" w:eastAsia="等线"/>
                <w:szCs w:val="20"/>
                <w:lang w:val="en-US" w:eastAsia="zh-CN"/>
              </w:rPr>
              <w:t>CEWiT</w:t>
            </w:r>
          </w:p>
        </w:tc>
        <w:tc>
          <w:tcPr>
            <w:tcW w:w="8221" w:type="dxa"/>
            <w:vAlign w:val="top"/>
          </w:tcPr>
          <w:p>
            <w:pPr>
              <w:pStyle w:val="15"/>
              <w:spacing w:before="120" w:after="0"/>
              <w:rPr>
                <w:rFonts w:hint="default" w:ascii="Times New Roman" w:hAnsi="Times New Roman" w:eastAsia="等线" w:cs="Times New Roman"/>
                <w:szCs w:val="20"/>
                <w:lang w:val="en-US" w:eastAsia="ko-KR" w:bidi="ar-SA"/>
              </w:rPr>
            </w:pPr>
            <w:r>
              <w:rPr>
                <w:rFonts w:hint="default" w:ascii="Times New Roman" w:hAnsi="Times New Roman" w:eastAsia="等线"/>
                <w:szCs w:val="20"/>
                <w:lang w:val="en-US"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3"/>
        <w:ind w:left="720" w:hanging="720"/>
        <w:rPr>
          <w:rFonts w:eastAsia="SimSun"/>
          <w:lang w:val="en-US" w:eastAsia="zh-CN"/>
        </w:rPr>
      </w:pPr>
      <w:r>
        <w:rPr>
          <w:rFonts w:eastAsia="SimSun"/>
          <w:lang w:val="en-US" w:eastAsia="zh-CN"/>
        </w:rPr>
        <w:t>2.2 Signaling aspects of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pPr>
            <w:r>
              <w:t>The third one is whether multiple DTX/DRX can be configured, to our understanding, it is beneficial for gNB to adapt to different cell DTX/DRX pattern according to traffic.</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15"/>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15"/>
              <w:numPr>
                <w:ilvl w:val="0"/>
                <w:numId w:val="13"/>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15"/>
              <w:numPr>
                <w:ilvl w:val="0"/>
                <w:numId w:val="13"/>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15"/>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p>
        </w:tc>
        <w:tc>
          <w:tcPr>
            <w:tcW w:w="8045" w:type="dxa"/>
          </w:tcPr>
          <w:p>
            <w:pPr>
              <w:pStyle w:val="15"/>
              <w:spacing w:before="120" w:after="0"/>
              <w:rPr>
                <w:rFonts w:ascii="Times New Roman" w:hAnsi="Times New Roman" w:eastAsia="等线"/>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15"/>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15"/>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15"/>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15"/>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15"/>
              <w:numPr>
                <w:ilvl w:val="0"/>
                <w:numId w:val="14"/>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15"/>
              <w:numPr>
                <w:ilvl w:val="0"/>
                <w:numId w:val="14"/>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15"/>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15"/>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15"/>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15"/>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15"/>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15"/>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15"/>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15"/>
        <w:numPr>
          <w:ilvl w:val="0"/>
          <w:numId w:val="15"/>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15"/>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15"/>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15"/>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15"/>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15"/>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15"/>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15"/>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#2-2A (no change mark)</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15"/>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we are fine </w:t>
            </w:r>
            <w:r>
              <w:rPr>
                <w:rFonts w:hint="eastAsia" w:ascii="Times New Roman" w:hAnsi="Times New Roman" w:eastAsia="等线"/>
                <w:szCs w:val="20"/>
                <w:lang w:eastAsia="zh-CN"/>
              </w:rPr>
              <w:t>f</w:t>
            </w:r>
            <w:r>
              <w:rPr>
                <w:rFonts w:ascii="Times New Roman" w:hAnsi="Times New Roman" w:eastAsia="等线"/>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Regarding P2-3, at least UE specific DCI doesn’t have any reliability issue with the HARQ-ACK feedback, we are open to discuss the reliability issue for cell/group common DCI. We suggest the following update.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agree with vivo on flexibility/feasibility, there is no difference from other DCI, for example, wake up signal. </w:t>
            </w:r>
          </w:p>
          <w:p>
            <w:pPr>
              <w:pStyle w:val="15"/>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For P 2-2A, support in principle, we suggest to use the word ‘support’ instead of ‘study’ considering there are only two meetings left.</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b/>
                <w:bCs/>
                <w:szCs w:val="20"/>
                <w:u w:val="single"/>
                <w:lang w:eastAsia="zh-CN"/>
              </w:rPr>
              <w:t>On 2-3</w:t>
            </w:r>
            <w:r>
              <w:rPr>
                <w:rFonts w:ascii="Times New Roman" w:hAnsi="Times New Roman" w:eastAsia="等线"/>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15"/>
              <w:numPr>
                <w:ilvl w:val="0"/>
                <w:numId w:val="14"/>
              </w:numPr>
              <w:spacing w:before="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15"/>
              <w:numPr>
                <w:ilvl w:val="0"/>
                <w:numId w:val="14"/>
              </w:numPr>
              <w:spacing w:before="0" w:after="0"/>
              <w:rPr>
                <w:rFonts w:ascii="Times New Roman" w:hAnsi="Times New Roman" w:eastAsia="等线"/>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P2-3 is a giant step from P2-1. From our perspective, RAN1 should discuss based on </w:t>
            </w:r>
            <w:r>
              <w:rPr>
                <w:rFonts w:ascii="Times New Roman" w:hAnsi="Times New Roman" w:eastAsia="等线"/>
                <w:szCs w:val="20"/>
                <w:highlight w:val="cyan"/>
                <w:lang w:eastAsia="zh-CN"/>
              </w:rPr>
              <w:t>RAN2 agreements</w:t>
            </w:r>
            <w:r>
              <w:rPr>
                <w:rFonts w:ascii="Times New Roman" w:hAnsi="Times New Roman" w:eastAsia="等线"/>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at this stage, we think some proposal related to P2-1 is sufficient. In particular, the following </w:t>
            </w:r>
            <w:r>
              <w:rPr>
                <w:rFonts w:ascii="Times New Roman" w:hAnsi="Times New Roman" w:eastAsia="等线"/>
                <w:color w:val="0070C0"/>
                <w:szCs w:val="20"/>
                <w:lang w:eastAsia="zh-CN"/>
              </w:rPr>
              <w:t xml:space="preserve">update </w:t>
            </w:r>
            <w:r>
              <w:rPr>
                <w:rFonts w:ascii="Times New Roman" w:hAnsi="Times New Roman" w:eastAsia="等线"/>
                <w:szCs w:val="20"/>
                <w:lang w:eastAsia="zh-CN"/>
              </w:rPr>
              <w:t>as our comment to P2-1 should be pursued:</w:t>
            </w:r>
          </w:p>
          <w:p>
            <w:pPr>
              <w:pStyle w:val="15"/>
              <w:spacing w:before="120" w:after="0"/>
              <w:rPr>
                <w:rFonts w:ascii="Times New Roman" w:hAnsi="Times New Roman" w:eastAsia="等线"/>
                <w:b/>
                <w:bCs/>
                <w:szCs w:val="20"/>
                <w:lang w:eastAsia="zh-CN"/>
              </w:rPr>
            </w:pPr>
            <w:r>
              <w:rPr>
                <w:rFonts w:ascii="Times New Roman" w:hAnsi="Times New Roman" w:eastAsia="等线"/>
                <w:b/>
                <w:bCs/>
                <w:szCs w:val="20"/>
                <w:lang w:eastAsia="zh-CN"/>
              </w:rPr>
              <w:t>Proposal #2-1</w:t>
            </w:r>
          </w:p>
          <w:p>
            <w:pPr>
              <w:pStyle w:val="15"/>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15"/>
              <w:spacing w:before="0" w:after="0"/>
              <w:rPr>
                <w:rFonts w:ascii="Times New Roman" w:hAnsi="Times New Roman" w:eastAsiaTheme="minorEastAsia"/>
                <w:szCs w:val="20"/>
                <w:lang w:eastAsia="ko-KR"/>
              </w:rPr>
            </w:pPr>
          </w:p>
          <w:p>
            <w:pPr>
              <w:pStyle w:val="15"/>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15"/>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15"/>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15"/>
              <w:spacing w:before="0" w:after="0"/>
              <w:rPr>
                <w:rFonts w:ascii="Times New Roman" w:hAnsi="Times New Roman" w:eastAsiaTheme="minorEastAsia"/>
                <w:szCs w:val="20"/>
                <w:lang w:eastAsia="ko-KR"/>
              </w:rPr>
            </w:pPr>
          </w:p>
          <w:p>
            <w:pPr>
              <w:pStyle w:val="15"/>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15"/>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#2-2A (no change mark)</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0" w:after="0"/>
              <w:rPr>
                <w:rFonts w:ascii="Times New Roman" w:hAnsi="Times New Roman" w:eastAsiaTheme="minorEastAsia"/>
                <w:szCs w:val="20"/>
                <w:lang w:eastAsia="ko-KR"/>
              </w:rPr>
            </w:pP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outlineLvl w:val="5"/>
              <w:rPr>
                <w:rFonts w:ascii="Arial" w:hAnsi="Arial" w:cs="Arial"/>
              </w:rPr>
            </w:pPr>
            <w:r>
              <w:rPr>
                <w:rFonts w:ascii="Arial" w:hAnsi="Arial" w:cs="Arial"/>
              </w:rPr>
              <w:t>Proposal #2-3-E///</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#2-2A (no change mark)-E///</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120" w:after="0"/>
              <w:rPr>
                <w:rFonts w:ascii="Times New Roman" w:hAnsi="Times New Roman" w:eastAsia="等线"/>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 has updated the proposal so that the activation and deactivation is for a ‘single configuration’. Qualcomm’s suggested text can be confusing as it can be read as for ‘single cell’ configuration.</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I’ve also copied Proposal #2-1 with edits based on Qualcomm’s comments. However, moderator thinks if RAN1 can directly go with Proposal #2-3, then there is no need for Proposal #2-1.</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Updated Proposal #2-2A and Proposal #2-3 based on comments.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p>
        </w:tc>
        <w:tc>
          <w:tcPr>
            <w:tcW w:w="8221" w:type="dxa"/>
          </w:tcPr>
          <w:p>
            <w:pPr>
              <w:pStyle w:val="15"/>
              <w:spacing w:before="120" w:after="0"/>
              <w:rPr>
                <w:rFonts w:ascii="Times New Roman" w:hAnsi="Times New Roman" w:eastAsia="等线"/>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15"/>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15"/>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15"/>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15"/>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15"/>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don’t support Proposal #2-3D at this stage. The right step to conclude the feasibility should be:</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1: Check RAN2 LS to see the main motivation to introduce L1 signaling for cell DTX and/or DRX activation/deactivation</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2: Determination of L1 signaling design at least the signaling type to serve the above motivation</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3: Check whether reliability issue exists for the determined L1 signaling and how to deal with it</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4: Conclude whether it is feasible or not considering the study of reliability in Step 3 and potential benefits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hint="eastAsia"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Proposal #2-3D</w:t>
            </w:r>
          </w:p>
          <w:p>
            <w:pPr>
              <w:pStyle w:val="15"/>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a </w:t>
            </w:r>
            <w:r>
              <w:rPr>
                <w:rFonts w:hint="eastAsia" w:ascii="Times New Roman" w:hAnsi="Times New Roman" w:eastAsia="等线"/>
                <w:szCs w:val="20"/>
                <w:lang w:eastAsia="zh-CN"/>
              </w:rPr>
              <w:t>relatively</w:t>
            </w:r>
            <w:r>
              <w:rPr>
                <w:rFonts w:ascii="Times New Roman" w:hAnsi="Times New Roman" w:eastAsia="等线"/>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is not activated yet, and always monitor the deactivation signaling once the cell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w:t>
            </w:r>
            <w:r>
              <w:rPr>
                <w:rFonts w:hint="eastAsia" w:ascii="Times New Roman" w:hAnsi="Times New Roman" w:eastAsia="等线"/>
                <w:szCs w:val="20"/>
                <w:lang w:eastAsia="zh-CN"/>
              </w:rPr>
              <w:t>activated</w:t>
            </w:r>
            <w:r>
              <w:rPr>
                <w:rFonts w:ascii="Times New Roman" w:hAnsi="Times New Roman" w:eastAsia="等线"/>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等线"/>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等线"/>
                <w:szCs w:val="20"/>
                <w:lang w:eastAsia="zh-CN"/>
              </w:rPr>
              <w:t xml:space="preserve"> deactivation.</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Proposal #2-1B</w:t>
            </w:r>
          </w:p>
          <w:p>
            <w:pPr>
              <w:pStyle w:val="15"/>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15"/>
              <w:spacing w:before="120" w:after="0"/>
              <w:rPr>
                <w:rFonts w:hint="eastAsia"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hint="default" w:ascii="Times New Roman" w:hAnsi="Times New Roman" w:eastAsia="等线"/>
                <w:i w:val="0"/>
                <w:iCs w:val="0"/>
                <w:szCs w:val="20"/>
                <w:lang w:val="en-US" w:eastAsia="zh-CN"/>
              </w:rPr>
            </w:pPr>
            <w:r>
              <w:rPr>
                <w:rFonts w:hint="default" w:ascii="Times New Roman" w:hAnsi="Times New Roman" w:eastAsia="等线"/>
                <w:i w:val="0"/>
                <w:iCs w:val="0"/>
                <w:szCs w:val="20"/>
                <w:lang w:val="en-US" w:eastAsia="zh-CN"/>
              </w:rPr>
              <w:t>CEWiT</w:t>
            </w:r>
          </w:p>
        </w:tc>
        <w:tc>
          <w:tcPr>
            <w:tcW w:w="8221" w:type="dxa"/>
          </w:tcPr>
          <w:p>
            <w:pPr>
              <w:pStyle w:val="15"/>
              <w:spacing w:before="120" w:after="0"/>
              <w:rPr>
                <w:rFonts w:hint="default" w:ascii="Times New Roman" w:hAnsi="Times New Roman" w:eastAsia="Malgun Gothic"/>
                <w:i w:val="0"/>
                <w:iCs w:val="0"/>
                <w:szCs w:val="20"/>
                <w:lang w:val="en-US" w:eastAsia="ko-KR"/>
              </w:rPr>
            </w:pPr>
            <w:r>
              <w:rPr>
                <w:rFonts w:hint="default" w:ascii="Times New Roman" w:hAnsi="Times New Roman" w:eastAsia="Malgun Gothic"/>
                <w:i w:val="0"/>
                <w:iCs w:val="0"/>
                <w:szCs w:val="20"/>
                <w:lang w:val="en-US" w:eastAsia="ko-KR"/>
              </w:rPr>
              <w:t>We are fine with the proposals</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SimSun"/>
          <w:lang w:val="en-US" w:eastAsia="zh-CN"/>
        </w:rPr>
      </w:pPr>
      <w:r>
        <w:rPr>
          <w:rFonts w:eastAsia="SimSun"/>
          <w:lang w:val="en-US" w:eastAsia="zh-CN"/>
        </w:rPr>
        <w:t>2.3 Interaction of cell DTX/DRX with UE 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15"/>
        <w:spacing w:after="0"/>
        <w:rPr>
          <w:rFonts w:ascii="Times New Roman" w:hAnsi="Times New Roman" w:eastAsiaTheme="minorEastAsia"/>
          <w:szCs w:val="20"/>
          <w:lang w:eastAsia="ko-KR"/>
        </w:rPr>
      </w:pPr>
    </w:p>
    <w:p>
      <w:pPr>
        <w:rPr>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15"/>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15"/>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1st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[ON HOLD-Next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15"/>
        <w:spacing w:after="0"/>
        <w:rPr>
          <w:rFonts w:ascii="Times New Roman" w:hAnsi="Times New Roman"/>
          <w:szCs w:val="20"/>
          <w:lang w:eastAsia="zh-CN"/>
        </w:rPr>
      </w:pPr>
    </w:p>
    <w:p>
      <w:pPr>
        <w:pStyle w:val="3"/>
        <w:rPr>
          <w:rFonts w:eastAsia="SimSun"/>
          <w:lang w:val="en-US" w:eastAsia="zh-CN"/>
        </w:rPr>
      </w:pPr>
      <w:r>
        <w:rPr>
          <w:rFonts w:eastAsia="SimSun"/>
          <w:lang w:val="en-US" w:eastAsia="zh-CN"/>
        </w:rPr>
        <w:t>2.4 Signals/Channels impacted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15"/>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15"/>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after="0" w:line="252" w:lineRule="auto"/>
        <w:rPr>
          <w:rFonts w:ascii="Times New Roman" w:hAnsi="Times New Roman" w:eastAsiaTheme="minorEastAsia"/>
          <w:szCs w:val="20"/>
          <w:lang w:eastAsia="ko-KR"/>
        </w:rPr>
      </w:pPr>
      <w: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15"/>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15"/>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15"/>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15"/>
              <w:numPr>
                <w:ilvl w:val="0"/>
                <w:numId w:val="17"/>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15"/>
              <w:numPr>
                <w:ilvl w:val="0"/>
                <w:numId w:val="17"/>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15"/>
              <w:numPr>
                <w:ilvl w:val="0"/>
                <w:numId w:val="18"/>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15"/>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15"/>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15"/>
              <w:numPr>
                <w:ilvl w:val="0"/>
                <w:numId w:val="2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15"/>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15"/>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15"/>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15"/>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15"/>
              <w:numPr>
                <w:ilvl w:val="0"/>
                <w:numId w:val="21"/>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15"/>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15"/>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15"/>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15"/>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15"/>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15"/>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15"/>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15"/>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15"/>
              <w:spacing w:before="120" w:after="0"/>
              <w:rPr>
                <w:lang w:eastAsia="ja-JP"/>
              </w:rPr>
            </w:pPr>
            <w:r>
              <w:rPr>
                <w:lang w:eastAsia="ja-JP"/>
              </w:rPr>
              <w:t>We think ‘PDCCH in Type-3 CSS’ is not a spec wording and suggest to use ‘Type-3 PDCCH in CSS’ instead.</w:t>
            </w:r>
          </w:p>
          <w:p>
            <w:pPr>
              <w:pStyle w:val="15"/>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15"/>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15"/>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15"/>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15"/>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15"/>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15"/>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15"/>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15"/>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15"/>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15"/>
              <w:spacing w:before="120" w:after="0"/>
              <w:rPr>
                <w:rFonts w:ascii="Times New Roman" w:hAnsi="Times New Roman" w:eastAsia="Malgun Gothic"/>
                <w:szCs w:val="20"/>
                <w:lang w:eastAsia="ko-KR"/>
              </w:rPr>
            </w:pP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15"/>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15"/>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15"/>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15"/>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15"/>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15"/>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15"/>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15"/>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15"/>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15"/>
              <w:numPr>
                <w:ilvl w:val="0"/>
                <w:numId w:val="22"/>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6"/>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6"/>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15"/>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15"/>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15"/>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15"/>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15"/>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15"/>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15"/>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15"/>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15"/>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15"/>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15"/>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15"/>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15"/>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15"/>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15"/>
              <w:numPr>
                <w:ilvl w:val="1"/>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15"/>
              <w:numPr>
                <w:ilvl w:val="1"/>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15"/>
              <w:numPr>
                <w:ilvl w:val="1"/>
                <w:numId w:val="27"/>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15"/>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15"/>
              <w:numPr>
                <w:ilvl w:val="1"/>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numPr>
                <w:ilvl w:val="0"/>
                <w:numId w:val="23"/>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3"/>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15"/>
              <w:numPr>
                <w:ilvl w:val="0"/>
                <w:numId w:val="23"/>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p>
        </w:tc>
        <w:tc>
          <w:tcPr>
            <w:tcW w:w="8095" w:type="dxa"/>
          </w:tcPr>
          <w:p>
            <w:pPr>
              <w:pStyle w:val="15"/>
              <w:spacing w:before="120" w:after="0"/>
              <w:rPr>
                <w:rFonts w:ascii="Times New Roman" w:hAnsi="Times New Roman" w:eastAsia="Yu Mincho"/>
                <w:szCs w:val="20"/>
                <w:lang w:eastAsia="ja-JP"/>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15"/>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Wed GTW Session ==</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15"/>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15"/>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15"/>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15"/>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tabs>
                <w:tab w:val="left" w:pos="0"/>
              </w:tabs>
              <w:overflowPunct w:val="0"/>
              <w:spacing w:before="120" w:after="0" w:line="252" w:lineRule="auto"/>
              <w:ind w:left="720"/>
              <w:rPr>
                <w:rFonts w:ascii="Times New Roman" w:hAnsi="Times New Roman" w:eastAsia="Malgun Gothic"/>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numPr>
                <w:ilvl w:val="0"/>
                <w:numId w:val="23"/>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15"/>
              <w:numPr>
                <w:ilvl w:val="0"/>
                <w:numId w:val="23"/>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15"/>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SimSun"/>
                <w:bCs w:val="0"/>
                <w:sz w:val="20"/>
                <w:lang w:eastAsia="zh-CN"/>
              </w:rPr>
            </w:pPr>
            <w:r>
              <w:rPr>
                <w:rFonts w:hint="eastAsia" w:eastAsia="SimSun"/>
                <w:bCs w:val="0"/>
                <w:sz w:val="20"/>
                <w:lang w:eastAsia="zh-CN"/>
              </w:rPr>
              <w:t xml:space="preserve">For </w:t>
            </w:r>
            <w:r>
              <w:rPr>
                <w:rFonts w:hint="eastAsia" w:eastAsia="SimSun"/>
                <w:bCs w:val="0"/>
                <w:sz w:val="20"/>
                <w:lang w:eastAsia="ja-JP"/>
              </w:rPr>
              <w:t>Proposal #4-2E</w:t>
            </w:r>
            <w:r>
              <w:rPr>
                <w:rFonts w:hint="eastAsia" w:eastAsia="SimSun"/>
                <w:bCs w:val="0"/>
                <w:sz w:val="20"/>
                <w:lang w:eastAsia="zh-CN"/>
              </w:rPr>
              <w:t xml:space="preserve">, </w:t>
            </w:r>
          </w:p>
          <w:p>
            <w:pPr>
              <w:pStyle w:val="7"/>
              <w:spacing w:after="120" w:line="240" w:lineRule="auto"/>
              <w:jc w:val="both"/>
              <w:outlineLvl w:val="5"/>
              <w:rPr>
                <w:rFonts w:eastAsia="SimSun"/>
                <w:bCs w:val="0"/>
                <w:sz w:val="20"/>
                <w:lang w:eastAsia="zh-CN"/>
              </w:rPr>
            </w:pPr>
            <w:r>
              <w:rPr>
                <w:rFonts w:hint="eastAsia" w:eastAsia="SimSun"/>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SimSun"/>
                <w:bCs w:val="0"/>
                <w:sz w:val="20"/>
                <w:lang w:eastAsia="zh-CN"/>
              </w:rPr>
            </w:pPr>
            <w:r>
              <w:rPr>
                <w:rFonts w:hint="eastAsia" w:eastAsia="SimSun"/>
                <w:bCs w:val="0"/>
                <w:sz w:val="20"/>
                <w:lang w:eastAsia="zh-CN"/>
              </w:rPr>
              <w:t xml:space="preserve">For Proposal #4-3A, </w:t>
            </w:r>
          </w:p>
          <w:p>
            <w:pPr>
              <w:pStyle w:val="7"/>
              <w:spacing w:after="120" w:line="240" w:lineRule="auto"/>
              <w:jc w:val="both"/>
              <w:outlineLvl w:val="5"/>
              <w:rPr>
                <w:lang w:eastAsia="zh-CN"/>
              </w:rPr>
            </w:pPr>
            <w:r>
              <w:rPr>
                <w:rFonts w:hint="eastAsia" w:eastAsia="SimSun"/>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SimSun"/>
                <w:bCs w:val="0"/>
                <w:sz w:val="20"/>
                <w:lang w:eastAsia="zh-CN"/>
              </w:rPr>
              <w:t>Moreover, in the 3</w:t>
            </w:r>
            <w:r>
              <w:rPr>
                <w:rFonts w:hint="eastAsia" w:eastAsia="SimSun"/>
                <w:bCs w:val="0"/>
                <w:sz w:val="20"/>
                <w:vertAlign w:val="superscript"/>
                <w:lang w:eastAsia="zh-CN"/>
              </w:rPr>
              <w:t>rd</w:t>
            </w:r>
            <w:r>
              <w:rPr>
                <w:rFonts w:hint="eastAsia" w:eastAsia="SimSun"/>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SimSun"/>
                <w:bCs w:val="0"/>
                <w:sz w:val="20"/>
                <w:lang w:eastAsia="zh-CN"/>
              </w:rPr>
            </w:pPr>
            <w:r>
              <w:rPr>
                <w:rFonts w:eastAsia="SimSun"/>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SimSun"/>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P# 4-2 E looks fine. Ok to remove HARQ-ACK for DG PDSCH from the FFS</w:t>
            </w:r>
          </w:p>
          <w:p>
            <w:pPr>
              <w:pStyle w:val="15"/>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15"/>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15"/>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15"/>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15"/>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15"/>
              <w:tabs>
                <w:tab w:val="left" w:pos="0"/>
              </w:tabs>
              <w:overflowPunct w:val="0"/>
              <w:spacing w:before="120" w:after="0" w:line="252"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15"/>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15"/>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9"/>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9"/>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15"/>
              <w:spacing w:before="120" w:after="0"/>
              <w:rPr>
                <w:rFonts w:ascii="Times New Roman" w:hAnsi="Times New Roman" w:eastAsiaTheme="minorEastAsia"/>
                <w:szCs w:val="20"/>
                <w:lang w:eastAsia="ko-KR"/>
              </w:rPr>
            </w:pP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15"/>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15"/>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15"/>
              <w:numPr>
                <w:ilvl w:val="0"/>
                <w:numId w:val="3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15"/>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1"/>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1"/>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15"/>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15"/>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numPr>
          <w:ilvl w:val="0"/>
          <w:numId w:val="23"/>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15"/>
        <w:numPr>
          <w:ilvl w:val="0"/>
          <w:numId w:val="23"/>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SimSun"/>
          <w:sz w:val="20"/>
          <w:szCs w:val="20"/>
          <w:lang w:eastAsia="zh-CN"/>
        </w:rPr>
      </w:pPr>
      <w:r>
        <w:rPr>
          <w:rFonts w:eastAsia="Malgun Gothic"/>
          <w:sz w:val="20"/>
          <w:szCs w:val="20"/>
        </w:rPr>
        <w:t>FFS: handling of retransmission cases, contention resolution timer running cases</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3"/>
        </w:numPr>
        <w:rPr>
          <w:rFonts w:eastAsia="SimSun"/>
          <w:sz w:val="20"/>
          <w:szCs w:val="20"/>
          <w:lang w:eastAsia="zh-CN"/>
        </w:rPr>
      </w:pPr>
      <w:r>
        <w:rPr>
          <w:rFonts w:eastAsia="SimSun"/>
          <w:sz w:val="20"/>
          <w:szCs w:val="20"/>
          <w:lang w:eastAsia="zh-CN"/>
        </w:rPr>
        <w:t>HARQ feedback for DG PDSCH in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3"/>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15"/>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15"/>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15"/>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15"/>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15"/>
              <w:numPr>
                <w:ilvl w:val="0"/>
                <w:numId w:val="23"/>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15"/>
              <w:numPr>
                <w:ilvl w:val="0"/>
                <w:numId w:val="23"/>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15"/>
              <w:numPr>
                <w:ilvl w:val="0"/>
                <w:numId w:val="23"/>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15"/>
              <w:numPr>
                <w:ilvl w:val="0"/>
                <w:numId w:val="23"/>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15"/>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等线"/>
                <w:szCs w:val="20"/>
                <w:lang w:eastAsia="zh-CN"/>
              </w:rPr>
              <w:t xml:space="preserve">on this </w:t>
            </w:r>
          </w:p>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Fine with P#4-2F,</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For P#4-3B, there should be a typo for DL.</w:t>
            </w:r>
          </w:p>
          <w:p>
            <w:pPr>
              <w:pStyle w:val="7"/>
              <w:spacing w:after="120" w:line="240" w:lineRule="auto"/>
              <w:jc w:val="both"/>
              <w:outlineLvl w:val="5"/>
              <w:rPr>
                <w:rFonts w:ascii="Arial" w:hAnsi="Arial" w:cs="Arial"/>
              </w:rPr>
            </w:pPr>
            <w:r>
              <w:rPr>
                <w:rFonts w:ascii="Arial" w:hAnsi="Arial" w:cs="Arial"/>
              </w:rPr>
              <w:t xml:space="preserve">Proposal #4-3B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15"/>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15"/>
              <w:numPr>
                <w:ilvl w:val="0"/>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15"/>
              <w:numPr>
                <w:ilvl w:val="0"/>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an example below maybe helpful for clarification.</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15"/>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4-3B/C : as commented earlier, this is not needed at this point.</w:t>
            </w:r>
          </w:p>
        </w:tc>
      </w:tr>
    </w:tbl>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SimSun"/>
          <w:sz w:val="20"/>
          <w:szCs w:val="20"/>
          <w:lang w:eastAsia="zh-CN"/>
        </w:rPr>
      </w:pPr>
      <w:r>
        <w:rPr>
          <w:rFonts w:eastAsia="Malgun Gothic"/>
          <w:sz w:val="20"/>
          <w:szCs w:val="20"/>
        </w:rPr>
        <w:t>FFS: handling of retransmission cases, contention resolution timer running cases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15"/>
              <w:spacing w:before="120" w:after="0"/>
              <w:rPr>
                <w:rFonts w:ascii="Times New Roman" w:hAnsi="Times New Roman" w:eastAsia="Yu Mincho"/>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outlineLvl w:val="5"/>
              <w:rPr>
                <w:bCs w:val="0"/>
                <w:sz w:val="20"/>
                <w:lang w:eastAsia="zh-CN"/>
              </w:rPr>
            </w:pPr>
            <w:r>
              <w:rPr>
                <w:rFonts w:hint="eastAsia"/>
                <w:bCs w:val="0"/>
                <w:sz w:val="20"/>
                <w:lang w:eastAsia="zh-CN"/>
              </w:rPr>
              <w:t>For proposal #4-4, following update is suggested</w:t>
            </w:r>
          </w:p>
          <w:p>
            <w:pPr>
              <w:pStyle w:val="7"/>
              <w:spacing w:after="120" w:line="240" w:lineRule="auto"/>
              <w:jc w:val="both"/>
              <w:outlineLvl w:val="5"/>
              <w:rPr>
                <w:rFonts w:eastAsia="SimSun"/>
                <w:sz w:val="20"/>
                <w:lang w:eastAsia="zh-CN"/>
              </w:rPr>
            </w:pPr>
            <w:r>
              <w:rPr>
                <w:rFonts w:ascii="Arial" w:hAnsi="Arial" w:cs="Arial"/>
              </w:rPr>
              <w:t>Proposal #4-4</w:t>
            </w:r>
          </w:p>
          <w:p>
            <w:pPr>
              <w:pStyle w:val="78"/>
              <w:numPr>
                <w:ilvl w:val="0"/>
                <w:numId w:val="33"/>
              </w:numPr>
              <w:spacing w:before="120"/>
              <w:jc w:val="both"/>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spacing w:before="120"/>
              <w:jc w:val="both"/>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spacing w:before="120"/>
              <w:jc w:val="both"/>
              <w:rPr>
                <w:rFonts w:eastAsia="SimSun"/>
                <w:sz w:val="20"/>
                <w:szCs w:val="20"/>
                <w:lang w:eastAsia="zh-CN"/>
              </w:rPr>
            </w:pPr>
            <w:r>
              <w:rPr>
                <w:rFonts w:eastAsia="Malgun Gothic"/>
                <w:sz w:val="20"/>
                <w:szCs w:val="20"/>
              </w:rPr>
              <w:t>FFS: handling of retransmission cases, contention resolution timer running cases</w:t>
            </w:r>
            <w:r>
              <w:rPr>
                <w:rFonts w:hint="eastAsia" w:eastAsia="SimSun"/>
                <w:sz w:val="20"/>
                <w:szCs w:val="20"/>
                <w:lang w:eastAsia="zh-CN"/>
              </w:rPr>
              <w:t>,</w:t>
            </w:r>
            <w:r>
              <w:rPr>
                <w:rFonts w:hint="eastAsia" w:eastAsia="SimSun"/>
                <w:color w:val="00B0F0"/>
                <w:sz w:val="20"/>
                <w:szCs w:val="20"/>
                <w:lang w:eastAsia="zh-CN"/>
              </w:rPr>
              <w:t xml:space="preserve"> or other exceptional cases</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#4-5</w:t>
            </w:r>
          </w:p>
          <w:p>
            <w:pPr>
              <w:pStyle w:val="78"/>
              <w:numPr>
                <w:ilvl w:val="0"/>
                <w:numId w:val="33"/>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spacing w:before="120"/>
              <w:jc w:val="both"/>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spacing w:before="120"/>
              <w:jc w:val="both"/>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3"/>
              </w:numPr>
              <w:spacing w:before="120"/>
              <w:jc w:val="both"/>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outlineLvl w:val="5"/>
              <w:rPr>
                <w:rFonts w:ascii="Arial" w:hAnsi="Arial" w:cs="Arial"/>
              </w:rPr>
            </w:pPr>
            <w:r>
              <w:rPr>
                <w:rFonts w:ascii="Arial" w:hAnsi="Arial" w:cs="Arial"/>
              </w:rPr>
              <w:t>Proposal #4-7</w:t>
            </w:r>
          </w:p>
          <w:p>
            <w:pPr>
              <w:pStyle w:val="78"/>
              <w:numPr>
                <w:ilvl w:val="0"/>
                <w:numId w:val="33"/>
              </w:numPr>
              <w:spacing w:before="120"/>
              <w:jc w:val="both"/>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3"/>
              </w:numPr>
              <w:spacing w:before="120"/>
              <w:jc w:val="both"/>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hint="eastAsia" w:eastAsia="SimSun"/>
                <w:color w:val="00B0F0"/>
                <w:sz w:val="20"/>
                <w:szCs w:val="20"/>
                <w:lang w:eastAsia="zh-CN"/>
              </w:rPr>
              <w:t>s</w:t>
            </w:r>
            <w:r>
              <w:rPr>
                <w:rFonts w:eastAsia="SimSun"/>
                <w:sz w:val="20"/>
                <w:szCs w:val="20"/>
                <w:lang w:eastAsia="zh-CN"/>
              </w:rPr>
              <w:t xml:space="preserve"> unaffected by active and non-active periods of cell DRX.</w:t>
            </w:r>
          </w:p>
          <w:p>
            <w:pPr>
              <w:pStyle w:val="15"/>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Added updated based on comments.</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@Apple: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As for the bracket, not sure what bracket you are referring to. Can you clarify?</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@ZTE:</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15"/>
              <w:spacing w:before="120" w:after="0"/>
              <w:rPr>
                <w:rFonts w:ascii="Times New Roman" w:hAnsi="Times New Roman" w:eastAsia="等线"/>
                <w:szCs w:val="20"/>
                <w:lang w:eastAsia="zh-CN"/>
              </w:rPr>
            </w:pP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Proposal #4-5, </w:t>
            </w:r>
          </w:p>
          <w:p>
            <w:pPr>
              <w:pStyle w:val="15"/>
              <w:numPr>
                <w:ilvl w:val="0"/>
                <w:numId w:val="34"/>
              </w:numPr>
              <w:spacing w:before="120" w:after="0"/>
              <w:rPr>
                <w:rFonts w:ascii="Times New Roman" w:hAnsi="Times New Roman" w:eastAsia="等线"/>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等线"/>
                <w:szCs w:val="20"/>
                <w:lang w:eastAsia="zh-CN"/>
              </w:rPr>
              <w:t>”</w:t>
            </w:r>
            <w:r>
              <w:rPr>
                <w:rFonts w:eastAsia="等线"/>
                <w:szCs w:val="20"/>
                <w:lang w:eastAsia="zh-CN"/>
              </w:rPr>
              <w:t>. Could FL or proponents clarify it?</w:t>
            </w:r>
          </w:p>
          <w:p>
            <w:pPr>
              <w:pStyle w:val="15"/>
              <w:numPr>
                <w:ilvl w:val="0"/>
                <w:numId w:val="34"/>
              </w:numPr>
              <w:spacing w:before="120" w:after="0"/>
              <w:rPr>
                <w:rFonts w:ascii="Times New Roman" w:hAnsi="Times New Roman" w:eastAsia="等线"/>
                <w:szCs w:val="20"/>
                <w:lang w:eastAsia="zh-CN"/>
              </w:rPr>
            </w:pPr>
            <w:r>
              <w:rPr>
                <w:rFonts w:ascii="Times New Roman" w:hAnsi="Times New Roman" w:eastAsia="等线"/>
                <w:szCs w:val="20"/>
                <w:lang w:eastAsia="zh-CN"/>
              </w:rPr>
              <w:t>We suggest adding one more FFS</w:t>
            </w:r>
          </w:p>
          <w:p>
            <w:pPr>
              <w:pStyle w:val="15"/>
              <w:numPr>
                <w:ilvl w:val="1"/>
                <w:numId w:val="34"/>
              </w:numPr>
              <w:spacing w:before="120" w:after="0"/>
              <w:rPr>
                <w:rFonts w:ascii="Times New Roman" w:hAnsi="Times New Roman" w:eastAsia="等线"/>
                <w:szCs w:val="20"/>
                <w:lang w:eastAsia="zh-CN"/>
              </w:rPr>
            </w:pPr>
            <w:r>
              <w:rPr>
                <w:rFonts w:ascii="Times New Roman" w:hAnsi="Times New Roman" w:eastAsia="等线"/>
                <w:szCs w:val="20"/>
                <w:lang w:eastAsia="zh-CN"/>
              </w:rPr>
              <w:t>FFS: whether/how cell DTX configurations of neighbor cells are indicated to the UE for RRM measurement</w:t>
            </w:r>
          </w:p>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outlineLvl w:val="5"/>
              <w:rPr>
                <w:rFonts w:ascii="Arial" w:hAnsi="Arial" w:cs="Arial"/>
              </w:rPr>
            </w:pPr>
            <w:r>
              <w:rPr>
                <w:rFonts w:ascii="Arial" w:hAnsi="Arial" w:cs="Arial"/>
              </w:rPr>
              <w:t>Proposal #4-4A –update (in red)</w:t>
            </w:r>
          </w:p>
          <w:p>
            <w:pPr>
              <w:pStyle w:val="78"/>
              <w:numPr>
                <w:ilvl w:val="0"/>
                <w:numId w:val="33"/>
              </w:numPr>
              <w:spacing w:before="120"/>
              <w:jc w:val="both"/>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spacing w:before="120"/>
              <w:jc w:val="both"/>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spacing w:before="120"/>
              <w:jc w:val="both"/>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SimSun"/>
                <w:color w:val="C00000"/>
                <w:sz w:val="20"/>
                <w:szCs w:val="20"/>
                <w:u w:val="single"/>
                <w:lang w:eastAsia="zh-CN"/>
              </w:rPr>
              <w:t>or other exceptional cases</w:t>
            </w:r>
            <w:r>
              <w:rPr>
                <w:rFonts w:eastAsia="SimSun"/>
                <w:color w:val="C00000"/>
                <w:sz w:val="20"/>
                <w:szCs w:val="20"/>
                <w:u w:val="single"/>
                <w:lang w:eastAsia="zh-CN"/>
              </w:rPr>
              <w:t xml:space="preserve"> </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15"/>
              <w:spacing w:before="120" w:after="0"/>
              <w:rPr>
                <w:rFonts w:ascii="Times New Roman" w:hAnsi="Times New Roman" w:eastAsia="等线"/>
                <w:szCs w:val="20"/>
                <w:lang w:eastAsia="zh-CN"/>
              </w:rPr>
            </w:pPr>
            <w:r>
              <w:rPr>
                <w:rFonts w:eastAsia="等线"/>
                <w:lang w:eastAsia="zh-CN"/>
              </w:rPr>
              <w:t>4-7 : OK</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15"/>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15"/>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3"/>
        </w:numPr>
        <w:rPr>
          <w:rFonts w:eastAsia="SimSun"/>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GTW session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15"/>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15"/>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15"/>
        <w:spacing w:after="0"/>
        <w:rPr>
          <w:rFonts w:ascii="Times New Roman" w:hAnsi="Times New Roman" w:eastAsia="等线"/>
          <w:szCs w:val="20"/>
          <w:lang w:eastAsia="zh-CN"/>
        </w:rPr>
      </w:pPr>
    </w:p>
    <w:p>
      <w:pPr>
        <w:pStyle w:val="15"/>
        <w:spacing w:after="0"/>
        <w:rPr>
          <w:rFonts w:ascii="Times New Roman" w:hAnsi="Times New Roman" w:eastAsia="等线"/>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15"/>
              <w:spacing w:before="120"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pPr>
              <w:pStyle w:val="15"/>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1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15"/>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15"/>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1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pStyle w:val="15"/>
              <w:spacing w:before="120" w:after="0"/>
              <w:rPr>
                <w:rFonts w:hint="default" w:ascii="Times New Roman" w:hAnsi="Times New Roman"/>
                <w:szCs w:val="20"/>
                <w:lang w:val="en-US" w:eastAsia="zh-CN"/>
              </w:rPr>
            </w:pPr>
            <w:r>
              <w:rPr>
                <w:rFonts w:hint="default" w:ascii="Times New Roman" w:hAnsi="Times New Roman"/>
                <w:szCs w:val="20"/>
                <w:lang w:val="en-US" w:eastAsia="zh-CN"/>
              </w:rPr>
              <w:t>CEWiT</w:t>
            </w:r>
          </w:p>
        </w:tc>
        <w:tc>
          <w:tcPr>
            <w:tcW w:w="7915" w:type="dxa"/>
          </w:tcPr>
          <w:p>
            <w:pPr>
              <w:pStyle w:val="15"/>
              <w:spacing w:before="120" w:after="0"/>
              <w:rPr>
                <w:rFonts w:hint="default" w:ascii="Times New Roman" w:hAnsi="Times New Roman"/>
                <w:szCs w:val="20"/>
                <w:lang w:val="en-US" w:eastAsia="zh-CN"/>
              </w:rPr>
            </w:pPr>
            <w:r>
              <w:rPr>
                <w:rFonts w:hint="default" w:ascii="Times New Roman" w:hAnsi="Times New Roman"/>
                <w:szCs w:val="20"/>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5"/>
              <w:spacing w:before="120" w:after="0"/>
              <w:rPr>
                <w:rFonts w:hint="default" w:ascii="Times New Roman" w:hAnsi="Times New Roman"/>
                <w:szCs w:val="20"/>
                <w:lang w:val="en-US" w:eastAsia="zh-CN"/>
              </w:rPr>
            </w:pPr>
          </w:p>
        </w:tc>
        <w:tc>
          <w:tcPr>
            <w:tcW w:w="7915" w:type="dxa"/>
          </w:tcPr>
          <w:p>
            <w:pPr>
              <w:pStyle w:val="15"/>
              <w:spacing w:before="120" w:after="0"/>
              <w:rPr>
                <w:rFonts w:hint="eastAsia" w:ascii="Times New Roman" w:hAnsi="Times New Roman"/>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3"/>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3"/>
        </w:numPr>
        <w:rPr>
          <w:rFonts w:eastAsia="SimSun"/>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7"/>
              <w:spacing w:after="120" w:line="240" w:lineRule="auto"/>
              <w:jc w:val="both"/>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等线"/>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Proposal#4-6A,</w:t>
            </w:r>
            <w:r>
              <w:rPr>
                <w:rFonts w:ascii="Times New Roman" w:hAnsi="Times New Roman" w:eastAsia="等线"/>
                <w:szCs w:val="20"/>
                <w:lang w:eastAsia="zh-CN"/>
              </w:rPr>
              <w:t xml:space="preserve"> if the above understanding applies, we are not clear the motivation of make it configurable.</w:t>
            </w:r>
          </w:p>
          <w:p>
            <w:pPr>
              <w:pStyle w:val="15"/>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Proposal#4-7</w:t>
            </w:r>
            <w:r>
              <w:rPr>
                <w:rFonts w:ascii="Times New Roman" w:hAnsi="Times New Roman" w:eastAsia="等线"/>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3"/>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spacing w:before="120"/>
              <w:jc w:val="both"/>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3"/>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pPr>
              <w:pStyle w:val="78"/>
              <w:numPr>
                <w:ilvl w:val="2"/>
                <w:numId w:val="33"/>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3"/>
              </w:numPr>
              <w:spacing w:before="120"/>
              <w:jc w:val="both"/>
              <w:rPr>
                <w:rFonts w:eastAsia="SimSun"/>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3"/>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spacing w:before="120"/>
              <w:jc w:val="both"/>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3"/>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outlineLvl w:val="5"/>
              <w:rPr>
                <w:b/>
                <w:bCs w:val="0"/>
                <w:sz w:val="21"/>
                <w:szCs w:val="16"/>
              </w:rPr>
            </w:pPr>
            <w:r>
              <w:rPr>
                <w:rFonts w:eastAsia="SimSun"/>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hint="eastAsia"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but for Proposal #4-6A,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seems not a term used in spec and may cause ambiguity, our understanding of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is CSI-RS for L1-RSRP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L1-SINR. And suggest the following modification. </w:t>
            </w: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3"/>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3"/>
              </w:numPr>
              <w:spacing w:before="120"/>
              <w:jc w:val="both"/>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pPr>
              <w:pStyle w:val="78"/>
              <w:numPr>
                <w:ilvl w:val="2"/>
                <w:numId w:val="33"/>
              </w:numPr>
              <w:spacing w:before="120"/>
              <w:jc w:val="both"/>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15"/>
              <w:spacing w:before="120" w:after="0"/>
              <w:rPr>
                <w:rFonts w:hint="eastAsia" w:ascii="Times New Roman" w:hAnsi="Times New Roman" w:eastAsiaTheme="minorEastAsia"/>
                <w:szCs w:val="20"/>
                <w:lang w:eastAsia="ko-KR"/>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bookmarkStart w:id="0" w:name="_GoBack"/>
      <w:r>
        <w:rPr>
          <w:rFonts w:ascii="Times New Roman" w:hAnsi="Times New Roman" w:eastAsiaTheme="minorEastAsia"/>
          <w:szCs w:val="20"/>
          <w:lang w:eastAsia="ko-KR"/>
        </w:rPr>
        <w:t>HARQ feedback for SPS PDSCH</w:t>
      </w:r>
      <w:bookmarkEnd w:id="0"/>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p>
        </w:tc>
        <w:tc>
          <w:tcPr>
            <w:tcW w:w="8221" w:type="dxa"/>
          </w:tcPr>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p>
        </w:tc>
        <w:tc>
          <w:tcPr>
            <w:tcW w:w="8221"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2.5 Combining Spatial/Power Domain Enhancement with cell DTX/DRX enhancements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15"/>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15"/>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shd w:val="clear" w:color="auto" w:fill="E2EFD9" w:themeFill="accent6" w:themeFillTint="33"/>
          </w:tcPr>
          <w:p>
            <w:pPr>
              <w:pStyle w:val="15"/>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15"/>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15"/>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等线"/>
                <w:szCs w:val="20"/>
                <w:lang w:eastAsia="zh-CN"/>
              </w:rPr>
            </w:pPr>
            <w:r>
              <w:rPr>
                <w:lang w:eastAsia="zh-CN"/>
              </w:rPr>
              <w:t>Ericsson1</w:t>
            </w:r>
          </w:p>
        </w:tc>
        <w:tc>
          <w:tcPr>
            <w:tcW w:w="7949" w:type="dxa"/>
          </w:tcPr>
          <w:p>
            <w:pPr>
              <w:pStyle w:val="15"/>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[ON HOLD-Next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2.6 Any Other Issues</w:t>
      </w: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3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rPr>
          <w:lang w:val="en-GB" w:eastAsia="ko-KR"/>
        </w:rPr>
      </w:pPr>
      <w:r>
        <w:rPr>
          <w:lang w:val="en-GB" w:eastAsia="ko-KR"/>
        </w:rPr>
        <w:t>Please provide comments on Proposal #6-1 from Nokia.</w:t>
      </w:r>
    </w:p>
    <w:p>
      <w:pPr>
        <w:pStyle w:val="1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15"/>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15"/>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15"/>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15"/>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等线"/>
                <w:szCs w:val="20"/>
                <w:lang w:eastAsia="zh-CN"/>
              </w:rPr>
            </w:pPr>
          </w:p>
        </w:tc>
        <w:tc>
          <w:tcPr>
            <w:tcW w:w="8221" w:type="dxa"/>
          </w:tcPr>
          <w:p>
            <w:pPr>
              <w:pStyle w:val="15"/>
              <w:spacing w:before="120" w:after="0"/>
              <w:rPr>
                <w:rFonts w:ascii="Times New Roman" w:hAnsi="Times New Roman" w:eastAsia="等线"/>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Moderator Proposals for Conclusion/Agreement</w:t>
      </w:r>
    </w:p>
    <w:p>
      <w:pPr>
        <w:pStyle w:val="15"/>
        <w:spacing w:after="0"/>
        <w:rPr>
          <w:rFonts w:ascii="Times New Roman" w:hAnsi="Times New Roman"/>
          <w:szCs w:val="20"/>
          <w:lang w:eastAsia="zh-CN"/>
        </w:rPr>
      </w:pPr>
    </w:p>
    <w:p>
      <w:pPr>
        <w:pStyle w:val="15"/>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78"/>
        <w:numPr>
          <w:ilvl w:val="0"/>
          <w:numId w:val="36"/>
        </w:numPr>
        <w:ind w:left="540" w:hanging="540"/>
      </w:pPr>
      <w:r>
        <w:t>R1-2302334, “Cell DTX/DRX for NES,” FUTUREWEI</w:t>
      </w:r>
    </w:p>
    <w:p>
      <w:pPr>
        <w:pStyle w:val="78"/>
        <w:numPr>
          <w:ilvl w:val="0"/>
          <w:numId w:val="36"/>
        </w:numPr>
        <w:ind w:left="540" w:hanging="540"/>
      </w:pPr>
      <w:r>
        <w:t>R1-2302338, “Cell DTX/DRX mechanism for network energy saving,” Huawei, HiSilicon</w:t>
      </w:r>
    </w:p>
    <w:p>
      <w:pPr>
        <w:pStyle w:val="78"/>
        <w:numPr>
          <w:ilvl w:val="0"/>
          <w:numId w:val="36"/>
        </w:numPr>
        <w:ind w:left="540" w:hanging="540"/>
      </w:pPr>
      <w:r>
        <w:t>R1-2302390, “Cell DTX/DRX enhancement for network energy saving,” Panasonic</w:t>
      </w:r>
    </w:p>
    <w:p>
      <w:pPr>
        <w:pStyle w:val="78"/>
        <w:numPr>
          <w:ilvl w:val="0"/>
          <w:numId w:val="36"/>
        </w:numPr>
        <w:ind w:left="540" w:hanging="540"/>
      </w:pPr>
      <w:r>
        <w:t>R1-2302394, “Enhancements on cell DTX/DRX mechanism,” Nokia, Nokia Shanghai Bell</w:t>
      </w:r>
    </w:p>
    <w:p>
      <w:pPr>
        <w:pStyle w:val="78"/>
        <w:numPr>
          <w:ilvl w:val="0"/>
          <w:numId w:val="36"/>
        </w:numPr>
        <w:ind w:left="540" w:hanging="540"/>
      </w:pPr>
      <w:r>
        <w:t>R1-2302499, “Discussions on enhancements on cell DTX/DRX mechanism,” vivo</w:t>
      </w:r>
    </w:p>
    <w:p>
      <w:pPr>
        <w:pStyle w:val="78"/>
        <w:numPr>
          <w:ilvl w:val="0"/>
          <w:numId w:val="36"/>
        </w:numPr>
        <w:ind w:left="540" w:hanging="540"/>
      </w:pPr>
      <w:r>
        <w:t>R1-2302562, “Discussion on enhancements on cell DTX/DRX mechanism,” OPPO</w:t>
      </w:r>
    </w:p>
    <w:p>
      <w:pPr>
        <w:pStyle w:val="78"/>
        <w:numPr>
          <w:ilvl w:val="0"/>
          <w:numId w:val="36"/>
        </w:numPr>
        <w:ind w:left="540" w:hanging="540"/>
      </w:pPr>
      <w:r>
        <w:t>R1-2302614, “Discussion on enhancements on cell DTXDRX mechanism,” Spreadtrum Communications</w:t>
      </w:r>
    </w:p>
    <w:p>
      <w:pPr>
        <w:pStyle w:val="78"/>
        <w:numPr>
          <w:ilvl w:val="0"/>
          <w:numId w:val="36"/>
        </w:numPr>
        <w:ind w:left="540" w:hanging="540"/>
      </w:pPr>
      <w:r>
        <w:t>R1-2302717, “DTX/DRX for network Energy Saving,” CATT</w:t>
      </w:r>
    </w:p>
    <w:p>
      <w:pPr>
        <w:pStyle w:val="78"/>
        <w:numPr>
          <w:ilvl w:val="0"/>
          <w:numId w:val="36"/>
        </w:numPr>
        <w:ind w:left="540" w:hanging="540"/>
      </w:pPr>
      <w:r>
        <w:t>R1-2302747, “Cell DTX/DRX Configuration for Network Energy Saving,” NEC</w:t>
      </w:r>
    </w:p>
    <w:p>
      <w:pPr>
        <w:pStyle w:val="78"/>
        <w:numPr>
          <w:ilvl w:val="0"/>
          <w:numId w:val="36"/>
        </w:numPr>
        <w:ind w:left="540" w:hanging="540"/>
      </w:pPr>
      <w:r>
        <w:t>R1-2302810, “Discussion on enhancements on cell DTX/DRX mechanism,” Intel Corporation</w:t>
      </w:r>
    </w:p>
    <w:p>
      <w:pPr>
        <w:pStyle w:val="78"/>
        <w:numPr>
          <w:ilvl w:val="0"/>
          <w:numId w:val="36"/>
        </w:numPr>
        <w:ind w:left="540" w:hanging="540"/>
      </w:pPr>
      <w:r>
        <w:t>R1-2302913, “Discussion on cell DTX/DRX mechanism,” Fujitsu</w:t>
      </w:r>
    </w:p>
    <w:p>
      <w:pPr>
        <w:pStyle w:val="78"/>
        <w:numPr>
          <w:ilvl w:val="0"/>
          <w:numId w:val="36"/>
        </w:numPr>
        <w:ind w:left="540" w:hanging="540"/>
      </w:pPr>
      <w:r>
        <w:t>R1-2302945, “Discussion on cell DTX/DRX,” ZTE, Sanechips</w:t>
      </w:r>
    </w:p>
    <w:p>
      <w:pPr>
        <w:pStyle w:val="78"/>
        <w:numPr>
          <w:ilvl w:val="0"/>
          <w:numId w:val="36"/>
        </w:numPr>
        <w:ind w:left="540" w:hanging="540"/>
      </w:pPr>
      <w:r>
        <w:t>R1-2302996, “Discussions on cell DTX-DRX for network energy saving,” xiaomi</w:t>
      </w:r>
    </w:p>
    <w:p>
      <w:pPr>
        <w:pStyle w:val="78"/>
        <w:numPr>
          <w:ilvl w:val="0"/>
          <w:numId w:val="36"/>
        </w:numPr>
        <w:ind w:left="540" w:hanging="540"/>
      </w:pPr>
      <w:r>
        <w:t>R1-2303025, “Discussion on enhancements on cell DTX/DRX mechanism,” InterDigital, Inc.</w:t>
      </w:r>
    </w:p>
    <w:p>
      <w:pPr>
        <w:pStyle w:val="78"/>
        <w:numPr>
          <w:ilvl w:val="0"/>
          <w:numId w:val="36"/>
        </w:numPr>
        <w:ind w:left="540" w:hanging="540"/>
      </w:pPr>
      <w:r>
        <w:t>R1-2303031, “Discussion on mechanism of cell DTX/DRX for network energy saving,” China Telecom</w:t>
      </w:r>
    </w:p>
    <w:p>
      <w:pPr>
        <w:pStyle w:val="78"/>
        <w:numPr>
          <w:ilvl w:val="0"/>
          <w:numId w:val="36"/>
        </w:numPr>
        <w:ind w:left="540" w:hanging="540"/>
      </w:pPr>
      <w:r>
        <w:t>R1-2303057, “Network Energy Saving on Cell DTX and DRX,” Google</w:t>
      </w:r>
    </w:p>
    <w:p>
      <w:pPr>
        <w:pStyle w:val="78"/>
        <w:numPr>
          <w:ilvl w:val="0"/>
          <w:numId w:val="36"/>
        </w:numPr>
        <w:ind w:left="540" w:hanging="540"/>
      </w:pPr>
      <w:r>
        <w:t>R1-2303142, “Enhancements on cell DTX/DRX mechanism,” Samsung</w:t>
      </w:r>
    </w:p>
    <w:p>
      <w:pPr>
        <w:pStyle w:val="78"/>
        <w:numPr>
          <w:ilvl w:val="0"/>
          <w:numId w:val="36"/>
        </w:numPr>
        <w:ind w:left="540" w:hanging="540"/>
      </w:pPr>
      <w:r>
        <w:t>R1-2303203, “Enhancements on cell DTX/DRX mechanism,” ETRI</w:t>
      </w:r>
    </w:p>
    <w:p>
      <w:pPr>
        <w:pStyle w:val="78"/>
        <w:numPr>
          <w:ilvl w:val="0"/>
          <w:numId w:val="36"/>
        </w:numPr>
        <w:ind w:left="540" w:hanging="540"/>
      </w:pPr>
      <w:r>
        <w:t>R1-2303248, “Discussion on cell DTX DRX enhancements,” CMCC</w:t>
      </w:r>
    </w:p>
    <w:p>
      <w:pPr>
        <w:pStyle w:val="78"/>
        <w:numPr>
          <w:ilvl w:val="0"/>
          <w:numId w:val="36"/>
        </w:numPr>
        <w:ind w:left="540" w:hanging="540"/>
      </w:pPr>
      <w:r>
        <w:t>R1-2303310, “Discussion on cell DTX/DRX mechanism for network energy saving,” CEWiT</w:t>
      </w:r>
    </w:p>
    <w:p>
      <w:pPr>
        <w:pStyle w:val="78"/>
        <w:numPr>
          <w:ilvl w:val="0"/>
          <w:numId w:val="36"/>
        </w:numPr>
        <w:ind w:left="540" w:hanging="540"/>
      </w:pPr>
      <w:r>
        <w:t>R1-2303345, “On NW energy saving enhancements for cell DTX/DRX mechanism,” MediaTek Inc.</w:t>
      </w:r>
    </w:p>
    <w:p>
      <w:pPr>
        <w:pStyle w:val="78"/>
        <w:numPr>
          <w:ilvl w:val="0"/>
          <w:numId w:val="36"/>
        </w:numPr>
        <w:ind w:left="540" w:hanging="540"/>
      </w:pPr>
      <w:r>
        <w:t>R1-2303380, “Discussion on Enhancement on cell DTX DRX mechanism,” Transsion Holdings</w:t>
      </w:r>
    </w:p>
    <w:p>
      <w:pPr>
        <w:pStyle w:val="78"/>
        <w:numPr>
          <w:ilvl w:val="0"/>
          <w:numId w:val="36"/>
        </w:numPr>
        <w:ind w:left="540" w:hanging="540"/>
      </w:pPr>
      <w:r>
        <w:t>R1-2303427, “Discussion on cell DTX/DRX mechanism,” LG Electronics</w:t>
      </w:r>
    </w:p>
    <w:p>
      <w:pPr>
        <w:pStyle w:val="78"/>
        <w:numPr>
          <w:ilvl w:val="0"/>
          <w:numId w:val="36"/>
        </w:numPr>
        <w:ind w:left="540" w:hanging="540"/>
      </w:pPr>
      <w:r>
        <w:t>R1-2303497, “Discussion on cell DTX/DRX mechanisms,” Apple</w:t>
      </w:r>
    </w:p>
    <w:p>
      <w:pPr>
        <w:pStyle w:val="78"/>
        <w:numPr>
          <w:ilvl w:val="0"/>
          <w:numId w:val="36"/>
        </w:numPr>
        <w:ind w:left="540" w:hanging="540"/>
      </w:pPr>
      <w:r>
        <w:t>R1-2303532, “Enhancements on cell DTX/DRX mechanism,” Lenovo</w:t>
      </w:r>
    </w:p>
    <w:p>
      <w:pPr>
        <w:pStyle w:val="78"/>
        <w:numPr>
          <w:ilvl w:val="0"/>
          <w:numId w:val="36"/>
        </w:numPr>
        <w:ind w:left="540" w:hanging="540"/>
      </w:pPr>
      <w:r>
        <w:t>R1-2303604, “Enhancements on cell DTX and DRX mechanism,” Qualcomm Incorporated</w:t>
      </w:r>
    </w:p>
    <w:p>
      <w:pPr>
        <w:pStyle w:val="78"/>
        <w:numPr>
          <w:ilvl w:val="0"/>
          <w:numId w:val="36"/>
        </w:numPr>
        <w:ind w:left="540" w:hanging="540"/>
      </w:pPr>
      <w:r>
        <w:t>R1-2303647, “Discussion on cell DTX/DRX mechanism,” Rakuten Mobile, Inc</w:t>
      </w:r>
    </w:p>
    <w:p>
      <w:pPr>
        <w:pStyle w:val="78"/>
        <w:numPr>
          <w:ilvl w:val="0"/>
          <w:numId w:val="36"/>
        </w:numPr>
        <w:ind w:left="540" w:hanging="540"/>
      </w:pPr>
      <w:r>
        <w:t>R1-2303723, “Discussion on enhancements on Cell DTX/DRX mechanism,” NTT DOCOMO, INC.</w:t>
      </w:r>
    </w:p>
    <w:p>
      <w:pPr>
        <w:pStyle w:val="78"/>
        <w:numPr>
          <w:ilvl w:val="0"/>
          <w:numId w:val="36"/>
        </w:numPr>
        <w:ind w:left="540" w:hanging="540"/>
      </w:pPr>
      <w:r>
        <w:t>R1-2303758, “RAN1 aspects of cell DTX/DRX,” Ericsson</w:t>
      </w:r>
    </w:p>
    <w:p>
      <w:pPr>
        <w:pStyle w:val="78"/>
        <w:numPr>
          <w:ilvl w:val="0"/>
          <w:numId w:val="36"/>
        </w:numPr>
        <w:ind w:left="540" w:hanging="540"/>
      </w:pPr>
      <w:r>
        <w:t>R1-2303781, “Discussion on potential enhancements on cell DTX/DRX mechanism for NR,” ITRI</w:t>
      </w:r>
    </w:p>
    <w:p>
      <w:pPr>
        <w:pStyle w:val="78"/>
        <w:numPr>
          <w:ilvl w:val="0"/>
          <w:numId w:val="36"/>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SimSun" w:cs="Arial"/>
          <w:sz w:val="32"/>
          <w:szCs w:val="32"/>
          <w:lang w:val="en-US"/>
        </w:rPr>
      </w:pPr>
      <w:r>
        <w:rPr>
          <w:rFonts w:eastAsia="SimSun" w:cs="Arial"/>
          <w:sz w:val="32"/>
          <w:szCs w:val="32"/>
          <w:lang w:val="en-US"/>
        </w:rPr>
        <w:t>Appendix: RAN2 Agreements from RAN2 #121bis-e</w:t>
      </w:r>
    </w:p>
    <w:p>
      <w:pPr>
        <w:pStyle w:val="15"/>
        <w:spacing w:after="0"/>
        <w:rPr>
          <w:rFonts w:ascii="Times New Roman" w:hAnsi="Times New Roman" w:eastAsiaTheme="minorEastAsia"/>
          <w:szCs w:val="20"/>
          <w:lang w:eastAsia="ko-KR"/>
        </w:rPr>
      </w:pPr>
    </w:p>
    <w:p>
      <w:pPr>
        <w:pStyle w:val="15"/>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等线">
    <w:altName w:val="Gubbi"/>
    <w:panose1 w:val="00000000000000000000"/>
    <w:charset w:val="00"/>
    <w:family w:val="auto"/>
    <w:pitch w:val="default"/>
    <w:sig w:usb0="000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Mincho">
    <w:altName w:val="Gubbi"/>
    <w:panose1 w:val="02020609040205080304"/>
    <w:charset w:val="80"/>
    <w:family w:val="modern"/>
    <w:pitch w:val="default"/>
    <w:sig w:usb0="00000000" w:usb1="00000000" w:usb2="08000012" w:usb3="00000000" w:csb0="0002009F" w:csb1="00000000"/>
  </w:font>
  <w:font w:name="OpenSymbol">
    <w:panose1 w:val="05010000000000000000"/>
    <w:charset w:val="00"/>
    <w:family w:val="auto"/>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Wingdings">
    <w:altName w:val="OpenSymbol"/>
    <w:panose1 w:val="05000000000000000000"/>
    <w:charset w:val="02"/>
    <w:family w:val="auto"/>
    <w:pitch w:val="default"/>
    <w:sig w:usb0="00000000" w:usb1="00000000" w:usb2="00000000" w:usb3="00000000" w:csb0="80000000" w:csb1="00000000"/>
  </w:font>
  <w:font w:name="Yu Mincho">
    <w:altName w:val="Gubbi"/>
    <w:panose1 w:val="00000000000000000000"/>
    <w:charset w:val="80"/>
    <w:family w:val="roman"/>
    <w:pitch w:val="default"/>
    <w:sig w:usb0="00000000" w:usb1="00000000" w:usb2="00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PMingLiU">
    <w:altName w:val="Droid Sans Fallback"/>
    <w:panose1 w:val="02010601000101010101"/>
    <w:charset w:val="88"/>
    <w:family w:val="roman"/>
    <w:pitch w:val="default"/>
    <w:sig w:usb0="00000000" w:usb1="00000000" w:usb2="00000016" w:usb3="00000000" w:csb0="00100001" w:csb1="00000000"/>
  </w:font>
  <w:font w:name="v4.2.0">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 ??">
    <w:altName w:val="Gubbi"/>
    <w:panose1 w:val="00000000000000000000"/>
    <w:charset w:val="80"/>
    <w:family w:val="roman"/>
    <w:pitch w:val="default"/>
    <w:sig w:usb0="00000000" w:usb1="00000000" w:usb2="00000010" w:usb3="00000000" w:csb0="00020000" w:csb1="00000000"/>
  </w:font>
  <w:font w:name="Liberation Serif">
    <w:panose1 w:val="02020603050405020304"/>
    <w:charset w:val="00"/>
    <w:family w:val="auto"/>
    <w:pitch w:val="default"/>
    <w:sig w:usb0="A00002AF" w:usb1="5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6">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1"/>
  </w:num>
  <w:num w:numId="13">
    <w:abstractNumId w:val="34"/>
  </w:num>
  <w:num w:numId="14">
    <w:abstractNumId w:val="33"/>
  </w:num>
  <w:num w:numId="15">
    <w:abstractNumId w:val="31"/>
  </w:num>
  <w:num w:numId="16">
    <w:abstractNumId w:val="17"/>
  </w:num>
  <w:num w:numId="17">
    <w:abstractNumId w:val="27"/>
  </w:num>
  <w:num w:numId="18">
    <w:abstractNumId w:val="10"/>
  </w:num>
  <w:num w:numId="19">
    <w:abstractNumId w:val="13"/>
  </w:num>
  <w:num w:numId="20">
    <w:abstractNumId w:val="15"/>
  </w:num>
  <w:num w:numId="21">
    <w:abstractNumId w:val="7"/>
  </w:num>
  <w:num w:numId="22">
    <w:abstractNumId w:val="23"/>
  </w:num>
  <w:num w:numId="23">
    <w:abstractNumId w:val="28"/>
  </w:num>
  <w:num w:numId="24">
    <w:abstractNumId w:val="5"/>
  </w:num>
  <w:num w:numId="25">
    <w:abstractNumId w:val="0"/>
  </w:num>
  <w:num w:numId="26">
    <w:abstractNumId w:val="19"/>
  </w:num>
  <w:num w:numId="27">
    <w:abstractNumId w:val="3"/>
  </w:num>
  <w:num w:numId="28">
    <w:abstractNumId w:val="32"/>
  </w:num>
  <w:num w:numId="29">
    <w:abstractNumId w:val="9"/>
  </w:num>
  <w:num w:numId="30">
    <w:abstractNumId w:val="2"/>
  </w:num>
  <w:num w:numId="31">
    <w:abstractNumId w:val="12"/>
  </w:num>
  <w:num w:numId="32">
    <w:abstractNumId w:val="18"/>
  </w:num>
  <w:num w:numId="33">
    <w:abstractNumId w:val="29"/>
  </w:num>
  <w:num w:numId="34">
    <w:abstractNumId w:val="6"/>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E1FAB51"/>
    <w:rsid w:val="7FBD8203"/>
    <w:rsid w:val="7FF48271"/>
    <w:rsid w:val="DD7EF3E2"/>
    <w:rsid w:val="F6FB8096"/>
    <w:rsid w:val="FB5D7E33"/>
    <w:rsid w:val="FBBACCBD"/>
    <w:rsid w:val="FBFB03B3"/>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SimSun"/>
    </w:rPr>
  </w:style>
  <w:style w:type="paragraph" w:styleId="11">
    <w:name w:val="heading 9"/>
    <w:basedOn w:val="10"/>
    <w:next w:val="1"/>
    <w:link w:val="64"/>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52"/>
    <w:semiHidden/>
    <w:unhideWhenUsed/>
    <w:qFormat/>
    <w:uiPriority w:val="99"/>
    <w:rPr>
      <w:rFonts w:ascii="Tahoma" w:hAnsi="Tahoma" w:cs="Tahoma"/>
      <w:sz w:val="16"/>
      <w:szCs w:val="16"/>
    </w:rPr>
  </w:style>
  <w:style w:type="paragraph" w:styleId="15">
    <w:name w:val="Body Text"/>
    <w:basedOn w:val="1"/>
    <w:link w:val="71"/>
    <w:unhideWhenUsed/>
    <w:qFormat/>
    <w:uiPriority w:val="99"/>
    <w:pPr>
      <w:spacing w:after="120"/>
      <w:jc w:val="both"/>
    </w:pPr>
    <w:rPr>
      <w:rFonts w:ascii="Times" w:hAnsi="Times"/>
      <w:szCs w:val="24"/>
    </w:rPr>
  </w:style>
  <w:style w:type="paragraph" w:styleId="16">
    <w:name w:val="Body Text 2"/>
    <w:basedOn w:val="1"/>
    <w:link w:val="73"/>
    <w:semiHidden/>
    <w:unhideWhenUsed/>
    <w:qFormat/>
    <w:uiPriority w:val="99"/>
    <w:pPr>
      <w:tabs>
        <w:tab w:val="left" w:pos="1985"/>
      </w:tabs>
      <w:spacing w:after="0"/>
      <w:jc w:val="both"/>
    </w:pPr>
    <w:rPr>
      <w:rFonts w:ascii="Arial" w:hAnsi="Arial"/>
      <w:sz w:val="22"/>
    </w:rPr>
  </w:style>
  <w:style w:type="paragraph" w:styleId="17">
    <w:name w:val="Body Text 3"/>
    <w:basedOn w:val="1"/>
    <w:link w:val="74"/>
    <w:semiHidden/>
    <w:unhideWhenUsed/>
    <w:qFormat/>
    <w:uiPriority w:val="99"/>
    <w:rPr>
      <w:i/>
    </w:rPr>
  </w:style>
  <w:style w:type="paragraph" w:styleId="18">
    <w:name w:val="caption"/>
    <w:basedOn w:val="1"/>
    <w:next w:val="1"/>
    <w:link w:val="69"/>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6"/>
    <w:unhideWhenUsed/>
    <w:qFormat/>
    <w:uiPriority w:val="99"/>
    <w:rPr>
      <w:lang w:eastAsia="zh-CN"/>
    </w:rPr>
  </w:style>
  <w:style w:type="paragraph" w:styleId="21">
    <w:name w:val="annotation subject"/>
    <w:basedOn w:val="20"/>
    <w:next w:val="20"/>
    <w:link w:val="76"/>
    <w:semiHidden/>
    <w:unhideWhenUsed/>
    <w:qFormat/>
    <w:uiPriority w:val="99"/>
    <w:rPr>
      <w:b/>
      <w:bCs/>
    </w:rPr>
  </w:style>
  <w:style w:type="paragraph" w:styleId="22">
    <w:name w:val="Document Map"/>
    <w:basedOn w:val="1"/>
    <w:link w:val="75"/>
    <w:semiHidden/>
    <w:unhideWhenUsed/>
    <w:qFormat/>
    <w:uiPriority w:val="99"/>
    <w:pPr>
      <w:shd w:val="clear" w:color="auto" w:fill="000080"/>
    </w:pPr>
    <w:rPr>
      <w:rFonts w:ascii="Tahoma" w:hAnsi="Tahoma"/>
    </w:rPr>
  </w:style>
  <w:style w:type="paragraph" w:styleId="23">
    <w:name w:val="endnote text"/>
    <w:basedOn w:val="1"/>
    <w:link w:val="70"/>
    <w:semiHidden/>
    <w:unhideWhenUsed/>
    <w:qFormat/>
    <w:uiPriority w:val="99"/>
    <w:pPr>
      <w:spacing w:after="0"/>
    </w:pPr>
  </w:style>
  <w:style w:type="character" w:styleId="24">
    <w:name w:val="FollowedHyperlink"/>
    <w:semiHidden/>
    <w:unhideWhenUsed/>
    <w:qFormat/>
    <w:uiPriority w:val="0"/>
    <w:rPr>
      <w:color w:val="800080"/>
      <w:u w:val="single"/>
    </w:rPr>
  </w:style>
  <w:style w:type="paragraph" w:styleId="25">
    <w:name w:val="footer"/>
    <w:basedOn w:val="26"/>
    <w:link w:val="68"/>
    <w:unhideWhenUsed/>
    <w:qFormat/>
    <w:uiPriority w:val="99"/>
    <w:pPr>
      <w:jc w:val="center"/>
    </w:pPr>
    <w:rPr>
      <w:i/>
    </w:rPr>
  </w:style>
  <w:style w:type="paragraph" w:styleId="26">
    <w:name w:val="header"/>
    <w:link w:val="67"/>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7">
    <w:name w:val="footnote text"/>
    <w:basedOn w:val="1"/>
    <w:link w:val="65"/>
    <w:semiHidden/>
    <w:unhideWhenUsed/>
    <w:qFormat/>
    <w:uiPriority w:val="99"/>
    <w:pPr>
      <w:keepLines/>
      <w:spacing w:after="0"/>
      <w:ind w:left="454" w:hanging="454"/>
    </w:pPr>
    <w:rPr>
      <w:sz w:val="16"/>
    </w:rPr>
  </w:style>
  <w:style w:type="character" w:styleId="28">
    <w:name w:val="Hyperlink"/>
    <w:semiHidden/>
    <w:unhideWhenUsed/>
    <w:qFormat/>
    <w:uiPriority w:val="0"/>
    <w:rPr>
      <w:color w:val="0000FF"/>
      <w:u w:val="single"/>
    </w:rPr>
  </w:style>
  <w:style w:type="paragraph" w:styleId="29">
    <w:name w:val="index 1"/>
    <w:basedOn w:val="1"/>
    <w:next w:val="1"/>
    <w:semiHidden/>
    <w:unhideWhenUsed/>
    <w:qFormat/>
    <w:uiPriority w:val="99"/>
    <w:pPr>
      <w:keepLines/>
      <w:spacing w:after="0"/>
    </w:pPr>
  </w:style>
  <w:style w:type="paragraph" w:styleId="30">
    <w:name w:val="index 2"/>
    <w:basedOn w:val="29"/>
    <w:next w:val="1"/>
    <w:semiHidden/>
    <w:unhideWhenUsed/>
    <w:qFormat/>
    <w:uiPriority w:val="99"/>
    <w:pPr>
      <w:ind w:left="284"/>
    </w:pPr>
  </w:style>
  <w:style w:type="paragraph" w:styleId="31">
    <w:name w:val="List"/>
    <w:basedOn w:val="1"/>
    <w:semiHidden/>
    <w:unhideWhenUsed/>
    <w:qFormat/>
    <w:uiPriority w:val="99"/>
    <w:pPr>
      <w:ind w:left="568" w:hanging="284"/>
    </w:pPr>
  </w:style>
  <w:style w:type="paragraph" w:styleId="32">
    <w:name w:val="List Bullet"/>
    <w:basedOn w:val="31"/>
    <w:unhideWhenUsed/>
    <w:qFormat/>
    <w:uiPriority w:val="99"/>
  </w:style>
  <w:style w:type="paragraph" w:styleId="33">
    <w:name w:val="List Bullet 2"/>
    <w:basedOn w:val="32"/>
    <w:semiHidden/>
    <w:unhideWhenUsed/>
    <w:qFormat/>
    <w:uiPriority w:val="99"/>
    <w:pPr>
      <w:ind w:left="851" w:firstLine="0"/>
    </w:pPr>
  </w:style>
  <w:style w:type="paragraph" w:styleId="34">
    <w:name w:val="List Bullet 3"/>
    <w:basedOn w:val="33"/>
    <w:semiHidden/>
    <w:unhideWhenUsed/>
    <w:qFormat/>
    <w:uiPriority w:val="99"/>
    <w:pPr>
      <w:ind w:left="1135"/>
    </w:pPr>
  </w:style>
  <w:style w:type="paragraph" w:styleId="35">
    <w:name w:val="List Bullet 4"/>
    <w:basedOn w:val="34"/>
    <w:semiHidden/>
    <w:unhideWhenUsed/>
    <w:qFormat/>
    <w:uiPriority w:val="99"/>
    <w:pPr>
      <w:ind w:left="1418"/>
    </w:pPr>
  </w:style>
  <w:style w:type="paragraph" w:styleId="36">
    <w:name w:val="List Bullet 5"/>
    <w:basedOn w:val="35"/>
    <w:semiHidden/>
    <w:unhideWhenUsed/>
    <w:qFormat/>
    <w:uiPriority w:val="99"/>
  </w:style>
  <w:style w:type="paragraph" w:styleId="37">
    <w:name w:val="List Number"/>
    <w:basedOn w:val="36"/>
    <w:semiHidden/>
    <w:unhideWhenUsed/>
    <w:qFormat/>
    <w:uiPriority w:val="99"/>
    <w:pPr>
      <w:ind w:left="1702" w:hanging="284"/>
    </w:pPr>
  </w:style>
  <w:style w:type="paragraph" w:styleId="38">
    <w:name w:val="List Number 2"/>
    <w:basedOn w:val="37"/>
    <w:semiHidden/>
    <w:unhideWhenUsed/>
    <w:qFormat/>
    <w:uiPriority w:val="99"/>
    <w:pPr>
      <w:ind w:left="851" w:firstLine="0"/>
    </w:pPr>
  </w:style>
  <w:style w:type="paragraph" w:styleId="39">
    <w:name w:val="Normal (Web)"/>
    <w:basedOn w:val="1"/>
    <w:semiHidden/>
    <w:unhideWhenUsed/>
    <w:qFormat/>
    <w:uiPriority w:val="99"/>
    <w:pPr>
      <w:overflowPunct w:val="0"/>
      <w:spacing w:beforeAutospacing="1" w:afterAutospacing="1"/>
    </w:pPr>
    <w:rPr>
      <w:sz w:val="24"/>
      <w:szCs w:val="24"/>
    </w:rPr>
  </w:style>
  <w:style w:type="paragraph" w:styleId="40">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table" w:styleId="41">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3">
    <w:name w:val="toc 2"/>
    <w:basedOn w:val="42"/>
    <w:next w:val="1"/>
    <w:semiHidden/>
    <w:unhideWhenUsed/>
    <w:qFormat/>
    <w:uiPriority w:val="99"/>
    <w:pPr>
      <w:keepNext w:val="0"/>
      <w:spacing w:before="0" w:after="180"/>
      <w:ind w:left="851" w:hanging="851"/>
    </w:pPr>
    <w:rPr>
      <w:sz w:val="20"/>
    </w:rPr>
  </w:style>
  <w:style w:type="paragraph" w:styleId="44">
    <w:name w:val="toc 3"/>
    <w:basedOn w:val="43"/>
    <w:next w:val="1"/>
    <w:semiHidden/>
    <w:unhideWhenUsed/>
    <w:qFormat/>
    <w:uiPriority w:val="99"/>
    <w:pPr>
      <w:ind w:left="1134" w:hanging="1134"/>
    </w:pPr>
  </w:style>
  <w:style w:type="paragraph" w:styleId="45">
    <w:name w:val="toc 4"/>
    <w:basedOn w:val="44"/>
    <w:next w:val="1"/>
    <w:semiHidden/>
    <w:unhideWhenUsed/>
    <w:qFormat/>
    <w:uiPriority w:val="99"/>
    <w:pPr>
      <w:ind w:left="1418" w:hanging="1418"/>
    </w:pPr>
  </w:style>
  <w:style w:type="paragraph" w:styleId="46">
    <w:name w:val="toc 5"/>
    <w:basedOn w:val="45"/>
    <w:next w:val="1"/>
    <w:semiHidden/>
    <w:unhideWhenUsed/>
    <w:qFormat/>
    <w:uiPriority w:val="99"/>
    <w:pPr>
      <w:ind w:left="1701" w:hanging="1701"/>
    </w:pPr>
  </w:style>
  <w:style w:type="paragraph" w:styleId="47">
    <w:name w:val="toc 6"/>
    <w:basedOn w:val="46"/>
    <w:next w:val="1"/>
    <w:semiHidden/>
    <w:unhideWhenUsed/>
    <w:qFormat/>
    <w:uiPriority w:val="99"/>
    <w:pPr>
      <w:ind w:left="1985" w:hanging="1985"/>
    </w:pPr>
  </w:style>
  <w:style w:type="paragraph" w:styleId="48">
    <w:name w:val="toc 7"/>
    <w:basedOn w:val="47"/>
    <w:next w:val="1"/>
    <w:semiHidden/>
    <w:unhideWhenUsed/>
    <w:qFormat/>
    <w:uiPriority w:val="99"/>
    <w:pPr>
      <w:ind w:left="2268" w:hanging="2268"/>
    </w:pPr>
  </w:style>
  <w:style w:type="paragraph" w:styleId="49">
    <w:name w:val="toc 8"/>
    <w:basedOn w:val="42"/>
    <w:next w:val="1"/>
    <w:semiHidden/>
    <w:unhideWhenUsed/>
    <w:qFormat/>
    <w:uiPriority w:val="99"/>
    <w:pPr>
      <w:spacing w:before="180"/>
      <w:ind w:left="2693" w:hanging="2693"/>
    </w:pPr>
    <w:rPr>
      <w:b/>
    </w:rPr>
  </w:style>
  <w:style w:type="paragraph" w:styleId="50">
    <w:name w:val="toc 9"/>
    <w:basedOn w:val="49"/>
    <w:next w:val="1"/>
    <w:semiHidden/>
    <w:unhideWhenUsed/>
    <w:qFormat/>
    <w:uiPriority w:val="99"/>
    <w:pPr>
      <w:ind w:left="1418" w:hanging="1418"/>
    </w:pPr>
  </w:style>
  <w:style w:type="table" w:styleId="51">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2">
    <w:name w:val="批注框文本 字符"/>
    <w:basedOn w:val="12"/>
    <w:link w:val="14"/>
    <w:semiHidden/>
    <w:qFormat/>
    <w:uiPriority w:val="99"/>
    <w:rPr>
      <w:rFonts w:ascii="Tahoma" w:hAnsi="Tahoma" w:eastAsia="SimSun" w:cs="Tahoma"/>
      <w:sz w:val="16"/>
      <w:szCs w:val="16"/>
      <w:lang w:eastAsia="en-US"/>
    </w:rPr>
  </w:style>
  <w:style w:type="character" w:customStyle="1" w:styleId="53">
    <w:name w:val="Endnote Characters"/>
    <w:basedOn w:val="12"/>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标题 2 字符"/>
    <w:basedOn w:val="12"/>
    <w:link w:val="3"/>
    <w:qFormat/>
    <w:uiPriority w:val="9"/>
    <w:rPr>
      <w:rFonts w:ascii="Arial" w:hAnsi="Arial" w:eastAsia="Times New Roman" w:cs="Times New Roman"/>
      <w:sz w:val="32"/>
      <w:szCs w:val="20"/>
      <w:lang w:val="en-GB" w:eastAsia="en-US"/>
    </w:rPr>
  </w:style>
  <w:style w:type="character" w:customStyle="1" w:styleId="58">
    <w:name w:val="标题 3 字符"/>
    <w:basedOn w:val="12"/>
    <w:link w:val="4"/>
    <w:qFormat/>
    <w:uiPriority w:val="0"/>
    <w:rPr>
      <w:rFonts w:ascii="Arial" w:hAnsi="Arial" w:eastAsia="Times New Roman" w:cs="Times New Roman"/>
      <w:sz w:val="28"/>
      <w:szCs w:val="20"/>
      <w:lang w:val="en-GB" w:eastAsia="en-US"/>
    </w:rPr>
  </w:style>
  <w:style w:type="character" w:customStyle="1" w:styleId="59">
    <w:name w:val="标题 4 字符"/>
    <w:basedOn w:val="12"/>
    <w:link w:val="5"/>
    <w:qFormat/>
    <w:uiPriority w:val="9"/>
    <w:rPr>
      <w:rFonts w:ascii="Arial" w:hAnsi="Arial" w:eastAsia="Times New Roman" w:cs="Times New Roman"/>
      <w:sz w:val="24"/>
      <w:szCs w:val="20"/>
      <w:lang w:val="en-GB" w:eastAsia="en-US"/>
    </w:rPr>
  </w:style>
  <w:style w:type="character" w:customStyle="1" w:styleId="60">
    <w:name w:val="标题 5 字符"/>
    <w:basedOn w:val="12"/>
    <w:link w:val="6"/>
    <w:qFormat/>
    <w:uiPriority w:val="0"/>
    <w:rPr>
      <w:rFonts w:ascii="Arial" w:hAnsi="Arial" w:eastAsia="Times New Roman" w:cs="Times New Roman"/>
      <w:szCs w:val="20"/>
      <w:lang w:val="en-GB" w:eastAsia="en-US"/>
    </w:rPr>
  </w:style>
  <w:style w:type="character" w:customStyle="1" w:styleId="61">
    <w:name w:val="标题 6 字符"/>
    <w:basedOn w:val="12"/>
    <w:link w:val="7"/>
    <w:qFormat/>
    <w:uiPriority w:val="0"/>
    <w:rPr>
      <w:rFonts w:ascii="Times New Roman" w:hAnsi="Times New Roman" w:cs="Times New Roman"/>
      <w:bCs/>
      <w:sz w:val="24"/>
      <w:lang w:eastAsia="ko-KR"/>
    </w:rPr>
  </w:style>
  <w:style w:type="character" w:customStyle="1" w:styleId="62">
    <w:name w:val="标题 7 字符"/>
    <w:basedOn w:val="12"/>
    <w:link w:val="8"/>
    <w:semiHidden/>
    <w:qFormat/>
    <w:uiPriority w:val="9"/>
    <w:rPr>
      <w:rFonts w:ascii="Arial" w:hAnsi="Arial" w:eastAsia="SimSun" w:cs="Times New Roman"/>
      <w:sz w:val="20"/>
      <w:szCs w:val="20"/>
      <w:lang w:val="en-GB" w:eastAsia="en-US"/>
    </w:rPr>
  </w:style>
  <w:style w:type="character" w:customStyle="1" w:styleId="63">
    <w:name w:val="标题 8 字符"/>
    <w:basedOn w:val="12"/>
    <w:link w:val="10"/>
    <w:semiHidden/>
    <w:qFormat/>
    <w:uiPriority w:val="9"/>
    <w:rPr>
      <w:rFonts w:ascii="Arial" w:hAnsi="Arial" w:eastAsia="SimSun" w:cs="Times New Roman"/>
      <w:sz w:val="36"/>
      <w:szCs w:val="20"/>
      <w:lang w:val="en-GB" w:eastAsia="en-US"/>
    </w:rPr>
  </w:style>
  <w:style w:type="character" w:customStyle="1" w:styleId="64">
    <w:name w:val="标题 9 字符"/>
    <w:basedOn w:val="12"/>
    <w:link w:val="11"/>
    <w:semiHidden/>
    <w:qFormat/>
    <w:uiPriority w:val="9"/>
    <w:rPr>
      <w:rFonts w:ascii="Arial" w:hAnsi="Arial" w:eastAsia="SimSun" w:cs="Times New Roman"/>
      <w:sz w:val="36"/>
      <w:szCs w:val="20"/>
      <w:lang w:val="en-GB" w:eastAsia="en-US"/>
    </w:rPr>
  </w:style>
  <w:style w:type="character" w:customStyle="1" w:styleId="65">
    <w:name w:val="脚注文本 字符"/>
    <w:basedOn w:val="12"/>
    <w:link w:val="27"/>
    <w:semiHidden/>
    <w:qFormat/>
    <w:uiPriority w:val="99"/>
    <w:rPr>
      <w:rFonts w:ascii="Times New Roman" w:hAnsi="Times New Roman" w:eastAsia="SimSun" w:cs="Times New Roman"/>
      <w:sz w:val="16"/>
      <w:szCs w:val="20"/>
      <w:lang w:eastAsia="en-US"/>
    </w:rPr>
  </w:style>
  <w:style w:type="character" w:customStyle="1" w:styleId="66">
    <w:name w:val="批注文字 字符"/>
    <w:basedOn w:val="12"/>
    <w:link w:val="20"/>
    <w:qFormat/>
    <w:uiPriority w:val="99"/>
    <w:rPr>
      <w:rFonts w:ascii="Times New Roman" w:hAnsi="Times New Roman" w:eastAsia="SimSun" w:cs="Times New Roman"/>
      <w:sz w:val="20"/>
      <w:szCs w:val="20"/>
      <w:lang w:eastAsia="zh-CN"/>
    </w:rPr>
  </w:style>
  <w:style w:type="character" w:customStyle="1" w:styleId="67">
    <w:name w:val="页眉 字符"/>
    <w:basedOn w:val="12"/>
    <w:link w:val="26"/>
    <w:qFormat/>
    <w:uiPriority w:val="99"/>
    <w:rPr>
      <w:rFonts w:ascii="Arial" w:hAnsi="Arial" w:eastAsia="SimSun" w:cs="Times New Roman"/>
      <w:b/>
      <w:sz w:val="18"/>
      <w:szCs w:val="20"/>
      <w:lang w:eastAsia="en-US"/>
    </w:rPr>
  </w:style>
  <w:style w:type="character" w:customStyle="1" w:styleId="68">
    <w:name w:val="页脚 字符"/>
    <w:basedOn w:val="12"/>
    <w:link w:val="25"/>
    <w:qFormat/>
    <w:uiPriority w:val="99"/>
    <w:rPr>
      <w:rFonts w:ascii="Arial" w:hAnsi="Arial" w:eastAsia="SimSun" w:cs="Times New Roman"/>
      <w:b/>
      <w:i/>
      <w:sz w:val="18"/>
      <w:szCs w:val="20"/>
      <w:lang w:eastAsia="en-US"/>
    </w:rPr>
  </w:style>
  <w:style w:type="character" w:customStyle="1" w:styleId="69">
    <w:name w:val="题注 字符"/>
    <w:link w:val="18"/>
    <w:qFormat/>
    <w:locked/>
    <w:uiPriority w:val="0"/>
    <w:rPr>
      <w:rFonts w:ascii="Times New Roman" w:hAnsi="Times New Roman" w:cs="Times New Roman"/>
      <w:b/>
      <w:bCs/>
    </w:rPr>
  </w:style>
  <w:style w:type="character" w:customStyle="1" w:styleId="70">
    <w:name w:val="尾注文本 字符"/>
    <w:basedOn w:val="12"/>
    <w:link w:val="23"/>
    <w:semiHidden/>
    <w:qFormat/>
    <w:uiPriority w:val="99"/>
    <w:rPr>
      <w:rFonts w:ascii="Times New Roman" w:hAnsi="Times New Roman" w:eastAsia="SimSun" w:cs="Times New Roman"/>
      <w:sz w:val="20"/>
      <w:szCs w:val="20"/>
      <w:lang w:eastAsia="en-US"/>
    </w:rPr>
  </w:style>
  <w:style w:type="character" w:customStyle="1" w:styleId="71">
    <w:name w:val="正文文本 字符"/>
    <w:basedOn w:val="12"/>
    <w:link w:val="15"/>
    <w:qFormat/>
    <w:uiPriority w:val="99"/>
    <w:rPr>
      <w:rFonts w:ascii="Times" w:hAnsi="Times" w:eastAsia="SimSun" w:cs="Times New Roman"/>
      <w:sz w:val="20"/>
      <w:szCs w:val="24"/>
      <w:lang w:eastAsia="en-US"/>
    </w:rPr>
  </w:style>
  <w:style w:type="character" w:customStyle="1" w:styleId="72">
    <w:name w:val="副标题 字符"/>
    <w:basedOn w:val="12"/>
    <w:link w:val="40"/>
    <w:qFormat/>
    <w:uiPriority w:val="99"/>
    <w:rPr>
      <w:rFonts w:ascii="Cambria" w:hAnsi="Cambria" w:eastAsia="Times New Roman" w:cs="Times New Roman"/>
      <w:sz w:val="24"/>
      <w:szCs w:val="24"/>
      <w:lang w:eastAsia="zh-CN"/>
    </w:rPr>
  </w:style>
  <w:style w:type="character" w:customStyle="1" w:styleId="73">
    <w:name w:val="正文文本 2 字符"/>
    <w:basedOn w:val="12"/>
    <w:link w:val="16"/>
    <w:semiHidden/>
    <w:qFormat/>
    <w:uiPriority w:val="99"/>
    <w:rPr>
      <w:rFonts w:ascii="Arial" w:hAnsi="Arial" w:eastAsia="SimSun" w:cs="Times New Roman"/>
      <w:szCs w:val="20"/>
      <w:lang w:eastAsia="en-US"/>
    </w:rPr>
  </w:style>
  <w:style w:type="character" w:customStyle="1" w:styleId="74">
    <w:name w:val="正文文本 3 字符"/>
    <w:basedOn w:val="12"/>
    <w:link w:val="17"/>
    <w:semiHidden/>
    <w:qFormat/>
    <w:uiPriority w:val="99"/>
    <w:rPr>
      <w:rFonts w:ascii="Times New Roman" w:hAnsi="Times New Roman" w:eastAsia="SimSun" w:cs="Times New Roman"/>
      <w:i/>
      <w:sz w:val="20"/>
      <w:szCs w:val="20"/>
      <w:lang w:eastAsia="en-US"/>
    </w:rPr>
  </w:style>
  <w:style w:type="character" w:customStyle="1" w:styleId="75">
    <w:name w:val="文档结构图 字符"/>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6">
    <w:name w:val="批注主题 字符"/>
    <w:basedOn w:val="66"/>
    <w:link w:val="21"/>
    <w:semiHidden/>
    <w:qFormat/>
    <w:uiPriority w:val="99"/>
    <w:rPr>
      <w:rFonts w:ascii="Times New Roman" w:hAnsi="Times New Roman" w:eastAsia="SimSun" w:cs="Times New Roman"/>
      <w:b/>
      <w:bCs/>
      <w:sz w:val="20"/>
      <w:szCs w:val="20"/>
      <w:lang w:eastAsia="zh-CN"/>
    </w:rPr>
  </w:style>
  <w:style w:type="character" w:customStyle="1" w:styleId="77">
    <w:name w:val="列表段落 字符"/>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34"/>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12"/>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12"/>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1">
    <w:name w:val="TT"/>
    <w:basedOn w:val="2"/>
    <w:next w:val="1"/>
    <w:qFormat/>
    <w:uiPriority w:val="99"/>
    <w:rPr>
      <w:rFonts w:eastAsia="SimSun"/>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31"/>
    <w:qFormat/>
    <w:uiPriority w:val="0"/>
    <w:rPr>
      <w:rFonts w:eastAsiaTheme="minorEastAsia"/>
      <w:sz w:val="22"/>
      <w:szCs w:val="22"/>
      <w:lang w:eastAsia="ko-KR"/>
    </w:rPr>
  </w:style>
  <w:style w:type="paragraph" w:customStyle="1" w:styleId="130">
    <w:name w:val="B3"/>
    <w:basedOn w:val="35"/>
    <w:qFormat/>
    <w:uiPriority w:val="99"/>
  </w:style>
  <w:style w:type="paragraph" w:customStyle="1" w:styleId="131">
    <w:name w:val="B4"/>
    <w:basedOn w:val="36"/>
    <w:qFormat/>
    <w:uiPriority w:val="99"/>
  </w:style>
  <w:style w:type="paragraph" w:customStyle="1" w:styleId="132">
    <w:name w:val="B5"/>
    <w:basedOn w:val="37"/>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SimSun" w:cs="Arial"/>
      <w:color w:val="000000"/>
      <w:sz w:val="24"/>
      <w:szCs w:val="24"/>
      <w:lang w:val="en-US" w:eastAsia="ko-KR" w:bidi="ar-SA"/>
    </w:rPr>
  </w:style>
  <w:style w:type="paragraph" w:customStyle="1" w:styleId="142">
    <w:name w:val="Proposal"/>
    <w:basedOn w:val="15"/>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3">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SimSu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Fraunhofer IIS</Company>
  <Pages>112</Pages>
  <Words>40108</Words>
  <Characters>228618</Characters>
  <Lines>1905</Lines>
  <Paragraphs>536</Paragraphs>
  <TotalTime>12</TotalTime>
  <ScaleCrop>false</ScaleCrop>
  <LinksUpToDate>false</LinksUpToDate>
  <CharactersWithSpaces>268190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2023-04-24T11:34:00Z</dcterms:created>
  <dc:creator>Lee, Daewon</dc:creator>
  <cp:lastModifiedBy>deepak</cp:lastModifiedBy>
  <dcterms:modified xsi:type="dcterms:W3CDTF">2023-04-24T13:19:15Z</dcterms:modified>
  <dc:title>Discussion summary #2 of issues for enhancements on cell DTX/DRX mechanism</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