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551E" w14:textId="77777777"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R1-2303896</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98784F">
      <w:pPr>
        <w:pStyle w:val="Heading2"/>
        <w:ind w:left="720" w:hanging="720"/>
        <w:rPr>
          <w:rFonts w:eastAsia="SimSun"/>
          <w:lang w:val="en-US" w:eastAsia="zh-CN"/>
        </w:rPr>
      </w:pPr>
      <w:r>
        <w:rPr>
          <w:rFonts w:eastAsia="SimSun"/>
          <w:lang w:val="en-US" w:eastAsia="zh-CN"/>
        </w:rPr>
        <w:t>2.2 General cell DRX/DTX operation</w:t>
      </w:r>
    </w:p>
    <w:p w14:paraId="191238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4175139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4690A5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5CBE608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D54A9E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691841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98784F">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98784F">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4D2A6A8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08C67DC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1D41F5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CB97FB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1ED5CA0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Paragraph"/>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98784F">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BodyText"/>
        <w:spacing w:after="0"/>
        <w:rPr>
          <w:rFonts w:ascii="Times New Roman" w:hAnsi="Times New Roman"/>
          <w:szCs w:val="20"/>
          <w:lang w:eastAsia="zh-CN"/>
        </w:rPr>
      </w:pPr>
    </w:p>
    <w:p w14:paraId="3A00DA39" w14:textId="77777777" w:rsidR="00627FFE" w:rsidRDefault="00627FFE">
      <w:pPr>
        <w:pStyle w:val="BodyText"/>
        <w:spacing w:after="0"/>
        <w:rPr>
          <w:rFonts w:ascii="Times New Roman" w:hAnsi="Times New Roman"/>
          <w:szCs w:val="20"/>
          <w:lang w:eastAsia="zh-CN"/>
        </w:rPr>
      </w:pPr>
    </w:p>
    <w:p w14:paraId="4DC08D8E" w14:textId="77777777" w:rsidR="00627FFE" w:rsidRDefault="00627FFE">
      <w:pPr>
        <w:pStyle w:val="BodyText"/>
        <w:spacing w:after="0"/>
        <w:rPr>
          <w:rFonts w:ascii="Times New Roman" w:hAnsi="Times New Roman"/>
          <w:szCs w:val="20"/>
          <w:lang w:eastAsia="zh-CN"/>
        </w:rPr>
      </w:pPr>
    </w:p>
    <w:p w14:paraId="6F035A0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6EA279E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BodyText"/>
        <w:tabs>
          <w:tab w:val="left" w:pos="1480"/>
        </w:tabs>
        <w:spacing w:after="0"/>
        <w:rPr>
          <w:rFonts w:ascii="Times New Roman" w:hAnsi="Times New Roman"/>
          <w:szCs w:val="20"/>
          <w:lang w:eastAsia="zh-CN"/>
        </w:rPr>
      </w:pPr>
    </w:p>
    <w:p w14:paraId="333F76A9" w14:textId="77777777" w:rsidR="00627FFE" w:rsidRDefault="00627FFE">
      <w:pPr>
        <w:pStyle w:val="BodyText"/>
        <w:spacing w:after="0"/>
        <w:rPr>
          <w:rFonts w:ascii="Times New Roman" w:hAnsi="Times New Roman"/>
          <w:szCs w:val="20"/>
          <w:lang w:eastAsia="zh-CN"/>
        </w:rPr>
      </w:pPr>
    </w:p>
    <w:p w14:paraId="24B8119B"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488237A" w14:textId="77777777" w:rsidR="00627FFE" w:rsidRDefault="0098784F">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BodyText"/>
        <w:tabs>
          <w:tab w:val="left" w:pos="1480"/>
        </w:tabs>
        <w:spacing w:after="0"/>
        <w:rPr>
          <w:rFonts w:ascii="Times New Roman" w:hAnsi="Times New Roman"/>
          <w:szCs w:val="20"/>
          <w:lang w:eastAsia="zh-CN"/>
        </w:rPr>
      </w:pPr>
    </w:p>
    <w:p w14:paraId="0156F503" w14:textId="77777777" w:rsidR="00627FFE" w:rsidRDefault="00627FFE">
      <w:pPr>
        <w:pStyle w:val="BodyText"/>
        <w:tabs>
          <w:tab w:val="left" w:pos="1480"/>
        </w:tabs>
        <w:spacing w:after="0"/>
        <w:rPr>
          <w:rFonts w:ascii="Times New Roman" w:hAnsi="Times New Roman"/>
          <w:szCs w:val="20"/>
          <w:lang w:eastAsia="zh-CN"/>
        </w:rPr>
      </w:pPr>
    </w:p>
    <w:p w14:paraId="0002210D"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BodyText"/>
        <w:spacing w:after="0"/>
        <w:rPr>
          <w:rFonts w:ascii="Times New Roman" w:eastAsiaTheme="minorEastAsia" w:hAnsi="Times New Roman"/>
          <w:szCs w:val="20"/>
          <w:lang w:eastAsia="ko-KR"/>
        </w:rPr>
      </w:pPr>
    </w:p>
    <w:p w14:paraId="506E2F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12D63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24D55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BodyText"/>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7DED684" w14:textId="1EFD23AD" w:rsidR="009905CE" w:rsidRDefault="009905CE"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BodyText"/>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3122FC" w14:paraId="65006133" w14:textId="77777777">
        <w:tc>
          <w:tcPr>
            <w:tcW w:w="1255" w:type="dxa"/>
          </w:tcPr>
          <w:p w14:paraId="316F2C68" w14:textId="35887719" w:rsidR="003122FC" w:rsidRDefault="003122F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1076D7F" w14:textId="79D5E325" w:rsidR="003122FC" w:rsidRDefault="000500C6" w:rsidP="009905C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w:t>
            </w:r>
            <w:r w:rsidR="001878F0">
              <w:rPr>
                <w:rFonts w:ascii="Times New Roman" w:eastAsia="Yu Mincho" w:hAnsi="Times New Roman"/>
                <w:szCs w:val="20"/>
                <w:lang w:eastAsia="ja-JP"/>
              </w:rPr>
              <w:t xml:space="preserve">on issues that have no parallel discussions in RAN2. For example, </w:t>
            </w:r>
            <w:r w:rsidR="000D01A0">
              <w:rPr>
                <w:rFonts w:ascii="Times New Roman" w:eastAsia="Yu Mincho" w:hAnsi="Times New Roman"/>
                <w:szCs w:val="20"/>
                <w:lang w:eastAsia="ja-JP"/>
              </w:rPr>
              <w:t xml:space="preserve">channels allowed during non-active time are currently being discussed in RAN2 and </w:t>
            </w:r>
            <w:r w:rsidR="00817590">
              <w:rPr>
                <w:rFonts w:ascii="Times New Roman" w:eastAsia="Yu Mincho" w:hAnsi="Times New Roman"/>
                <w:szCs w:val="20"/>
                <w:lang w:eastAsia="ja-JP"/>
              </w:rPr>
              <w:t>RAN1 should wait for RAN2</w:t>
            </w:r>
            <w:r w:rsidR="00BC3D77">
              <w:rPr>
                <w:rFonts w:ascii="Times New Roman" w:eastAsia="Yu Mincho" w:hAnsi="Times New Roman"/>
                <w:szCs w:val="20"/>
                <w:lang w:eastAsia="ja-JP"/>
              </w:rPr>
              <w:t>’s</w:t>
            </w:r>
            <w:r w:rsidR="00817590">
              <w:rPr>
                <w:rFonts w:ascii="Times New Roman" w:eastAsia="Yu Mincho" w:hAnsi="Times New Roman"/>
                <w:szCs w:val="20"/>
                <w:lang w:eastAsia="ja-JP"/>
              </w:rPr>
              <w:t xml:space="preserve"> decision and then decide what </w:t>
            </w:r>
            <w:r w:rsidR="002E6EC6">
              <w:rPr>
                <w:rFonts w:ascii="Times New Roman" w:eastAsia="Yu Mincho" w:hAnsi="Times New Roman"/>
                <w:szCs w:val="20"/>
                <w:lang w:eastAsia="ja-JP"/>
              </w:rPr>
              <w:t>is</w:t>
            </w:r>
            <w:r w:rsidR="00817590">
              <w:rPr>
                <w:rFonts w:ascii="Times New Roman" w:eastAsia="Yu Mincho" w:hAnsi="Times New Roman"/>
                <w:szCs w:val="20"/>
                <w:lang w:eastAsia="ja-JP"/>
              </w:rPr>
              <w:t xml:space="preserve"> left for RAN1 to consider</w:t>
            </w:r>
            <w:r w:rsidR="00BC3D77">
              <w:rPr>
                <w:rFonts w:ascii="Times New Roman" w:eastAsia="Yu Mincho" w:hAnsi="Times New Roman"/>
                <w:szCs w:val="20"/>
                <w:lang w:eastAsia="ja-JP"/>
              </w:rPr>
              <w:t>. For now, i</w:t>
            </w:r>
            <w:r w:rsidR="00AF1A4F">
              <w:rPr>
                <w:rFonts w:ascii="Times New Roman" w:eastAsia="Yu Mincho" w:hAnsi="Times New Roman"/>
                <w:szCs w:val="20"/>
                <w:lang w:eastAsia="ja-JP"/>
              </w:rPr>
              <w:t xml:space="preserve">n our view, </w:t>
            </w:r>
            <w:r w:rsidR="00BC3D77">
              <w:rPr>
                <w:rFonts w:ascii="Times New Roman" w:eastAsia="Yu Mincho" w:hAnsi="Times New Roman"/>
                <w:szCs w:val="20"/>
                <w:lang w:eastAsia="ja-JP"/>
              </w:rPr>
              <w:t xml:space="preserve">RAN1 should only focus on </w:t>
            </w:r>
            <w:r w:rsidR="00292EF3">
              <w:rPr>
                <w:rFonts w:ascii="Times New Roman" w:eastAsia="Yu Mincho" w:hAnsi="Times New Roman"/>
                <w:szCs w:val="20"/>
                <w:lang w:eastAsia="ja-JP"/>
              </w:rPr>
              <w:t xml:space="preserve">RS and its associated procedure. </w:t>
            </w:r>
            <w:r w:rsidR="00AF1A4F">
              <w:rPr>
                <w:rFonts w:ascii="Times New Roman" w:eastAsia="Yu Mincho" w:hAnsi="Times New Roman"/>
                <w:szCs w:val="20"/>
                <w:lang w:eastAsia="ja-JP"/>
              </w:rPr>
              <w:t xml:space="preserve"> </w:t>
            </w:r>
          </w:p>
        </w:tc>
      </w:tr>
    </w:tbl>
    <w:p w14:paraId="38557B50" w14:textId="77777777" w:rsidR="00627FFE" w:rsidRDefault="00627FFE">
      <w:pPr>
        <w:pStyle w:val="BodyText"/>
        <w:spacing w:after="0"/>
        <w:rPr>
          <w:rFonts w:ascii="Times New Roman" w:eastAsiaTheme="minorEastAsia" w:hAnsi="Times New Roman"/>
          <w:szCs w:val="20"/>
          <w:lang w:eastAsia="ko-KR"/>
        </w:rPr>
      </w:pPr>
    </w:p>
    <w:p w14:paraId="42688E72" w14:textId="77777777" w:rsidR="00627FFE" w:rsidRDefault="00627FFE">
      <w:pPr>
        <w:pStyle w:val="BodyText"/>
        <w:spacing w:after="0"/>
        <w:rPr>
          <w:rFonts w:ascii="Times New Roman" w:hAnsi="Times New Roman"/>
          <w:szCs w:val="20"/>
          <w:lang w:eastAsia="zh-CN"/>
        </w:rPr>
      </w:pPr>
    </w:p>
    <w:p w14:paraId="402D88DA" w14:textId="77777777" w:rsidR="00627FFE" w:rsidRDefault="0098784F">
      <w:pPr>
        <w:pStyle w:val="Heading2"/>
        <w:ind w:left="720" w:hanging="720"/>
        <w:rPr>
          <w:rFonts w:eastAsia="SimSun"/>
          <w:lang w:val="en-US" w:eastAsia="zh-CN"/>
        </w:rPr>
      </w:pPr>
      <w:r>
        <w:rPr>
          <w:rFonts w:eastAsia="SimSun"/>
          <w:lang w:val="en-US" w:eastAsia="zh-CN"/>
        </w:rPr>
        <w:t>2.3 Signaling aspects of cell DTX/DRX</w:t>
      </w:r>
    </w:p>
    <w:p w14:paraId="2DE7DA1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Deactivate the configured pattern DTX/DRX completely for a duration of time, or</w:t>
      </w:r>
    </w:p>
    <w:p w14:paraId="5BB699B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64156C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3AB546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ED0F4A3"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6EE6D1D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Consider DCI based indication to activate a cell DTX/DRX pattern.</w:t>
      </w:r>
    </w:p>
    <w:p w14:paraId="32A00CB8"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20BB617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27A51CC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044D5217"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B9F530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4FA330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8AE8B3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72A497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2C0AA4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6772A49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582E0C0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798FA42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603D5C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42DA82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BC6114B"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78927456" w14:textId="77777777" w:rsidR="00627FFE" w:rsidRDefault="00627FFE">
      <w:pPr>
        <w:pStyle w:val="BodyText"/>
        <w:spacing w:after="0"/>
        <w:rPr>
          <w:rFonts w:ascii="Times New Roman" w:hAnsi="Times New Roman"/>
          <w:szCs w:val="20"/>
          <w:lang w:eastAsia="zh-CN"/>
        </w:rPr>
      </w:pPr>
    </w:p>
    <w:p w14:paraId="2585FE74" w14:textId="77777777" w:rsidR="00627FFE" w:rsidRDefault="00627FFE">
      <w:pPr>
        <w:pStyle w:val="BodyText"/>
        <w:spacing w:after="0"/>
        <w:rPr>
          <w:rFonts w:ascii="Times New Roman" w:hAnsi="Times New Roman"/>
          <w:szCs w:val="20"/>
          <w:lang w:eastAsia="zh-CN"/>
        </w:rPr>
      </w:pPr>
    </w:p>
    <w:p w14:paraId="207F81AF"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569ECC5F"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BodyText"/>
        <w:spacing w:after="0"/>
        <w:rPr>
          <w:rFonts w:ascii="Times New Roman" w:hAnsi="Times New Roman"/>
          <w:szCs w:val="20"/>
          <w:lang w:eastAsia="zh-CN"/>
        </w:rPr>
      </w:pPr>
    </w:p>
    <w:p w14:paraId="6EE69CB0"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20160C2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BodyText"/>
        <w:spacing w:after="0"/>
        <w:rPr>
          <w:rFonts w:ascii="Times New Roman" w:eastAsiaTheme="minorEastAsia" w:hAnsi="Times New Roman"/>
          <w:szCs w:val="20"/>
          <w:lang w:eastAsia="ko-KR"/>
        </w:rPr>
      </w:pPr>
    </w:p>
    <w:p w14:paraId="10F989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BodyText"/>
        <w:spacing w:after="0"/>
        <w:rPr>
          <w:rFonts w:ascii="Times New Roman" w:eastAsiaTheme="minorEastAsia" w:hAnsi="Times New Roman"/>
          <w:szCs w:val="20"/>
          <w:lang w:eastAsia="ko-KR"/>
        </w:rPr>
      </w:pPr>
    </w:p>
    <w:p w14:paraId="2B03044B"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BodyText"/>
        <w:spacing w:after="0"/>
        <w:rPr>
          <w:rFonts w:ascii="Times New Roman" w:eastAsiaTheme="minorEastAsia" w:hAnsi="Times New Roman"/>
          <w:szCs w:val="20"/>
          <w:lang w:eastAsia="ko-KR"/>
        </w:rPr>
      </w:pPr>
    </w:p>
    <w:p w14:paraId="1A93088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7668ED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2481941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98784F">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D371275" w14:textId="77777777" w:rsidR="00627FFE" w:rsidRDefault="0098784F">
            <w:pPr>
              <w:pStyle w:val="BodyText"/>
            </w:pPr>
            <w:r>
              <w:lastRenderedPageBreak/>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4CC08BD" w14:textId="77777777" w:rsidR="00627FFE" w:rsidRDefault="00627FFE">
            <w:pPr>
              <w:pStyle w:val="BodyText"/>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19E009D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42E58DB0"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7F5E7DC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1D50C5A6" w14:textId="745F42FD"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F0FF8" w14:paraId="3CE29517" w14:textId="77777777" w:rsidTr="000916DA">
        <w:tc>
          <w:tcPr>
            <w:tcW w:w="1305" w:type="dxa"/>
          </w:tcPr>
          <w:p w14:paraId="7AAFEB52" w14:textId="70E7C084" w:rsidR="00FF0FF8" w:rsidRDefault="00FF0FF8"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9E3A29F" w14:textId="78A95C60" w:rsidR="00FF0FF8" w:rsidRDefault="00FF0FF8" w:rsidP="002D4CC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bl>
    <w:p w14:paraId="66D32514" w14:textId="77777777" w:rsidR="00627FFE" w:rsidRDefault="00627FFE">
      <w:pPr>
        <w:pStyle w:val="BodyText"/>
        <w:spacing w:after="0"/>
        <w:rPr>
          <w:rFonts w:ascii="Times New Roman" w:eastAsiaTheme="minorEastAsia" w:hAnsi="Times New Roman"/>
          <w:szCs w:val="20"/>
          <w:lang w:eastAsia="ko-KR"/>
        </w:rPr>
      </w:pPr>
    </w:p>
    <w:p w14:paraId="4D424BC1" w14:textId="77777777" w:rsidR="00627FFE" w:rsidRDefault="00627FFE">
      <w:pPr>
        <w:pStyle w:val="BodyText"/>
        <w:spacing w:after="0"/>
        <w:rPr>
          <w:rFonts w:ascii="Times New Roman" w:hAnsi="Times New Roman"/>
          <w:szCs w:val="20"/>
          <w:lang w:eastAsia="zh-CN"/>
        </w:rPr>
      </w:pPr>
    </w:p>
    <w:p w14:paraId="0360FCA4" w14:textId="77777777" w:rsidR="00627FFE" w:rsidRDefault="00627FFE">
      <w:pPr>
        <w:pStyle w:val="BodyText"/>
        <w:spacing w:after="0"/>
        <w:rPr>
          <w:rFonts w:ascii="Times New Roman" w:eastAsiaTheme="minorEastAsia" w:hAnsi="Times New Roman"/>
          <w:szCs w:val="20"/>
          <w:lang w:eastAsia="ko-KR"/>
        </w:rPr>
      </w:pPr>
    </w:p>
    <w:p w14:paraId="3AC8C4AB" w14:textId="77777777" w:rsidR="00627FFE" w:rsidRDefault="00627FFE">
      <w:pPr>
        <w:pStyle w:val="BodyText"/>
        <w:spacing w:after="0"/>
        <w:rPr>
          <w:rFonts w:ascii="Times New Roman" w:eastAsiaTheme="minorEastAsia" w:hAnsi="Times New Roman"/>
          <w:szCs w:val="20"/>
          <w:lang w:eastAsia="ko-KR"/>
        </w:rPr>
      </w:pPr>
    </w:p>
    <w:p w14:paraId="432DAA97" w14:textId="77777777" w:rsidR="00627FFE" w:rsidRDefault="0098784F">
      <w:pPr>
        <w:pStyle w:val="Heading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91772E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13A0E6F6"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2C9E9189"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25887E5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055089E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98784F">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61C6ABAC"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98784F">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A9E573C"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98784F">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2E0E5BF" w14:textId="77777777" w:rsidR="00627FFE" w:rsidRDefault="0098784F">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8DAAA0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17B8A52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0635D71"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BodyText"/>
        <w:spacing w:after="0"/>
        <w:rPr>
          <w:rFonts w:ascii="Times New Roman" w:hAnsi="Times New Roman"/>
          <w:szCs w:val="20"/>
          <w:lang w:eastAsia="zh-CN"/>
        </w:rPr>
      </w:pPr>
    </w:p>
    <w:p w14:paraId="71E3EC82" w14:textId="77777777" w:rsidR="00627FFE" w:rsidRDefault="00627FFE">
      <w:pPr>
        <w:pStyle w:val="BodyText"/>
        <w:spacing w:after="0"/>
        <w:rPr>
          <w:rFonts w:ascii="Times New Roman" w:hAnsi="Times New Roman"/>
          <w:szCs w:val="20"/>
          <w:lang w:eastAsia="zh-CN"/>
        </w:rPr>
      </w:pPr>
    </w:p>
    <w:p w14:paraId="4FF52F90"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0C2E81C1"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BodyText"/>
        <w:spacing w:after="0"/>
        <w:rPr>
          <w:rFonts w:ascii="Times New Roman" w:hAnsi="Times New Roman"/>
          <w:szCs w:val="20"/>
          <w:lang w:eastAsia="zh-CN"/>
        </w:rPr>
      </w:pPr>
    </w:p>
    <w:p w14:paraId="4CFE0E9F"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983BB0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BodyText"/>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BodyText"/>
        <w:spacing w:after="0"/>
        <w:rPr>
          <w:rFonts w:ascii="Times New Roman" w:eastAsiaTheme="minorEastAsia" w:hAnsi="Times New Roman"/>
          <w:szCs w:val="20"/>
          <w:lang w:eastAsia="ko-KR"/>
        </w:rPr>
      </w:pPr>
    </w:p>
    <w:p w14:paraId="7062B0A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w:t>
            </w:r>
            <w:proofErr w:type="gramStart"/>
            <w:r>
              <w:t>crowed</w:t>
            </w:r>
            <w:proofErr w:type="gramEnd"/>
            <w:r>
              <w:t xml:space="preserve">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6A12312A" w14:textId="77777777" w:rsidR="00627FFE" w:rsidRDefault="0098784F">
            <w:pPr>
              <w:pStyle w:val="BodyText"/>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0766FD5"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8045" w:type="dxa"/>
          </w:tcPr>
          <w:p w14:paraId="7412655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98784F">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BodyText"/>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3CA7E6A" w14:textId="58341B68" w:rsidR="000916DA" w:rsidRDefault="000916DA"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55FD5" w14:paraId="54A96B46" w14:textId="77777777" w:rsidTr="000916DA">
        <w:tc>
          <w:tcPr>
            <w:tcW w:w="1305" w:type="dxa"/>
          </w:tcPr>
          <w:p w14:paraId="4E8CC581" w14:textId="049D3006" w:rsidR="00B55FD5" w:rsidRDefault="00B55FD5" w:rsidP="000916D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0981D3DD" w14:textId="28431BD1" w:rsidR="00B55FD5" w:rsidRDefault="0024510C"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bl>
    <w:p w14:paraId="7F8BBB6E" w14:textId="77777777" w:rsidR="00627FFE" w:rsidRDefault="00627FFE">
      <w:pPr>
        <w:pStyle w:val="BodyText"/>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BodyText"/>
        <w:spacing w:after="0"/>
        <w:rPr>
          <w:rFonts w:ascii="Times New Roman" w:hAnsi="Times New Roman"/>
          <w:szCs w:val="20"/>
          <w:lang w:eastAsia="zh-CN"/>
        </w:rPr>
      </w:pPr>
    </w:p>
    <w:p w14:paraId="0CECDD2B" w14:textId="77777777" w:rsidR="00627FFE" w:rsidRDefault="0098784F">
      <w:pPr>
        <w:pStyle w:val="Heading2"/>
        <w:rPr>
          <w:rFonts w:eastAsia="SimSun"/>
          <w:lang w:val="en-US" w:eastAsia="zh-CN"/>
        </w:rPr>
      </w:pPr>
      <w:r>
        <w:rPr>
          <w:rFonts w:eastAsia="SimSun"/>
          <w:lang w:val="en-US" w:eastAsia="zh-CN"/>
        </w:rPr>
        <w:t>2.5 Signals/Channels impacted by cell DTX/DRX</w:t>
      </w:r>
    </w:p>
    <w:p w14:paraId="75ED6674"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F8053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0A506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5EF8AC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E88F9F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00443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FADBB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6C41C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B287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697CB85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UE still monitors PRS in non-active period of cell DTX.</w:t>
      </w:r>
    </w:p>
    <w:p w14:paraId="5F10B56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98784F">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w:t>
      </w:r>
      <w:proofErr w:type="gramStart"/>
      <w:r>
        <w:rPr>
          <w:rFonts w:ascii="Times New Roman" w:hAnsi="Times New Roman"/>
          <w:szCs w:val="20"/>
          <w:lang w:eastAsia="zh-CN"/>
        </w:rPr>
        <w:t>transmit</w:t>
      </w:r>
      <w:proofErr w:type="gramEnd"/>
      <w:r>
        <w:rPr>
          <w:rFonts w:ascii="Times New Roman" w:hAnsi="Times New Roman"/>
          <w:szCs w:val="20"/>
          <w:lang w:eastAsia="zh-CN"/>
        </w:rPr>
        <w:t xml:space="preserve"> during non-active period of cell DTX should be studied, and UE performance impact should be considered.</w:t>
      </w:r>
    </w:p>
    <w:p w14:paraId="255546B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B11D2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C35A57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98784F">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A819DC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Type-3 CSS</w:t>
      </w:r>
    </w:p>
    <w:p w14:paraId="36B9FEE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435396A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6AD8CA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644C57E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978DB5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During the non-active periods of cell DRX, UE does not transmit the periodic/semi-persistent CSI/beam report.</w:t>
      </w:r>
    </w:p>
    <w:p w14:paraId="35A8273C"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6E89C906"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6F1D1D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PDCCH monitoring scrambled by MCS-RNTI is not impacted by cell non-active periods.</w:t>
      </w:r>
    </w:p>
    <w:p w14:paraId="1D853D2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B87D36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ED2460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0FB2B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3EEF2B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407A699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B187C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D167A63"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5C1AACA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65F81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19083E76"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4A8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Paragraph"/>
        <w:numPr>
          <w:ilvl w:val="1"/>
          <w:numId w:val="3"/>
        </w:numPr>
        <w:rPr>
          <w:sz w:val="20"/>
          <w:szCs w:val="20"/>
        </w:rPr>
      </w:pPr>
      <w:r>
        <w:rPr>
          <w:sz w:val="20"/>
          <w:szCs w:val="20"/>
        </w:rPr>
        <w:t>TRS is excluded from the set of signals that are muted during inactive periods corresponding to cell DTX</w:t>
      </w:r>
    </w:p>
    <w:p w14:paraId="079E3104" w14:textId="77777777" w:rsidR="00627FFE" w:rsidRDefault="0098784F">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98784F">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49F8EA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[26] Qualcomm</w:t>
      </w:r>
    </w:p>
    <w:p w14:paraId="1E2D372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05FAC9"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3B126A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21CC505B"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CFA070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54F22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FE6F0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6F6F41A"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AFF73FF"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511BC5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2782579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98784F">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98784F">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2B3D726"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98784F">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BodyText"/>
        <w:spacing w:after="0"/>
        <w:rPr>
          <w:rFonts w:ascii="Times New Roman" w:hAnsi="Times New Roman"/>
          <w:szCs w:val="20"/>
          <w:lang w:eastAsia="zh-CN"/>
        </w:rPr>
      </w:pPr>
    </w:p>
    <w:p w14:paraId="3B3C74E9"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195DE63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BodyText"/>
        <w:spacing w:after="0"/>
        <w:rPr>
          <w:rFonts w:ascii="Times New Roman" w:hAnsi="Times New Roman"/>
          <w:szCs w:val="20"/>
          <w:lang w:eastAsia="zh-CN"/>
        </w:rPr>
      </w:pPr>
    </w:p>
    <w:p w14:paraId="09773984"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in USS</w:t>
      </w:r>
    </w:p>
    <w:p w14:paraId="7839A0F2"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BodyText"/>
        <w:spacing w:after="0"/>
        <w:rPr>
          <w:rFonts w:ascii="Times New Roman" w:hAnsi="Times New Roman"/>
          <w:szCs w:val="20"/>
          <w:lang w:eastAsia="zh-CN"/>
        </w:rPr>
      </w:pPr>
    </w:p>
    <w:p w14:paraId="200ACB9D"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BodyText"/>
        <w:spacing w:after="0"/>
        <w:rPr>
          <w:rFonts w:ascii="Times New Roman" w:hAnsi="Times New Roman"/>
          <w:szCs w:val="20"/>
          <w:lang w:eastAsia="zh-CN"/>
        </w:rPr>
      </w:pPr>
    </w:p>
    <w:p w14:paraId="274CBE89"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46364A7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BodyText"/>
        <w:spacing w:after="0"/>
        <w:rPr>
          <w:rFonts w:ascii="Times New Roman" w:eastAsiaTheme="minorEastAsia" w:hAnsi="Times New Roman"/>
          <w:szCs w:val="20"/>
          <w:lang w:eastAsia="ko-KR"/>
        </w:rPr>
      </w:pPr>
    </w:p>
    <w:p w14:paraId="696F2AE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8CD42C5" w14:textId="77777777" w:rsidR="00627FFE" w:rsidRDefault="00627FFE">
      <w:pPr>
        <w:pStyle w:val="BodyText"/>
        <w:spacing w:after="0"/>
        <w:rPr>
          <w:rFonts w:ascii="Times New Roman" w:eastAsiaTheme="minorEastAsia" w:hAnsi="Times New Roman"/>
          <w:szCs w:val="20"/>
          <w:lang w:eastAsia="ko-KR"/>
        </w:rPr>
      </w:pPr>
    </w:p>
    <w:p w14:paraId="25876685"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BodyText"/>
        <w:spacing w:after="0"/>
        <w:rPr>
          <w:rFonts w:ascii="Times New Roman" w:eastAsiaTheme="minorEastAsia" w:hAnsi="Times New Roman"/>
          <w:szCs w:val="20"/>
          <w:lang w:eastAsia="ko-KR"/>
        </w:rPr>
      </w:pPr>
    </w:p>
    <w:p w14:paraId="58D5EA65" w14:textId="77777777" w:rsidR="00627FFE" w:rsidRDefault="0098784F">
      <w:pPr>
        <w:pStyle w:val="Heading5"/>
        <w:rPr>
          <w:rFonts w:eastAsiaTheme="minorEastAsia"/>
          <w:lang w:eastAsia="ko-KR"/>
        </w:rPr>
      </w:pPr>
      <w:r>
        <w:rPr>
          <w:rFonts w:eastAsiaTheme="minorEastAsia"/>
          <w:lang w:eastAsia="ko-KR"/>
        </w:rPr>
        <w:t>Proposal #5-1</w:t>
      </w:r>
    </w:p>
    <w:p w14:paraId="218E0E1E"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61C05E2D"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FD8B0E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BodyText"/>
        <w:overflowPunct w:val="0"/>
        <w:spacing w:after="0" w:line="252" w:lineRule="auto"/>
        <w:rPr>
          <w:rFonts w:ascii="Times New Roman" w:eastAsiaTheme="minorEastAsia" w:hAnsi="Times New Roman"/>
          <w:szCs w:val="20"/>
          <w:lang w:eastAsia="ko-KR"/>
        </w:rPr>
      </w:pPr>
    </w:p>
    <w:p w14:paraId="2CC97D88" w14:textId="77777777" w:rsidR="00627FFE" w:rsidRDefault="0098784F">
      <w:pPr>
        <w:pStyle w:val="Heading5"/>
        <w:rPr>
          <w:rFonts w:eastAsiaTheme="minorEastAsia"/>
          <w:lang w:eastAsia="ko-KR"/>
        </w:rPr>
      </w:pPr>
      <w:r>
        <w:rPr>
          <w:rFonts w:eastAsiaTheme="minorEastAsia"/>
          <w:lang w:eastAsia="ko-KR"/>
        </w:rPr>
        <w:lastRenderedPageBreak/>
        <w:t>Proposal #5-2</w:t>
      </w:r>
    </w:p>
    <w:p w14:paraId="48E19C27"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12306487"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BodyText"/>
        <w:spacing w:after="0"/>
        <w:rPr>
          <w:rFonts w:ascii="Times New Roman" w:eastAsiaTheme="minorEastAsia" w:hAnsi="Times New Roman"/>
          <w:szCs w:val="20"/>
          <w:lang w:eastAsia="ko-KR"/>
        </w:rPr>
      </w:pPr>
    </w:p>
    <w:p w14:paraId="3B4C1196" w14:textId="77777777" w:rsidR="00627FFE" w:rsidRDefault="00627FFE">
      <w:pPr>
        <w:pStyle w:val="BodyText"/>
        <w:spacing w:after="0"/>
        <w:rPr>
          <w:rFonts w:ascii="Times New Roman" w:eastAsiaTheme="minorEastAsia" w:hAnsi="Times New Roman"/>
          <w:szCs w:val="20"/>
          <w:lang w:eastAsia="ko-KR"/>
        </w:rPr>
      </w:pPr>
    </w:p>
    <w:p w14:paraId="704B8DC4"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8AC8376" w14:textId="77777777" w:rsidR="00627FFE" w:rsidRDefault="00627FFE">
      <w:pPr>
        <w:pStyle w:val="BodyText"/>
        <w:spacing w:after="0"/>
        <w:rPr>
          <w:rFonts w:ascii="Times New Roman" w:eastAsiaTheme="minorEastAsia" w:hAnsi="Times New Roman"/>
          <w:szCs w:val="20"/>
          <w:lang w:eastAsia="ko-KR"/>
        </w:rPr>
      </w:pPr>
    </w:p>
    <w:p w14:paraId="3D3C2BEC" w14:textId="77777777" w:rsidR="00627FFE" w:rsidRDefault="0098784F">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88EC714"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77777777" w:rsidR="00627FFE" w:rsidRDefault="0098784F">
            <w:pPr>
              <w:pStyle w:val="Heading5"/>
              <w:rPr>
                <w:rFonts w:eastAsiaTheme="minorEastAsia"/>
                <w:i/>
                <w:iCs/>
                <w:lang w:eastAsia="ko-KR"/>
              </w:rPr>
            </w:pPr>
            <w:r>
              <w:rPr>
                <w:rFonts w:eastAsiaTheme="minorEastAsia"/>
                <w:i/>
                <w:iCs/>
                <w:lang w:eastAsia="ko-KR"/>
              </w:rPr>
              <w:t>Proposal #5-1</w:t>
            </w:r>
          </w:p>
          <w:p w14:paraId="10C6973F"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DA50D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F4051C8"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lastRenderedPageBreak/>
              <w:t>AI-RNTI</w:t>
            </w:r>
          </w:p>
          <w:p w14:paraId="21B4B400"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FAFDFE6" w14:textId="77777777" w:rsidR="00627FFE" w:rsidRDefault="0098784F">
            <w:pPr>
              <w:pStyle w:val="Heading5"/>
              <w:rPr>
                <w:rFonts w:eastAsiaTheme="minorEastAsia"/>
                <w:i/>
                <w:iCs/>
                <w:lang w:eastAsia="ko-KR"/>
              </w:rPr>
            </w:pPr>
            <w:r>
              <w:rPr>
                <w:rFonts w:eastAsiaTheme="minorEastAsia"/>
                <w:i/>
                <w:iCs/>
                <w:lang w:eastAsia="ko-KR"/>
              </w:rPr>
              <w:t>Proposal #5-2</w:t>
            </w:r>
          </w:p>
          <w:p w14:paraId="092D4902" w14:textId="77777777" w:rsidR="00627FFE" w:rsidRDefault="0098784F">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568C06"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98784F">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5E49861"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23B0ECBA"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98784F">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081A424D"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0E2BFC1"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EBC657D" w14:textId="77777777" w:rsidR="00627FFE" w:rsidRDefault="0098784F">
            <w:r>
              <w:rPr>
                <w:noProof/>
              </w:rPr>
              <w:drawing>
                <wp:inline distT="0" distB="0" distL="0" distR="0" wp14:anchorId="24B52553" wp14:editId="5465B6F2">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rPr>
              <w:drawing>
                <wp:inline distT="0" distB="0" distL="0" distR="0" wp14:anchorId="5D283AED" wp14:editId="6B698E35">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ig. 1 UE DRX/Cell DTX not aligned with CSI-RS</w:t>
            </w:r>
          </w:p>
          <w:p w14:paraId="5948058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3632A4AA"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98784F">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77777777" w:rsidR="00627FFE" w:rsidRDefault="0098784F">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98784F">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7777777" w:rsidR="00627FFE" w:rsidRDefault="0098784F">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1297E730" w14:textId="77777777" w:rsidR="00627FFE" w:rsidRDefault="0098784F">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98784F">
            <w:pPr>
              <w:pStyle w:val="BodyText"/>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20C9CA0D" w14:textId="77777777" w:rsidR="00627FFE" w:rsidRDefault="00627FFE">
            <w:pPr>
              <w:pStyle w:val="BodyText"/>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77777777"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77777777" w:rsidR="00627FFE" w:rsidRDefault="0098784F">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#5-2:</w:t>
            </w:r>
          </w:p>
          <w:p w14:paraId="21FE8EF0"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 xml:space="preserve">Similar </w:t>
            </w:r>
            <w:proofErr w:type="gramStart"/>
            <w:r>
              <w:rPr>
                <w:rFonts w:ascii="Times New Roman" w:hAnsi="Times New Roman"/>
                <w:szCs w:val="20"/>
                <w:lang w:eastAsia="zh-CN"/>
              </w:rPr>
              <w:t>as</w:t>
            </w:r>
            <w:proofErr w:type="gramEnd"/>
            <w:r>
              <w:rPr>
                <w:rFonts w:ascii="Times New Roman" w:hAnsi="Times New Roman"/>
                <w:szCs w:val="20"/>
                <w:lang w:eastAsia="zh-CN"/>
              </w:rPr>
              <w:t xml:space="preserve"> proposal#5-1,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DBE59B1" w14:textId="77777777" w:rsidR="00627FFE" w:rsidRDefault="0098784F">
            <w:pPr>
              <w:pStyle w:val="BodyText"/>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BodyText"/>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1B63EEA2" w14:textId="77777777" w:rsidR="000916DA" w:rsidRDefault="000916DA"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#5-2,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#5-2.</w:t>
            </w:r>
          </w:p>
        </w:tc>
      </w:tr>
      <w:tr w:rsidR="00661343" w14:paraId="04ADAD61" w14:textId="77777777">
        <w:trPr>
          <w:trHeight w:val="598"/>
        </w:trPr>
        <w:tc>
          <w:tcPr>
            <w:tcW w:w="1255" w:type="dxa"/>
          </w:tcPr>
          <w:p w14:paraId="5FDD0316" w14:textId="125ABD30" w:rsidR="00661343" w:rsidRDefault="00661343"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77777777" w:rsidR="00661343" w:rsidRDefault="00661343"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#5-1:</w:t>
            </w:r>
          </w:p>
          <w:p w14:paraId="2145D384" w14:textId="77777777"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 xml:space="preserve">Agree with vivo to add </w:t>
            </w:r>
            <w:r w:rsidR="00661343">
              <w:rPr>
                <w:rFonts w:ascii="Times New Roman" w:eastAsiaTheme="minorEastAsia" w:hAnsi="Times New Roman"/>
                <w:lang w:eastAsia="ko-KR"/>
              </w:rPr>
              <w:t>CSI-RS for channel measurement, i.e., not configured with ‘</w:t>
            </w:r>
            <w:proofErr w:type="spellStart"/>
            <w:r w:rsidR="00661343">
              <w:rPr>
                <w:rFonts w:ascii="Times New Roman" w:eastAsiaTheme="minorEastAsia" w:hAnsi="Times New Roman"/>
                <w:lang w:eastAsia="ko-KR"/>
              </w:rPr>
              <w:t>trs</w:t>
            </w:r>
            <w:proofErr w:type="spellEnd"/>
            <w:r w:rsidR="00661343">
              <w:rPr>
                <w:rFonts w:ascii="Times New Roman" w:eastAsiaTheme="minorEastAsia" w:hAnsi="Times New Roman"/>
                <w:lang w:eastAsia="ko-KR"/>
              </w:rPr>
              <w:t xml:space="preserve">-info’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BodyText"/>
              <w:spacing w:after="0"/>
              <w:rPr>
                <w:rFonts w:ascii="Times New Roman" w:eastAsiaTheme="minorEastAsia" w:hAnsi="Times New Roman"/>
                <w:lang w:eastAsia="ko-KR"/>
              </w:rPr>
            </w:pPr>
          </w:p>
          <w:p w14:paraId="3D0B4F48" w14:textId="5FBF39EE" w:rsidR="00661343" w:rsidRDefault="00661343" w:rsidP="00661343">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#5-2:</w:t>
            </w:r>
          </w:p>
          <w:p w14:paraId="461E3DF2" w14:textId="149FBACE" w:rsidR="00661343" w:rsidRDefault="00661343" w:rsidP="00661343">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BodyText"/>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C54004A" w14:textId="77777777" w:rsidR="009905CE" w:rsidRDefault="009905CE" w:rsidP="000916DA">
            <w:pPr>
              <w:pStyle w:val="BodyText"/>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#5-1</w:t>
            </w:r>
            <w:r>
              <w:rPr>
                <w:rFonts w:ascii="Times New Roman" w:eastAsiaTheme="minorEastAsia" w:hAnsi="Times New Roman"/>
                <w:lang w:eastAsia="ko-KR"/>
              </w:rPr>
              <w:t>:</w:t>
            </w:r>
          </w:p>
          <w:p w14:paraId="1881D4EB" w14:textId="5DF999E1"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A367BFA" w14:textId="50D821F8" w:rsidR="009905CE" w:rsidRDefault="009905CE" w:rsidP="000916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27337E88" w14:textId="77777777" w:rsidR="009905CE" w:rsidRDefault="009905CE" w:rsidP="000916DA">
            <w:pPr>
              <w:pStyle w:val="BodyText"/>
              <w:spacing w:after="0"/>
              <w:rPr>
                <w:rFonts w:ascii="Times New Roman" w:eastAsiaTheme="minorEastAsia" w:hAnsi="Times New Roman"/>
                <w:lang w:eastAsia="ko-KR"/>
              </w:rPr>
            </w:pPr>
          </w:p>
          <w:p w14:paraId="3976FF26"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9129E13"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359D81E" w14:textId="77777777" w:rsidR="009905CE" w:rsidRDefault="009905CE" w:rsidP="009905C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BodyText"/>
              <w:spacing w:after="0"/>
              <w:rPr>
                <w:rFonts w:ascii="Times New Roman" w:eastAsiaTheme="minorEastAsia" w:hAnsi="Times New Roman"/>
                <w:lang w:eastAsia="ko-KR"/>
              </w:rPr>
            </w:pPr>
          </w:p>
          <w:p w14:paraId="040235CF" w14:textId="4F4DEE53" w:rsidR="009905CE" w:rsidRPr="009905CE" w:rsidRDefault="009905CE" w:rsidP="000916DA">
            <w:pPr>
              <w:pStyle w:val="BodyText"/>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#5-2</w:t>
            </w:r>
            <w:r>
              <w:rPr>
                <w:rFonts w:ascii="Times New Roman" w:eastAsiaTheme="minorEastAsia" w:hAnsi="Times New Roman"/>
                <w:u w:val="single"/>
                <w:lang w:eastAsia="ko-KR"/>
              </w:rPr>
              <w:t>:</w:t>
            </w:r>
          </w:p>
          <w:p w14:paraId="67F336C1" w14:textId="18107F51" w:rsidR="009905CE" w:rsidRDefault="009905CE" w:rsidP="000916D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6B4F1403" w14:textId="77777777" w:rsidR="009905CE" w:rsidRDefault="009905CE" w:rsidP="000916DA">
            <w:pPr>
              <w:pStyle w:val="BodyText"/>
              <w:spacing w:after="0"/>
              <w:rPr>
                <w:rFonts w:ascii="Times New Roman" w:eastAsiaTheme="minorEastAsia" w:hAnsi="Times New Roman"/>
                <w:lang w:eastAsia="ko-KR"/>
              </w:rPr>
            </w:pPr>
          </w:p>
          <w:p w14:paraId="5FF7A93B"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0A943696" w14:textId="77777777" w:rsidR="009905CE" w:rsidRPr="009905CE" w:rsidRDefault="009905CE" w:rsidP="009905C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BodyText"/>
              <w:spacing w:after="0"/>
              <w:rPr>
                <w:rFonts w:ascii="Times New Roman" w:eastAsiaTheme="minorEastAsia" w:hAnsi="Times New Roman"/>
                <w:lang w:eastAsia="ko-KR"/>
              </w:rPr>
            </w:pPr>
          </w:p>
          <w:p w14:paraId="3FD287B5" w14:textId="7888708A" w:rsidR="009905CE" w:rsidRDefault="009905CE" w:rsidP="000916DA">
            <w:pPr>
              <w:pStyle w:val="BodyText"/>
              <w:spacing w:after="0"/>
              <w:rPr>
                <w:rFonts w:ascii="Times New Roman" w:eastAsiaTheme="minorEastAsia" w:hAnsi="Times New Roman"/>
                <w:lang w:eastAsia="ko-KR"/>
              </w:rPr>
            </w:pPr>
          </w:p>
        </w:tc>
      </w:tr>
    </w:tbl>
    <w:p w14:paraId="3F17F2A5" w14:textId="77777777" w:rsidR="00627FFE" w:rsidRDefault="00627FFE">
      <w:pPr>
        <w:pStyle w:val="BodyText"/>
        <w:spacing w:after="0"/>
        <w:rPr>
          <w:rFonts w:ascii="Times New Roman" w:eastAsiaTheme="minorEastAsia" w:hAnsi="Times New Roman"/>
          <w:szCs w:val="20"/>
          <w:lang w:eastAsia="ko-KR"/>
        </w:rPr>
      </w:pPr>
    </w:p>
    <w:p w14:paraId="14C47CBC" w14:textId="77777777" w:rsidR="00627FFE" w:rsidRDefault="00627FFE">
      <w:pPr>
        <w:pStyle w:val="BodyText"/>
        <w:spacing w:after="0"/>
        <w:rPr>
          <w:rFonts w:ascii="Times New Roman" w:eastAsiaTheme="minorEastAsia" w:hAnsi="Times New Roman"/>
          <w:szCs w:val="20"/>
          <w:lang w:eastAsia="ko-KR"/>
        </w:rPr>
      </w:pPr>
    </w:p>
    <w:p w14:paraId="50F1F523" w14:textId="77777777" w:rsidR="00627FFE" w:rsidRDefault="0098784F">
      <w:pPr>
        <w:pStyle w:val="Heading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98784F">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98784F">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2EF8C50" w14:textId="77777777" w:rsidR="00627FFE" w:rsidRDefault="0098784F">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#5-1, 5-2, RAN2 discussion.</w:t>
            </w:r>
          </w:p>
        </w:tc>
      </w:tr>
    </w:tbl>
    <w:p w14:paraId="48EF8436" w14:textId="77777777" w:rsidR="00627FFE" w:rsidRDefault="00627FFE">
      <w:pPr>
        <w:pStyle w:val="BodyText"/>
        <w:spacing w:after="0"/>
        <w:rPr>
          <w:rFonts w:ascii="Times New Roman" w:eastAsiaTheme="minorEastAsia" w:hAnsi="Times New Roman"/>
          <w:szCs w:val="20"/>
          <w:lang w:eastAsia="ko-KR"/>
        </w:rPr>
      </w:pPr>
    </w:p>
    <w:p w14:paraId="27AFE456" w14:textId="77777777" w:rsidR="00627FFE" w:rsidRDefault="00627FFE">
      <w:pPr>
        <w:pStyle w:val="BodyText"/>
        <w:spacing w:after="0"/>
        <w:rPr>
          <w:rFonts w:ascii="Times New Roman" w:eastAsiaTheme="minorEastAsia" w:hAnsi="Times New Roman"/>
          <w:szCs w:val="20"/>
          <w:lang w:eastAsia="ko-KR"/>
        </w:rPr>
      </w:pPr>
    </w:p>
    <w:p w14:paraId="21D76D1E" w14:textId="77777777" w:rsidR="00627FFE" w:rsidRDefault="00627FFE">
      <w:pPr>
        <w:pStyle w:val="BodyText"/>
        <w:spacing w:after="0"/>
        <w:rPr>
          <w:rFonts w:ascii="Times New Roman" w:eastAsiaTheme="minorEastAsia" w:hAnsi="Times New Roman"/>
          <w:szCs w:val="20"/>
          <w:lang w:eastAsia="ko-KR"/>
        </w:rPr>
      </w:pPr>
    </w:p>
    <w:p w14:paraId="6081E260" w14:textId="77777777" w:rsidR="00627FFE" w:rsidRDefault="0098784F">
      <w:pPr>
        <w:pStyle w:val="Heading2"/>
        <w:ind w:left="540" w:hanging="540"/>
        <w:rPr>
          <w:rFonts w:eastAsia="SimSun"/>
          <w:lang w:val="en-US" w:eastAsia="zh-CN"/>
        </w:rPr>
      </w:pPr>
      <w:r>
        <w:rPr>
          <w:rFonts w:eastAsia="SimSun"/>
          <w:lang w:val="en-US" w:eastAsia="zh-CN"/>
        </w:rPr>
        <w:t>2.6 Combining Spatial/Power Domain Enhancement with cell DTX/DRX enhancements</w:t>
      </w:r>
    </w:p>
    <w:p w14:paraId="71D66BD7" w14:textId="77777777" w:rsidR="00627FFE" w:rsidRDefault="0098784F">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BodyText"/>
        <w:spacing w:after="0"/>
        <w:rPr>
          <w:rFonts w:ascii="Times New Roman" w:hAnsi="Times New Roman"/>
          <w:szCs w:val="20"/>
          <w:lang w:eastAsia="zh-CN"/>
        </w:rPr>
      </w:pPr>
    </w:p>
    <w:p w14:paraId="5080540A" w14:textId="77777777" w:rsidR="00627FFE" w:rsidRDefault="00627FFE">
      <w:pPr>
        <w:pStyle w:val="BodyText"/>
        <w:spacing w:after="0"/>
        <w:rPr>
          <w:rFonts w:ascii="Times New Roman" w:hAnsi="Times New Roman"/>
          <w:szCs w:val="20"/>
          <w:lang w:eastAsia="zh-CN"/>
        </w:rPr>
      </w:pPr>
    </w:p>
    <w:p w14:paraId="6624DBAC" w14:textId="77777777" w:rsidR="00627FFE" w:rsidRDefault="0098784F">
      <w:pPr>
        <w:pStyle w:val="Heading4"/>
        <w:rPr>
          <w:rFonts w:eastAsia="SimSun"/>
          <w:szCs w:val="18"/>
          <w:lang w:val="en-US" w:eastAsia="zh-CN"/>
        </w:rPr>
      </w:pPr>
      <w:r>
        <w:rPr>
          <w:rFonts w:eastAsia="SimSun"/>
          <w:szCs w:val="18"/>
          <w:lang w:val="en-US" w:eastAsia="zh-CN"/>
        </w:rPr>
        <w:t>Summary of Issues</w:t>
      </w:r>
    </w:p>
    <w:p w14:paraId="2F0C3FBC"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BodyText"/>
        <w:spacing w:after="0"/>
        <w:rPr>
          <w:rFonts w:ascii="Times New Roman" w:hAnsi="Times New Roman"/>
          <w:szCs w:val="20"/>
          <w:lang w:eastAsia="zh-CN"/>
        </w:rPr>
      </w:pPr>
    </w:p>
    <w:p w14:paraId="097F921A" w14:textId="77777777" w:rsidR="00627FFE" w:rsidRDefault="0098784F">
      <w:pPr>
        <w:pStyle w:val="Heading4"/>
        <w:rPr>
          <w:rFonts w:eastAsia="SimSun"/>
          <w:szCs w:val="18"/>
          <w:lang w:val="en-US" w:eastAsia="zh-CN"/>
        </w:rPr>
      </w:pPr>
      <w:r>
        <w:rPr>
          <w:rFonts w:eastAsia="SimSun"/>
          <w:szCs w:val="18"/>
          <w:lang w:val="en-US" w:eastAsia="zh-CN"/>
        </w:rPr>
        <w:t>Suggestions for further Discussions</w:t>
      </w:r>
    </w:p>
    <w:p w14:paraId="7E149CA0" w14:textId="77777777" w:rsidR="00627FFE" w:rsidRDefault="0098784F">
      <w:pPr>
        <w:pStyle w:val="BodyText"/>
        <w:spacing w:after="0"/>
        <w:rPr>
          <w:rFonts w:ascii="Times New Roman" w:hAnsi="Times New Roman"/>
          <w:szCs w:val="20"/>
          <w:lang w:eastAsia="zh-CN"/>
        </w:rPr>
      </w:pPr>
      <w:r>
        <w:rPr>
          <w:rFonts w:ascii="Times New Roman" w:hAnsi="Times New Roman"/>
          <w:szCs w:val="20"/>
          <w:lang w:eastAsia="zh-CN"/>
        </w:rPr>
        <w:t xml:space="preserve">Moderator suggest discussing other aspects first, while RAN1 make further progress on the feature framework for spatial and power domain enhancements. Once some agreements on spatial and power domain enhancements are made, </w:t>
      </w:r>
      <w:r>
        <w:rPr>
          <w:rFonts w:ascii="Times New Roman" w:hAnsi="Times New Roman"/>
          <w:szCs w:val="20"/>
          <w:lang w:eastAsia="zh-CN"/>
        </w:rPr>
        <w:lastRenderedPageBreak/>
        <w:t>RAN1 could further discuss on methods to potentially combine cell DTX/DRX related operations with spatial/power domain enhancements.</w:t>
      </w:r>
    </w:p>
    <w:p w14:paraId="77C99444" w14:textId="77777777" w:rsidR="00627FFE" w:rsidRDefault="00627FFE">
      <w:pPr>
        <w:pStyle w:val="BodyText"/>
        <w:spacing w:after="0"/>
        <w:rPr>
          <w:rFonts w:ascii="Times New Roman" w:eastAsiaTheme="minorEastAsia" w:hAnsi="Times New Roman"/>
          <w:szCs w:val="20"/>
          <w:lang w:eastAsia="ko-KR"/>
        </w:rPr>
      </w:pPr>
    </w:p>
    <w:p w14:paraId="0B49F582" w14:textId="77777777" w:rsidR="00627FFE" w:rsidRDefault="00627FFE">
      <w:pPr>
        <w:pStyle w:val="BodyText"/>
        <w:spacing w:after="0"/>
        <w:rPr>
          <w:rFonts w:ascii="Times New Roman" w:eastAsiaTheme="minorEastAsia" w:hAnsi="Times New Roman"/>
          <w:szCs w:val="20"/>
          <w:lang w:eastAsia="ko-KR"/>
        </w:rPr>
      </w:pPr>
    </w:p>
    <w:p w14:paraId="2F5C38FF"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BodyText"/>
        <w:spacing w:after="0"/>
        <w:rPr>
          <w:rFonts w:ascii="Times New Roman" w:eastAsiaTheme="minorEastAsia" w:hAnsi="Times New Roman"/>
          <w:szCs w:val="20"/>
          <w:lang w:eastAsia="ko-KR"/>
        </w:rPr>
      </w:pPr>
    </w:p>
    <w:p w14:paraId="2291A343"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BE66016" w14:textId="77777777" w:rsidR="00627FFE" w:rsidRDefault="0098784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98784F">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38344B01" w14:textId="77777777" w:rsidR="00627FFE" w:rsidRDefault="0098784F">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627FFE" w14:paraId="2F729456" w14:textId="77777777">
        <w:tc>
          <w:tcPr>
            <w:tcW w:w="1255" w:type="dxa"/>
          </w:tcPr>
          <w:p w14:paraId="0C475612" w14:textId="77777777" w:rsidR="00627FFE" w:rsidRDefault="0098784F">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98784F">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8435D" w14:paraId="6A95D72F" w14:textId="77777777">
        <w:tc>
          <w:tcPr>
            <w:tcW w:w="1255" w:type="dxa"/>
          </w:tcPr>
          <w:p w14:paraId="420C1C81" w14:textId="299DFF4C" w:rsidR="0058435D" w:rsidRDefault="0058435D">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65AE4B91" w14:textId="6A6AB345" w:rsidR="0058435D" w:rsidRDefault="0058435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bl>
    <w:p w14:paraId="59B171F2" w14:textId="77777777" w:rsidR="00627FFE" w:rsidRDefault="00627FFE">
      <w:pPr>
        <w:pStyle w:val="BodyText"/>
        <w:spacing w:after="0"/>
        <w:rPr>
          <w:rFonts w:ascii="Times New Roman" w:eastAsiaTheme="minorEastAsia" w:hAnsi="Times New Roman"/>
          <w:szCs w:val="20"/>
          <w:lang w:eastAsia="ko-KR"/>
        </w:rPr>
      </w:pPr>
    </w:p>
    <w:p w14:paraId="076D2E6E" w14:textId="77777777" w:rsidR="00627FFE" w:rsidRDefault="00627FFE">
      <w:pPr>
        <w:pStyle w:val="BodyText"/>
        <w:spacing w:after="0"/>
        <w:rPr>
          <w:rFonts w:ascii="Times New Roman" w:eastAsiaTheme="minorEastAsia" w:hAnsi="Times New Roman"/>
          <w:szCs w:val="20"/>
          <w:lang w:eastAsia="ko-KR"/>
        </w:rPr>
      </w:pPr>
    </w:p>
    <w:p w14:paraId="029AD974" w14:textId="77777777" w:rsidR="00627FFE" w:rsidRDefault="0098784F">
      <w:pPr>
        <w:pStyle w:val="Heading2"/>
        <w:ind w:left="540" w:hanging="540"/>
        <w:rPr>
          <w:rFonts w:eastAsia="SimSun"/>
          <w:lang w:val="en-US" w:eastAsia="zh-CN"/>
        </w:rPr>
      </w:pPr>
      <w:r>
        <w:rPr>
          <w:rFonts w:eastAsia="SimSun"/>
          <w:lang w:val="en-US" w:eastAsia="zh-CN"/>
        </w:rPr>
        <w:t>2.7 Any Other Issues</w:t>
      </w:r>
    </w:p>
    <w:p w14:paraId="0994E00E" w14:textId="77777777" w:rsidR="00627FFE" w:rsidRDefault="0098784F">
      <w:pPr>
        <w:pStyle w:val="Heading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BodyText"/>
        <w:spacing w:after="0"/>
        <w:rPr>
          <w:rFonts w:ascii="Times New Roman" w:eastAsiaTheme="minorEastAsia" w:hAnsi="Times New Roman"/>
          <w:szCs w:val="20"/>
          <w:lang w:eastAsia="ko-KR"/>
        </w:rPr>
      </w:pPr>
    </w:p>
    <w:p w14:paraId="5805306B" w14:textId="77777777" w:rsidR="00627FFE" w:rsidRDefault="00627FF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bl>
    <w:p w14:paraId="2910FF3E" w14:textId="77777777" w:rsidR="00627FFE" w:rsidRDefault="00627FFE">
      <w:pPr>
        <w:pStyle w:val="BodyText"/>
        <w:spacing w:after="0"/>
        <w:rPr>
          <w:rFonts w:ascii="Times New Roman" w:eastAsiaTheme="minorEastAsia" w:hAnsi="Times New Roman"/>
          <w:szCs w:val="20"/>
          <w:lang w:eastAsia="ko-KR"/>
        </w:rPr>
      </w:pPr>
    </w:p>
    <w:p w14:paraId="0C1CAD11" w14:textId="77777777" w:rsidR="00627FFE" w:rsidRDefault="00627FFE">
      <w:pPr>
        <w:pStyle w:val="BodyText"/>
        <w:spacing w:after="0"/>
        <w:rPr>
          <w:rFonts w:ascii="Times New Roman" w:eastAsiaTheme="minorEastAsia" w:hAnsi="Times New Roman"/>
          <w:szCs w:val="20"/>
          <w:lang w:eastAsia="ko-KR"/>
        </w:rPr>
      </w:pPr>
    </w:p>
    <w:p w14:paraId="432819DA" w14:textId="77777777" w:rsidR="00627FFE" w:rsidRDefault="00627FFE">
      <w:pPr>
        <w:pStyle w:val="BodyText"/>
        <w:spacing w:after="0"/>
        <w:rPr>
          <w:rFonts w:ascii="Times New Roman" w:eastAsiaTheme="minorEastAsia" w:hAnsi="Times New Roman"/>
          <w:szCs w:val="20"/>
          <w:lang w:eastAsia="ko-KR"/>
        </w:rPr>
      </w:pPr>
    </w:p>
    <w:p w14:paraId="74748E45"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BodyText"/>
        <w:spacing w:after="0"/>
        <w:rPr>
          <w:rFonts w:ascii="Times New Roman" w:eastAsiaTheme="minorEastAsia" w:hAnsi="Times New Roman"/>
          <w:szCs w:val="20"/>
          <w:lang w:eastAsia="ko-KR"/>
        </w:rPr>
      </w:pPr>
    </w:p>
    <w:p w14:paraId="106BF5D1" w14:textId="77777777" w:rsidR="00627FFE" w:rsidRDefault="00627FFE">
      <w:pPr>
        <w:pStyle w:val="BodyText"/>
        <w:spacing w:after="0"/>
        <w:rPr>
          <w:rFonts w:ascii="Times New Roman" w:eastAsiaTheme="minorEastAsia" w:hAnsi="Times New Roman"/>
          <w:szCs w:val="20"/>
          <w:lang w:eastAsia="ko-KR"/>
        </w:rPr>
      </w:pPr>
    </w:p>
    <w:p w14:paraId="18C20402" w14:textId="77777777" w:rsidR="00627FFE" w:rsidRDefault="0098784F">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98784F">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BodyText"/>
        <w:spacing w:after="0"/>
        <w:rPr>
          <w:rFonts w:ascii="Times New Roman" w:eastAsiaTheme="minorEastAsia" w:hAnsi="Times New Roman"/>
          <w:szCs w:val="20"/>
          <w:lang w:eastAsia="ko-KR"/>
        </w:rPr>
      </w:pPr>
    </w:p>
    <w:p w14:paraId="1852CD20" w14:textId="77777777" w:rsidR="00627FFE" w:rsidRDefault="00627FFE">
      <w:pPr>
        <w:pStyle w:val="BodyText"/>
        <w:spacing w:after="0"/>
        <w:rPr>
          <w:rFonts w:ascii="Times New Roman" w:eastAsiaTheme="minorEastAsia" w:hAnsi="Times New Roman"/>
          <w:szCs w:val="20"/>
          <w:lang w:eastAsia="ko-KR"/>
        </w:rPr>
      </w:pPr>
    </w:p>
    <w:p w14:paraId="3B940DFB" w14:textId="77777777" w:rsidR="00627FFE" w:rsidRDefault="00627FFE">
      <w:pPr>
        <w:pStyle w:val="BodyText"/>
        <w:spacing w:after="0"/>
        <w:rPr>
          <w:rFonts w:ascii="Times New Roman" w:eastAsiaTheme="minorEastAsia" w:hAnsi="Times New Roman"/>
          <w:szCs w:val="20"/>
          <w:lang w:eastAsia="ko-KR"/>
        </w:rPr>
      </w:pPr>
    </w:p>
    <w:p w14:paraId="39E9295B" w14:textId="77777777" w:rsidR="00627FFE" w:rsidRDefault="0098784F">
      <w:pPr>
        <w:pStyle w:val="Heading1"/>
        <w:rPr>
          <w:rFonts w:eastAsia="SimSun" w:cs="Arial"/>
          <w:sz w:val="32"/>
          <w:szCs w:val="32"/>
          <w:lang w:val="en-US"/>
        </w:rPr>
      </w:pPr>
      <w:r>
        <w:rPr>
          <w:rFonts w:eastAsia="SimSun" w:cs="Arial"/>
          <w:sz w:val="32"/>
          <w:szCs w:val="32"/>
          <w:lang w:val="en-US"/>
        </w:rPr>
        <w:t>Reference</w:t>
      </w:r>
    </w:p>
    <w:p w14:paraId="40E4535D" w14:textId="77777777" w:rsidR="00627FFE" w:rsidRDefault="0098784F">
      <w:pPr>
        <w:pStyle w:val="ListParagraph"/>
        <w:numPr>
          <w:ilvl w:val="0"/>
          <w:numId w:val="11"/>
        </w:numPr>
        <w:ind w:left="540" w:hanging="540"/>
      </w:pPr>
      <w:r>
        <w:t>R1-2302334, “Cell DTX/DRX for NES,” FUTUREWEI</w:t>
      </w:r>
    </w:p>
    <w:p w14:paraId="125EDF52" w14:textId="77777777" w:rsidR="00627FFE" w:rsidRDefault="0098784F">
      <w:pPr>
        <w:pStyle w:val="ListParagraph"/>
        <w:numPr>
          <w:ilvl w:val="0"/>
          <w:numId w:val="11"/>
        </w:numPr>
        <w:ind w:left="540" w:hanging="540"/>
      </w:pPr>
      <w:r>
        <w:t>R1-2302338, “Cell DTX/DRX mechanism for network energy saving,” Huawei, HiSilicon</w:t>
      </w:r>
    </w:p>
    <w:p w14:paraId="5CA9F9AB" w14:textId="77777777" w:rsidR="00627FFE" w:rsidRDefault="0098784F">
      <w:pPr>
        <w:pStyle w:val="ListParagraph"/>
        <w:numPr>
          <w:ilvl w:val="0"/>
          <w:numId w:val="11"/>
        </w:numPr>
        <w:ind w:left="540" w:hanging="540"/>
      </w:pPr>
      <w:r>
        <w:t>R1-2302390, “Cell DTX/DRX enhancement for network energy saving,” Panasonic</w:t>
      </w:r>
    </w:p>
    <w:p w14:paraId="7FDC0DC1" w14:textId="77777777" w:rsidR="00627FFE" w:rsidRDefault="0098784F">
      <w:pPr>
        <w:pStyle w:val="ListParagraph"/>
        <w:numPr>
          <w:ilvl w:val="0"/>
          <w:numId w:val="11"/>
        </w:numPr>
        <w:ind w:left="540" w:hanging="540"/>
      </w:pPr>
      <w:r>
        <w:t>R1-2302394, “Enhancements on cell DTX/DRX mechanism,” Nokia, Nokia Shanghai Bell</w:t>
      </w:r>
    </w:p>
    <w:p w14:paraId="38088FE3" w14:textId="77777777" w:rsidR="00627FFE" w:rsidRDefault="0098784F">
      <w:pPr>
        <w:pStyle w:val="ListParagraph"/>
        <w:numPr>
          <w:ilvl w:val="0"/>
          <w:numId w:val="11"/>
        </w:numPr>
        <w:ind w:left="540" w:hanging="540"/>
      </w:pPr>
      <w:r>
        <w:t>R1-2302499, “Discussions on enhancements on cell DTX/DRX mechanism,” vivo</w:t>
      </w:r>
    </w:p>
    <w:p w14:paraId="3B84CB29" w14:textId="77777777" w:rsidR="00627FFE" w:rsidRDefault="0098784F">
      <w:pPr>
        <w:pStyle w:val="ListParagraph"/>
        <w:numPr>
          <w:ilvl w:val="0"/>
          <w:numId w:val="11"/>
        </w:numPr>
        <w:ind w:left="540" w:hanging="540"/>
      </w:pPr>
      <w:r>
        <w:t>R1-2302562, “Discussion on enhancements on cell DTX/DRX mechanism,” OPPO</w:t>
      </w:r>
    </w:p>
    <w:p w14:paraId="7072B99C" w14:textId="77777777" w:rsidR="00627FFE" w:rsidRDefault="0098784F">
      <w:pPr>
        <w:pStyle w:val="ListParagraph"/>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98784F">
      <w:pPr>
        <w:pStyle w:val="ListParagraph"/>
        <w:numPr>
          <w:ilvl w:val="0"/>
          <w:numId w:val="11"/>
        </w:numPr>
        <w:ind w:left="540" w:hanging="540"/>
      </w:pPr>
      <w:r>
        <w:t>R1-2302717, “DTX/DRX for network Energy Saving,” CATT</w:t>
      </w:r>
    </w:p>
    <w:p w14:paraId="60229192" w14:textId="77777777" w:rsidR="00627FFE" w:rsidRDefault="0098784F">
      <w:pPr>
        <w:pStyle w:val="ListParagraph"/>
        <w:numPr>
          <w:ilvl w:val="0"/>
          <w:numId w:val="11"/>
        </w:numPr>
        <w:ind w:left="540" w:hanging="540"/>
      </w:pPr>
      <w:r>
        <w:t>R1-2302747, “Cell DTX/DRX Configuration for Network Energy Saving,” NEC</w:t>
      </w:r>
    </w:p>
    <w:p w14:paraId="29377511" w14:textId="77777777" w:rsidR="00627FFE" w:rsidRDefault="0098784F">
      <w:pPr>
        <w:pStyle w:val="ListParagraph"/>
        <w:numPr>
          <w:ilvl w:val="0"/>
          <w:numId w:val="11"/>
        </w:numPr>
        <w:ind w:left="540" w:hanging="540"/>
      </w:pPr>
      <w:r>
        <w:t>R1-2302810, “Discussion on enhancements on cell DTX/DRX mechanism,” Intel Corporation</w:t>
      </w:r>
    </w:p>
    <w:p w14:paraId="4F92DDA6" w14:textId="77777777" w:rsidR="00627FFE" w:rsidRDefault="0098784F">
      <w:pPr>
        <w:pStyle w:val="ListParagraph"/>
        <w:numPr>
          <w:ilvl w:val="0"/>
          <w:numId w:val="11"/>
        </w:numPr>
        <w:ind w:left="540" w:hanging="540"/>
      </w:pPr>
      <w:r>
        <w:t>R1-2302913, “Discussion on cell DTX/DRX mechanism,” Fujitsu</w:t>
      </w:r>
    </w:p>
    <w:p w14:paraId="504E064A" w14:textId="77777777" w:rsidR="00627FFE" w:rsidRDefault="0098784F">
      <w:pPr>
        <w:pStyle w:val="ListParagraph"/>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98784F">
      <w:pPr>
        <w:pStyle w:val="ListParagraph"/>
        <w:numPr>
          <w:ilvl w:val="0"/>
          <w:numId w:val="11"/>
        </w:numPr>
        <w:ind w:left="540" w:hanging="540"/>
      </w:pPr>
      <w:r>
        <w:t xml:space="preserve">R1-2302996, “Discussions on cell DTX-DRX for network energy saving,” </w:t>
      </w:r>
      <w:proofErr w:type="spellStart"/>
      <w:r>
        <w:t>xiaomi</w:t>
      </w:r>
      <w:proofErr w:type="spellEnd"/>
    </w:p>
    <w:p w14:paraId="248FB556" w14:textId="77777777" w:rsidR="00627FFE" w:rsidRDefault="0098784F">
      <w:pPr>
        <w:pStyle w:val="ListParagraph"/>
        <w:numPr>
          <w:ilvl w:val="0"/>
          <w:numId w:val="11"/>
        </w:numPr>
        <w:ind w:left="540" w:hanging="540"/>
      </w:pPr>
      <w:r>
        <w:t xml:space="preserve">R1-2303025, “Discussion on enhancements on cell DTX/DRX mechanism,” </w:t>
      </w:r>
      <w:proofErr w:type="spellStart"/>
      <w:r>
        <w:t>InterDigital</w:t>
      </w:r>
      <w:proofErr w:type="spellEnd"/>
      <w:r>
        <w:t>, Inc.</w:t>
      </w:r>
    </w:p>
    <w:p w14:paraId="382C5BD7" w14:textId="77777777" w:rsidR="00627FFE" w:rsidRDefault="0098784F">
      <w:pPr>
        <w:pStyle w:val="ListParagraph"/>
        <w:numPr>
          <w:ilvl w:val="0"/>
          <w:numId w:val="11"/>
        </w:numPr>
        <w:ind w:left="540" w:hanging="540"/>
      </w:pPr>
      <w:r>
        <w:t>R1-2303031, “Discussion on mechanism of cell DTX/DRX for network energy saving,” China Telecom</w:t>
      </w:r>
    </w:p>
    <w:p w14:paraId="18CC1868" w14:textId="77777777" w:rsidR="00627FFE" w:rsidRDefault="0098784F">
      <w:pPr>
        <w:pStyle w:val="ListParagraph"/>
        <w:numPr>
          <w:ilvl w:val="0"/>
          <w:numId w:val="11"/>
        </w:numPr>
        <w:ind w:left="540" w:hanging="540"/>
      </w:pPr>
      <w:r>
        <w:t>R1-2303057, “Network Energy Saving on Cell DTX and DRX,” Google</w:t>
      </w:r>
    </w:p>
    <w:p w14:paraId="68D10454" w14:textId="77777777" w:rsidR="00627FFE" w:rsidRDefault="0098784F">
      <w:pPr>
        <w:pStyle w:val="ListParagraph"/>
        <w:numPr>
          <w:ilvl w:val="0"/>
          <w:numId w:val="11"/>
        </w:numPr>
        <w:ind w:left="540" w:hanging="540"/>
      </w:pPr>
      <w:r>
        <w:t>R1-2303142, “Enhancements on cell DTX/DRX mechanism,” Samsung</w:t>
      </w:r>
    </w:p>
    <w:p w14:paraId="359FED59" w14:textId="77777777" w:rsidR="00627FFE" w:rsidRDefault="0098784F">
      <w:pPr>
        <w:pStyle w:val="ListParagraph"/>
        <w:numPr>
          <w:ilvl w:val="0"/>
          <w:numId w:val="11"/>
        </w:numPr>
        <w:ind w:left="540" w:hanging="540"/>
      </w:pPr>
      <w:r>
        <w:t>R1-2303203, “Enhancements on cell DTX/DRX mechanism,” ETRI</w:t>
      </w:r>
    </w:p>
    <w:p w14:paraId="53613936" w14:textId="77777777" w:rsidR="00627FFE" w:rsidRDefault="0098784F">
      <w:pPr>
        <w:pStyle w:val="ListParagraph"/>
        <w:numPr>
          <w:ilvl w:val="0"/>
          <w:numId w:val="11"/>
        </w:numPr>
        <w:ind w:left="540" w:hanging="540"/>
      </w:pPr>
      <w:r>
        <w:t>R1-2303248, “Discussion on cell DTX DRX enhancements,” CMCC</w:t>
      </w:r>
    </w:p>
    <w:p w14:paraId="53DCAA34" w14:textId="77777777" w:rsidR="00627FFE" w:rsidRDefault="0098784F">
      <w:pPr>
        <w:pStyle w:val="ListParagraph"/>
        <w:numPr>
          <w:ilvl w:val="0"/>
          <w:numId w:val="11"/>
        </w:numPr>
        <w:ind w:left="540" w:hanging="540"/>
      </w:pPr>
      <w:r>
        <w:t xml:space="preserve">R1-2303310, “Discussion on cell DTX/DRX mechanism for network energy saving,” </w:t>
      </w:r>
      <w:proofErr w:type="spellStart"/>
      <w:r>
        <w:t>CEWiT</w:t>
      </w:r>
      <w:proofErr w:type="spellEnd"/>
    </w:p>
    <w:p w14:paraId="537A61B5" w14:textId="77777777" w:rsidR="00627FFE" w:rsidRDefault="0098784F">
      <w:pPr>
        <w:pStyle w:val="ListParagraph"/>
        <w:numPr>
          <w:ilvl w:val="0"/>
          <w:numId w:val="11"/>
        </w:numPr>
        <w:ind w:left="540" w:hanging="540"/>
      </w:pPr>
      <w:r>
        <w:t>R1-2303345, “On NW energy saving enhancements for cell DTX/DRX mechanism,” MediaTek Inc.</w:t>
      </w:r>
    </w:p>
    <w:p w14:paraId="19034E46" w14:textId="77777777" w:rsidR="00627FFE" w:rsidRDefault="0098784F">
      <w:pPr>
        <w:pStyle w:val="ListParagraph"/>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98784F">
      <w:pPr>
        <w:pStyle w:val="ListParagraph"/>
        <w:numPr>
          <w:ilvl w:val="0"/>
          <w:numId w:val="11"/>
        </w:numPr>
        <w:ind w:left="540" w:hanging="540"/>
      </w:pPr>
      <w:r>
        <w:t>R1-2303427, “Discussion on cell DTX/DRX mechanism,” LG Electronics</w:t>
      </w:r>
    </w:p>
    <w:p w14:paraId="2AFB57AB" w14:textId="77777777" w:rsidR="00627FFE" w:rsidRDefault="0098784F">
      <w:pPr>
        <w:pStyle w:val="ListParagraph"/>
        <w:numPr>
          <w:ilvl w:val="0"/>
          <w:numId w:val="11"/>
        </w:numPr>
        <w:ind w:left="540" w:hanging="540"/>
      </w:pPr>
      <w:r>
        <w:t>R1-2303497, “Discussion on cell DTX/DRX mechanisms,” Apple</w:t>
      </w:r>
    </w:p>
    <w:p w14:paraId="075F0CA6" w14:textId="77777777" w:rsidR="00627FFE" w:rsidRDefault="0098784F">
      <w:pPr>
        <w:pStyle w:val="ListParagraph"/>
        <w:numPr>
          <w:ilvl w:val="0"/>
          <w:numId w:val="11"/>
        </w:numPr>
        <w:ind w:left="540" w:hanging="540"/>
      </w:pPr>
      <w:r>
        <w:t>R1-2303532, “Enhancements on cell DTX/DRX mechanism,” Lenovo</w:t>
      </w:r>
    </w:p>
    <w:p w14:paraId="6474E164" w14:textId="77777777" w:rsidR="00627FFE" w:rsidRDefault="0098784F">
      <w:pPr>
        <w:pStyle w:val="ListParagraph"/>
        <w:numPr>
          <w:ilvl w:val="0"/>
          <w:numId w:val="11"/>
        </w:numPr>
        <w:ind w:left="540" w:hanging="540"/>
      </w:pPr>
      <w:r>
        <w:t>R1-2303604, “Enhancements on cell DTX and DRX mechanism,” Qualcomm Incorporated</w:t>
      </w:r>
    </w:p>
    <w:p w14:paraId="72F7B628" w14:textId="77777777" w:rsidR="00627FFE" w:rsidRDefault="0098784F">
      <w:pPr>
        <w:pStyle w:val="ListParagraph"/>
        <w:numPr>
          <w:ilvl w:val="0"/>
          <w:numId w:val="11"/>
        </w:numPr>
        <w:ind w:left="540" w:hanging="540"/>
      </w:pPr>
      <w:r>
        <w:lastRenderedPageBreak/>
        <w:t>R1-2303647, “Discussion on cell DTX/DRX mechanism,” Rakuten Mobile, Inc</w:t>
      </w:r>
    </w:p>
    <w:p w14:paraId="24140DE6" w14:textId="77777777" w:rsidR="00627FFE" w:rsidRDefault="0098784F">
      <w:pPr>
        <w:pStyle w:val="ListParagraph"/>
        <w:numPr>
          <w:ilvl w:val="0"/>
          <w:numId w:val="11"/>
        </w:numPr>
        <w:ind w:left="540" w:hanging="540"/>
      </w:pPr>
      <w:r>
        <w:t>R1-2303723, “Discussion on enhancements on Cell DTX/DRX mechanism,” NTT DOCOMO, INC.</w:t>
      </w:r>
    </w:p>
    <w:p w14:paraId="306603A7" w14:textId="77777777" w:rsidR="00627FFE" w:rsidRDefault="0098784F">
      <w:pPr>
        <w:pStyle w:val="ListParagraph"/>
        <w:numPr>
          <w:ilvl w:val="0"/>
          <w:numId w:val="11"/>
        </w:numPr>
        <w:ind w:left="540" w:hanging="540"/>
      </w:pPr>
      <w:r>
        <w:t>R1-2303758, “RAN1 aspects of cell DTX/DRX,” Ericsson</w:t>
      </w:r>
    </w:p>
    <w:p w14:paraId="54A6E200" w14:textId="77777777" w:rsidR="00627FFE" w:rsidRDefault="0098784F">
      <w:pPr>
        <w:pStyle w:val="ListParagraph"/>
        <w:numPr>
          <w:ilvl w:val="0"/>
          <w:numId w:val="11"/>
        </w:numPr>
        <w:ind w:left="540" w:hanging="540"/>
      </w:pPr>
      <w:r>
        <w:t>R1-2303781, “Discussion on potential enhancements on cell DTX/DRX mechanism for NR,” ITRI</w:t>
      </w:r>
    </w:p>
    <w:p w14:paraId="21390D04" w14:textId="77777777" w:rsidR="00627FFE" w:rsidRDefault="0098784F">
      <w:pPr>
        <w:pStyle w:val="ListParagraph"/>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473521948">
    <w:abstractNumId w:val="11"/>
    <w:lvlOverride w:ilvl="0">
      <w:startOverride w:val="1"/>
    </w:lvlOverride>
  </w:num>
  <w:num w:numId="2" w16cid:durableId="1240142284">
    <w:abstractNumId w:val="11"/>
  </w:num>
  <w:num w:numId="3" w16cid:durableId="462888717">
    <w:abstractNumId w:val="6"/>
  </w:num>
  <w:num w:numId="4" w16cid:durableId="303050083">
    <w:abstractNumId w:val="5"/>
  </w:num>
  <w:num w:numId="5" w16cid:durableId="1597401411">
    <w:abstractNumId w:val="9"/>
  </w:num>
  <w:num w:numId="6" w16cid:durableId="425923820">
    <w:abstractNumId w:val="1"/>
  </w:num>
  <w:num w:numId="7" w16cid:durableId="1438452413">
    <w:abstractNumId w:val="2"/>
  </w:num>
  <w:num w:numId="8" w16cid:durableId="1072655572">
    <w:abstractNumId w:val="3"/>
  </w:num>
  <w:num w:numId="9" w16cid:durableId="542523124">
    <w:abstractNumId w:val="0"/>
  </w:num>
  <w:num w:numId="10" w16cid:durableId="138351302">
    <w:abstractNumId w:val="10"/>
  </w:num>
  <w:num w:numId="11" w16cid:durableId="2069496176">
    <w:abstractNumId w:val="7"/>
  </w:num>
  <w:num w:numId="12" w16cid:durableId="2116171722">
    <w:abstractNumId w:val="8"/>
  </w:num>
  <w:num w:numId="13" w16cid:durableId="1044714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117B"/>
    <w:rsid w:val="00071801"/>
    <w:rsid w:val="00074455"/>
    <w:rsid w:val="0007487A"/>
    <w:rsid w:val="000750FF"/>
    <w:rsid w:val="000756F9"/>
    <w:rsid w:val="00077218"/>
    <w:rsid w:val="000810A7"/>
    <w:rsid w:val="000810E9"/>
    <w:rsid w:val="0008253A"/>
    <w:rsid w:val="000827E0"/>
    <w:rsid w:val="00082A2C"/>
    <w:rsid w:val="00084882"/>
    <w:rsid w:val="00084FF2"/>
    <w:rsid w:val="0008509A"/>
    <w:rsid w:val="0008595B"/>
    <w:rsid w:val="00086A7B"/>
    <w:rsid w:val="00087CDE"/>
    <w:rsid w:val="000916DA"/>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78F0"/>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10C"/>
    <w:rsid w:val="002459D8"/>
    <w:rsid w:val="0024620D"/>
    <w:rsid w:val="00246473"/>
    <w:rsid w:val="00254106"/>
    <w:rsid w:val="00256CD8"/>
    <w:rsid w:val="0025726C"/>
    <w:rsid w:val="002640BE"/>
    <w:rsid w:val="00264A1B"/>
    <w:rsid w:val="0026549A"/>
    <w:rsid w:val="00266B91"/>
    <w:rsid w:val="00275270"/>
    <w:rsid w:val="00280073"/>
    <w:rsid w:val="00292CF4"/>
    <w:rsid w:val="00292EF3"/>
    <w:rsid w:val="002945AE"/>
    <w:rsid w:val="00295C39"/>
    <w:rsid w:val="002979E1"/>
    <w:rsid w:val="002A0E81"/>
    <w:rsid w:val="002B5809"/>
    <w:rsid w:val="002B5B1C"/>
    <w:rsid w:val="002C11BC"/>
    <w:rsid w:val="002C1D10"/>
    <w:rsid w:val="002C2025"/>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343"/>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8784F"/>
    <w:rsid w:val="009905CE"/>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1A4F"/>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0FF8"/>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12770</Words>
  <Characters>72791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85391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Teck Hu</cp:lastModifiedBy>
  <cp:revision>2</cp:revision>
  <dcterms:created xsi:type="dcterms:W3CDTF">2023-04-17T17:34:00Z</dcterms:created>
  <dcterms:modified xsi:type="dcterms:W3CDTF">2023-04-17T17:34:00Z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