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lang w:val="de-DE"/>
        </w:rPr>
      </w:pPr>
      <w:r>
        <w:rPr>
          <w:rFonts w:ascii="Arial" w:hAnsi="Arial" w:eastAsia="Batang" w:cs="Arial"/>
          <w:b/>
          <w:bCs/>
          <w:sz w:val="24"/>
          <w:szCs w:val="24"/>
          <w:lang w:val="de-DE"/>
        </w:rPr>
        <w:t>3GPP TSG RAN WG1 Meeting #112bis-e</w:t>
      </w:r>
      <w:r>
        <w:rPr>
          <w:rFonts w:ascii="Arial" w:hAnsi="Arial" w:eastAsia="Batang" w:cs="Arial"/>
          <w:b/>
          <w:bCs/>
          <w:sz w:val="24"/>
          <w:szCs w:val="24"/>
          <w:lang w:val="de-DE"/>
        </w:rPr>
        <w:tab/>
      </w:r>
      <w:r>
        <w:rPr>
          <w:rFonts w:ascii="Arial" w:hAnsi="Arial" w:eastAsia="Batang" w:cs="Arial"/>
          <w:b/>
          <w:bCs/>
          <w:sz w:val="24"/>
          <w:szCs w:val="24"/>
          <w:lang w:val="de-DE"/>
        </w:rPr>
        <w:t>R1-2303896</w:t>
      </w:r>
    </w:p>
    <w:p>
      <w:pPr>
        <w:spacing w:after="0"/>
        <w:ind w:left="1988" w:hanging="1988"/>
        <w:jc w:val="both"/>
        <w:rPr>
          <w:rFonts w:ascii="Arial" w:hAnsi="Arial" w:eastAsia="Batang" w:cs="Arial"/>
          <w:b/>
          <w:bCs/>
          <w:sz w:val="24"/>
          <w:szCs w:val="24"/>
          <w:lang w:val="de-DE"/>
        </w:rPr>
      </w:pPr>
      <w:r>
        <w:rPr>
          <w:rFonts w:ascii="Arial" w:hAnsi="Arial" w:eastAsia="Batang" w:cs="Arial"/>
          <w:b/>
          <w:bCs/>
          <w:sz w:val="24"/>
          <w:szCs w:val="24"/>
          <w:lang w:val="de-DE"/>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lang w:val="de-DE"/>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#1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2.2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2.3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eastAsia"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hint="eastAsia"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2.4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eastAsia"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hint="eastAsia"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rPr>
          <w:lang w:eastAsia="zh-CN"/>
        </w:rPr>
      </w:pP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2.5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#5-1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 xml:space="preserve">SL-RNTI, SL-CS-RNTI, </w:t>
      </w:r>
      <w: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#5-2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#5-1 and #5-2.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#5-1,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#5-1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 xml:space="preserve">SL-RNTI, SL-CS-RNTI, </w:t>
            </w:r>
            <w:r>
              <w:rPr>
                <w:i/>
                <w:iCs/>
                <w:strike/>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#5-2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#5-1 and proposal #5-2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#5-1 and proposal #5-2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Proposal#5-1,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drawing>
                <wp:inline distT="0" distB="0" distL="0" distR="0">
                  <wp:extent cx="2245995" cy="657225"/>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4"/>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drawing>
                <wp:inline distT="0" distB="0" distL="0" distR="0">
                  <wp:extent cx="2308860" cy="673735"/>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5"/>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#5-1: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#5-2: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hint="eastAsia"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#5-1</w:t>
            </w:r>
          </w:p>
          <w:p>
            <w:pPr>
              <w:pStyle w:val="31"/>
              <w:numPr>
                <w:ilvl w:val="0"/>
                <w:numId w:val="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#5-2</w:t>
            </w:r>
          </w:p>
          <w:p>
            <w:pPr>
              <w:pStyle w:val="31"/>
              <w:numPr>
                <w:ilvl w:val="0"/>
                <w:numId w:val="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hint="eastAsia"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vAlign w:val="top"/>
          </w:tcPr>
          <w:p>
            <w:pPr>
              <w:pStyle w:val="31"/>
              <w:spacing w:before="120" w:after="0"/>
              <w:rPr>
                <w:rFonts w:hint="eastAsia" w:ascii="Times New Roman" w:hAnsi="Times New Roman" w:eastAsia="Yu Mincho" w:cs="Times New Roman"/>
                <w:szCs w:val="20"/>
                <w:lang w:val="en-US" w:eastAsia="ko-KR" w:bidi="ar-SA"/>
              </w:rPr>
            </w:pPr>
            <w:r>
              <w:rPr>
                <w:rFonts w:hint="eastAsia" w:ascii="Times New Roman" w:hAnsi="Times New Roman"/>
                <w:szCs w:val="20"/>
                <w:lang w:eastAsia="zh-CN"/>
              </w:rPr>
              <w:t>ZTE, Sanechips</w:t>
            </w:r>
          </w:p>
        </w:tc>
        <w:tc>
          <w:tcPr>
            <w:tcW w:w="8095" w:type="dxa"/>
            <w:vAlign w:val="top"/>
          </w:tcPr>
          <w:p>
            <w:pPr>
              <w:pStyle w:val="31"/>
              <w:spacing w:before="120" w:after="0"/>
              <w:ind w:left="360"/>
              <w:rPr>
                <w:rFonts w:hint="eastAsia"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#5-1:</w:t>
            </w:r>
          </w:p>
          <w:p>
            <w:pPr>
              <w:pStyle w:val="31"/>
              <w:numPr>
                <w:ilvl w:val="0"/>
                <w:numId w:val="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#5-2:</w:t>
            </w:r>
          </w:p>
          <w:p>
            <w:pPr>
              <w:pStyle w:val="31"/>
              <w:numPr>
                <w:ilvl w:val="0"/>
                <w:numId w:val="9"/>
              </w:numPr>
              <w:spacing w:before="120" w:after="0"/>
              <w:rPr>
                <w:rFonts w:ascii="Times New Roman" w:hAnsi="Times New Roman"/>
                <w:szCs w:val="20"/>
                <w:lang w:eastAsia="zh-CN"/>
              </w:rPr>
            </w:pPr>
            <w:r>
              <w:rPr>
                <w:rFonts w:ascii="Times New Roman" w:hAnsi="Times New Roman"/>
                <w:szCs w:val="20"/>
                <w:lang w:eastAsia="zh-CN"/>
              </w:rPr>
              <w:t>Similar as proposal#5-1, we should provide NW the flexibility to decide whether or not to receive CSI/SRS by proper configuration when needed, for example, during long off period.</w:t>
            </w:r>
          </w:p>
          <w:p>
            <w:pPr>
              <w:pStyle w:val="31"/>
              <w:numPr>
                <w:ilvl w:val="0"/>
                <w:numId w:val="9"/>
              </w:numPr>
              <w:spacing w:before="120" w:after="0"/>
              <w:rPr>
                <w:rFonts w:hint="eastAsia"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hint="eastAsia" w:ascii="Times New Roman" w:hAnsi="Times New Roman" w:eastAsia="Yu Mincho" w:cs="Times New Roman"/>
                <w:b/>
                <w:bCs/>
                <w:szCs w:val="20"/>
                <w:lang w:val="en-US" w:eastAsia="ja-JP" w:bidi="ar-SA"/>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eastAsia"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31"/>
              <w:spacing w:before="120" w:after="0"/>
              <w:rPr>
                <w:rFonts w:hint="eastAsia" w:ascii="Times New Roman" w:hAnsi="Times New Roman" w:eastAsia="等线" w:cs="Times New Roman"/>
                <w:szCs w:val="20"/>
                <w:lang w:val="en-US" w:eastAsia="ko-KR" w:bidi="ar-SA"/>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vAlign w:val="top"/>
          </w:tcPr>
          <w:p>
            <w:pPr>
              <w:pStyle w:val="31"/>
              <w:spacing w:before="120" w:after="0"/>
              <w:rPr>
                <w:rFonts w:ascii="Times New Roman" w:hAnsi="Times New Roman" w:eastAsia="等线" w:cs="Times New Roman"/>
                <w:szCs w:val="20"/>
                <w:lang w:val="en-US" w:eastAsia="ko-KR" w:bidi="ar-SA"/>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#5-1, 5-2, RAN2 discussion.</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eastAsia"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hint="eastAsia"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31"/>
              <w:spacing w:before="120" w:after="0"/>
              <w:rPr>
                <w:rFonts w:hint="eastAsia" w:ascii="Times New Roman" w:hAnsi="Times New Roman" w:eastAsia="Yu Mincho" w:cs="Times New Roman"/>
                <w:szCs w:val="20"/>
                <w:lang w:val="en-US" w:eastAsia="ko-KR" w:bidi="ar-SA"/>
              </w:rPr>
            </w:pPr>
            <w:r>
              <w:rPr>
                <w:rFonts w:hint="eastAsia" w:ascii="Times New Roman" w:hAnsi="Times New Roman"/>
                <w:szCs w:val="20"/>
                <w:lang w:eastAsia="zh-CN"/>
              </w:rPr>
              <w:t>ZTE, Sanechips</w:t>
            </w:r>
          </w:p>
        </w:tc>
        <w:tc>
          <w:tcPr>
            <w:tcW w:w="809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eastAsiaTheme="minorEastAsia"/>
                <w:szCs w:val="20"/>
                <w:lang w:eastAsia="ko-KR"/>
              </w:rPr>
              <w:t>I</w:t>
            </w:r>
            <w:r>
              <w:rPr>
                <w:rFonts w:hint="eastAsia" w:ascii="Times New Roman" w:hAnsi="Times New Roman"/>
                <w:szCs w:val="20"/>
                <w:lang w:val="en-US" w:eastAsia="zh-CN"/>
              </w:rPr>
              <w:t>t can be discussed later when the solutions to spatial/power domain adaptation, cell DTX/DRX are clear.</w:t>
            </w:r>
            <w:bookmarkStart w:id="0" w:name="_GoBack"/>
            <w:bookmarkEnd w:id="0"/>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2.7 Any Other Issues</w:t>
      </w: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pStyle w:val="31"/>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11"/>
        </w:numPr>
        <w:ind w:left="540" w:hanging="540"/>
      </w:pPr>
      <w:r>
        <w:t>R1-2302334, “Cell DTX/DRX for NES,” FUTUREWEI</w:t>
      </w:r>
    </w:p>
    <w:p>
      <w:pPr>
        <w:pStyle w:val="78"/>
        <w:numPr>
          <w:ilvl w:val="0"/>
          <w:numId w:val="11"/>
        </w:numPr>
        <w:ind w:left="540" w:hanging="540"/>
      </w:pPr>
      <w:r>
        <w:t>R1-2302338, “Cell DTX/DRX mechanism for network energy saving,” Huawei, HiSilicon</w:t>
      </w:r>
    </w:p>
    <w:p>
      <w:pPr>
        <w:pStyle w:val="78"/>
        <w:numPr>
          <w:ilvl w:val="0"/>
          <w:numId w:val="11"/>
        </w:numPr>
        <w:ind w:left="540" w:hanging="540"/>
      </w:pPr>
      <w:r>
        <w:t>R1-2302390, “Cell DTX/DRX enhancement for network energy saving,” Panasonic</w:t>
      </w:r>
    </w:p>
    <w:p>
      <w:pPr>
        <w:pStyle w:val="78"/>
        <w:numPr>
          <w:ilvl w:val="0"/>
          <w:numId w:val="11"/>
        </w:numPr>
        <w:ind w:left="540" w:hanging="540"/>
      </w:pPr>
      <w:r>
        <w:t>R1-2302394, “Enhancements on cell DTX/DRX mechanism,” Nokia, Nokia Shanghai Bell</w:t>
      </w:r>
    </w:p>
    <w:p>
      <w:pPr>
        <w:pStyle w:val="78"/>
        <w:numPr>
          <w:ilvl w:val="0"/>
          <w:numId w:val="11"/>
        </w:numPr>
        <w:ind w:left="540" w:hanging="540"/>
      </w:pPr>
      <w:r>
        <w:t>R1-2302499, “Discussions on enhancements on cell DTX/DRX mechanism,” vivo</w:t>
      </w:r>
    </w:p>
    <w:p>
      <w:pPr>
        <w:pStyle w:val="78"/>
        <w:numPr>
          <w:ilvl w:val="0"/>
          <w:numId w:val="11"/>
        </w:numPr>
        <w:ind w:left="540" w:hanging="540"/>
      </w:pPr>
      <w:r>
        <w:t>R1-2302562, “Discussion on enhancements on cell DTX/DRX mechanism,” OPPO</w:t>
      </w:r>
    </w:p>
    <w:p>
      <w:pPr>
        <w:pStyle w:val="78"/>
        <w:numPr>
          <w:ilvl w:val="0"/>
          <w:numId w:val="11"/>
        </w:numPr>
        <w:ind w:left="540" w:hanging="540"/>
      </w:pPr>
      <w:r>
        <w:t>R1-2302614, “Discussion on enhancements on cell DTXDRX mechanism,” Spreadtrum Communications</w:t>
      </w:r>
    </w:p>
    <w:p>
      <w:pPr>
        <w:pStyle w:val="78"/>
        <w:numPr>
          <w:ilvl w:val="0"/>
          <w:numId w:val="11"/>
        </w:numPr>
        <w:ind w:left="540" w:hanging="540"/>
      </w:pPr>
      <w:r>
        <w:t>R1-2302717, “DTX/DRX for network Energy Saving,” CATT</w:t>
      </w:r>
    </w:p>
    <w:p>
      <w:pPr>
        <w:pStyle w:val="78"/>
        <w:numPr>
          <w:ilvl w:val="0"/>
          <w:numId w:val="11"/>
        </w:numPr>
        <w:ind w:left="540" w:hanging="540"/>
      </w:pPr>
      <w:r>
        <w:t>R1-2302747, “Cell DTX/DRX Configuration for Network Energy Saving,” NEC</w:t>
      </w:r>
    </w:p>
    <w:p>
      <w:pPr>
        <w:pStyle w:val="78"/>
        <w:numPr>
          <w:ilvl w:val="0"/>
          <w:numId w:val="11"/>
        </w:numPr>
        <w:ind w:left="540" w:hanging="540"/>
      </w:pPr>
      <w:r>
        <w:t>R1-2302810, “Discussion on enhancements on cell DTX/DRX mechanism,” Intel Corporation</w:t>
      </w:r>
    </w:p>
    <w:p>
      <w:pPr>
        <w:pStyle w:val="78"/>
        <w:numPr>
          <w:ilvl w:val="0"/>
          <w:numId w:val="11"/>
        </w:numPr>
        <w:ind w:left="540" w:hanging="540"/>
      </w:pPr>
      <w:r>
        <w:t>R1-2302913, “Discussion on cell DTX/DRX mechanism,” Fujitsu</w:t>
      </w:r>
    </w:p>
    <w:p>
      <w:pPr>
        <w:pStyle w:val="78"/>
        <w:numPr>
          <w:ilvl w:val="0"/>
          <w:numId w:val="11"/>
        </w:numPr>
        <w:ind w:left="540" w:hanging="540"/>
      </w:pPr>
      <w:r>
        <w:t>R1-2302945, “Discussion on cell DTX/DRX,” ZTE, Sanechips</w:t>
      </w:r>
    </w:p>
    <w:p>
      <w:pPr>
        <w:pStyle w:val="78"/>
        <w:numPr>
          <w:ilvl w:val="0"/>
          <w:numId w:val="11"/>
        </w:numPr>
        <w:ind w:left="540" w:hanging="540"/>
      </w:pPr>
      <w:r>
        <w:t>R1-2302996, “Discussions on cell DTX-DRX for network energy saving,” xiaomi</w:t>
      </w:r>
    </w:p>
    <w:p>
      <w:pPr>
        <w:pStyle w:val="78"/>
        <w:numPr>
          <w:ilvl w:val="0"/>
          <w:numId w:val="11"/>
        </w:numPr>
        <w:ind w:left="540" w:hanging="540"/>
      </w:pPr>
      <w:r>
        <w:t>R1-2303025, “Discussion on enhancements on cell DTX/DRX mechanism,” InterDigital, Inc.</w:t>
      </w:r>
    </w:p>
    <w:p>
      <w:pPr>
        <w:pStyle w:val="78"/>
        <w:numPr>
          <w:ilvl w:val="0"/>
          <w:numId w:val="11"/>
        </w:numPr>
        <w:ind w:left="540" w:hanging="540"/>
      </w:pPr>
      <w:r>
        <w:t>R1-2303031, “Discussion on mechanism of cell DTX/DRX for network energy saving,” China Telecom</w:t>
      </w:r>
    </w:p>
    <w:p>
      <w:pPr>
        <w:pStyle w:val="78"/>
        <w:numPr>
          <w:ilvl w:val="0"/>
          <w:numId w:val="11"/>
        </w:numPr>
        <w:ind w:left="540" w:hanging="540"/>
      </w:pPr>
      <w:r>
        <w:t>R1-2303057, “Network Energy Saving on Cell DTX and DRX,” Google</w:t>
      </w:r>
    </w:p>
    <w:p>
      <w:pPr>
        <w:pStyle w:val="78"/>
        <w:numPr>
          <w:ilvl w:val="0"/>
          <w:numId w:val="11"/>
        </w:numPr>
        <w:ind w:left="540" w:hanging="540"/>
      </w:pPr>
      <w:r>
        <w:t>R1-2303142, “Enhancements on cell DTX/DRX mechanism,” Samsung</w:t>
      </w:r>
    </w:p>
    <w:p>
      <w:pPr>
        <w:pStyle w:val="78"/>
        <w:numPr>
          <w:ilvl w:val="0"/>
          <w:numId w:val="11"/>
        </w:numPr>
        <w:ind w:left="540" w:hanging="540"/>
      </w:pPr>
      <w:r>
        <w:t>R1-2303203, “Enhancements on cell DTX/DRX mechanism,” ETRI</w:t>
      </w:r>
    </w:p>
    <w:p>
      <w:pPr>
        <w:pStyle w:val="78"/>
        <w:numPr>
          <w:ilvl w:val="0"/>
          <w:numId w:val="11"/>
        </w:numPr>
        <w:ind w:left="540" w:hanging="540"/>
      </w:pPr>
      <w:r>
        <w:t>R1-2303248, “Discussion on cell DTX DRX enhancements,” CMCC</w:t>
      </w:r>
    </w:p>
    <w:p>
      <w:pPr>
        <w:pStyle w:val="78"/>
        <w:numPr>
          <w:ilvl w:val="0"/>
          <w:numId w:val="11"/>
        </w:numPr>
        <w:ind w:left="540" w:hanging="540"/>
      </w:pPr>
      <w:r>
        <w:t>R1-2303310, “Discussion on cell DTX/DRX mechanism for network energy saving,” CEWiT</w:t>
      </w:r>
    </w:p>
    <w:p>
      <w:pPr>
        <w:pStyle w:val="78"/>
        <w:numPr>
          <w:ilvl w:val="0"/>
          <w:numId w:val="11"/>
        </w:numPr>
        <w:ind w:left="540" w:hanging="540"/>
      </w:pPr>
      <w:r>
        <w:t>R1-2303345, “On NW energy saving enhancements for cell DTX/DRX mechanism,” MediaTek Inc.</w:t>
      </w:r>
    </w:p>
    <w:p>
      <w:pPr>
        <w:pStyle w:val="78"/>
        <w:numPr>
          <w:ilvl w:val="0"/>
          <w:numId w:val="11"/>
        </w:numPr>
        <w:ind w:left="540" w:hanging="540"/>
      </w:pPr>
      <w:r>
        <w:t>R1-2303380, “Discussion on Enhancement on cell DTX DRX mechanism,” Transsion Holdings</w:t>
      </w:r>
    </w:p>
    <w:p>
      <w:pPr>
        <w:pStyle w:val="78"/>
        <w:numPr>
          <w:ilvl w:val="0"/>
          <w:numId w:val="11"/>
        </w:numPr>
        <w:ind w:left="540" w:hanging="540"/>
      </w:pPr>
      <w:r>
        <w:t>R1-2303427, “Discussion on cell DTX/DRX mechanism,” LG Electronics</w:t>
      </w:r>
    </w:p>
    <w:p>
      <w:pPr>
        <w:pStyle w:val="78"/>
        <w:numPr>
          <w:ilvl w:val="0"/>
          <w:numId w:val="11"/>
        </w:numPr>
        <w:ind w:left="540" w:hanging="540"/>
      </w:pPr>
      <w:r>
        <w:t>R1-2303497, “Discussion on cell DTX/DRX mechanisms,” Apple</w:t>
      </w:r>
    </w:p>
    <w:p>
      <w:pPr>
        <w:pStyle w:val="78"/>
        <w:numPr>
          <w:ilvl w:val="0"/>
          <w:numId w:val="11"/>
        </w:numPr>
        <w:ind w:left="540" w:hanging="540"/>
      </w:pPr>
      <w:r>
        <w:t>R1-2303532, “Enhancements on cell DTX/DRX mechanism,” Lenovo</w:t>
      </w:r>
    </w:p>
    <w:p>
      <w:pPr>
        <w:pStyle w:val="78"/>
        <w:numPr>
          <w:ilvl w:val="0"/>
          <w:numId w:val="11"/>
        </w:numPr>
        <w:ind w:left="540" w:hanging="540"/>
      </w:pPr>
      <w:r>
        <w:t>R1-2303604, “Enhancements on cell DTX and DRX mechanism,” Qualcomm Incorporated</w:t>
      </w:r>
    </w:p>
    <w:p>
      <w:pPr>
        <w:pStyle w:val="78"/>
        <w:numPr>
          <w:ilvl w:val="0"/>
          <w:numId w:val="11"/>
        </w:numPr>
        <w:ind w:left="540" w:hanging="540"/>
      </w:pPr>
      <w:r>
        <w:t>R1-2303647, “Discussion on cell DTX/DRX mechanism,” Rakuten Mobile, Inc</w:t>
      </w:r>
    </w:p>
    <w:p>
      <w:pPr>
        <w:pStyle w:val="78"/>
        <w:numPr>
          <w:ilvl w:val="0"/>
          <w:numId w:val="11"/>
        </w:numPr>
        <w:ind w:left="540" w:hanging="540"/>
      </w:pPr>
      <w:r>
        <w:t>R1-2303723, “Discussion on enhancements on Cell DTX/DRX mechanism,” NTT DOCOMO, INC.</w:t>
      </w:r>
    </w:p>
    <w:p>
      <w:pPr>
        <w:pStyle w:val="78"/>
        <w:numPr>
          <w:ilvl w:val="0"/>
          <w:numId w:val="11"/>
        </w:numPr>
        <w:ind w:left="540" w:hanging="540"/>
      </w:pPr>
      <w:r>
        <w:t>R1-2303758, “RAN1 aspects of cell DTX/DRX,” Ericsson</w:t>
      </w:r>
    </w:p>
    <w:p>
      <w:pPr>
        <w:pStyle w:val="78"/>
        <w:numPr>
          <w:ilvl w:val="0"/>
          <w:numId w:val="11"/>
        </w:numPr>
        <w:ind w:left="540" w:hanging="540"/>
      </w:pPr>
      <w:r>
        <w:t>R1-2303781, “Discussion on potential enhancements on cell DTX/DRX mechanism for NR,” ITRI</w:t>
      </w:r>
    </w:p>
    <w:p>
      <w:pPr>
        <w:pStyle w:val="78"/>
        <w:numPr>
          <w:ilvl w:val="0"/>
          <w:numId w:val="11"/>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Cambria"/>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New York">
    <w:altName w:val="Segoe Print"/>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9"/>
    <w:lvlOverride w:ilvl="0">
      <w:startOverride w:val="1"/>
    </w:lvlOverride>
  </w:num>
  <w:num w:numId="2">
    <w:abstractNumId w:val="9"/>
  </w:num>
  <w:num w:numId="3">
    <w:abstractNumId w:val="5"/>
  </w:num>
  <w:num w:numId="4">
    <w:abstractNumId w:val="4"/>
  </w:num>
  <w:num w:numId="5">
    <w:abstractNumId w:val="7"/>
  </w:num>
  <w:num w:numId="6">
    <w:abstractNumId w:val="1"/>
  </w:num>
  <w:num w:numId="7">
    <w:abstractNumId w:val="2"/>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10E9"/>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30FA9"/>
    <w:rsid w:val="006331BE"/>
    <w:rsid w:val="00633A08"/>
    <w:rsid w:val="00636753"/>
    <w:rsid w:val="006370C6"/>
    <w:rsid w:val="00642B0E"/>
    <w:rsid w:val="00643BC6"/>
    <w:rsid w:val="00646119"/>
    <w:rsid w:val="006475A4"/>
    <w:rsid w:val="00652A32"/>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6"/>
    <w:unhideWhenUsed/>
    <w:qFormat/>
    <w:uiPriority w:val="9"/>
    <w:pPr>
      <w:pBdr>
        <w:top w:val="none" w:color="auto" w:sz="0" w:space="0"/>
      </w:pBdr>
      <w:spacing w:before="180"/>
      <w:outlineLvl w:val="1"/>
    </w:pPr>
    <w:rPr>
      <w:sz w:val="32"/>
    </w:rPr>
  </w:style>
  <w:style w:type="paragraph" w:styleId="4">
    <w:name w:val="heading 3"/>
    <w:basedOn w:val="3"/>
    <w:next w:val="1"/>
    <w:link w:val="57"/>
    <w:unhideWhenUsed/>
    <w:qFormat/>
    <w:uiPriority w:val="0"/>
    <w:pPr>
      <w:spacing w:before="120"/>
      <w:outlineLvl w:val="2"/>
    </w:pPr>
    <w:rPr>
      <w:sz w:val="28"/>
    </w:rPr>
  </w:style>
  <w:style w:type="paragraph" w:styleId="5">
    <w:name w:val="heading 4"/>
    <w:basedOn w:val="4"/>
    <w:next w:val="1"/>
    <w:link w:val="58"/>
    <w:unhideWhenUsed/>
    <w:qFormat/>
    <w:uiPriority w:val="9"/>
    <w:pPr>
      <w:ind w:left="1418" w:hanging="1418"/>
      <w:outlineLvl w:val="3"/>
    </w:pPr>
    <w:rPr>
      <w:sz w:val="24"/>
    </w:rPr>
  </w:style>
  <w:style w:type="paragraph" w:styleId="6">
    <w:name w:val="heading 5"/>
    <w:basedOn w:val="5"/>
    <w:next w:val="1"/>
    <w:link w:val="59"/>
    <w:unhideWhenUsed/>
    <w:qFormat/>
    <w:uiPriority w:val="0"/>
    <w:pPr>
      <w:ind w:left="1701" w:hanging="1701"/>
      <w:outlineLvl w:val="4"/>
    </w:pPr>
    <w:rPr>
      <w:sz w:val="22"/>
    </w:rPr>
  </w:style>
  <w:style w:type="paragraph" w:styleId="7">
    <w:name w:val="heading 6"/>
    <w:basedOn w:val="1"/>
    <w:next w:val="1"/>
    <w:link w:val="60"/>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1"/>
    <w:semiHidden/>
    <w:unhideWhenUsed/>
    <w:qFormat/>
    <w:uiPriority w:val="9"/>
    <w:pPr>
      <w:outlineLvl w:val="6"/>
    </w:pPr>
  </w:style>
  <w:style w:type="paragraph" w:styleId="10">
    <w:name w:val="heading 8"/>
    <w:basedOn w:val="2"/>
    <w:next w:val="1"/>
    <w:link w:val="62"/>
    <w:semiHidden/>
    <w:unhideWhenUsed/>
    <w:qFormat/>
    <w:uiPriority w:val="9"/>
    <w:pPr>
      <w:ind w:left="0" w:firstLine="0"/>
      <w:outlineLvl w:val="7"/>
    </w:pPr>
    <w:rPr>
      <w:rFonts w:eastAsia="宋体"/>
    </w:rPr>
  </w:style>
  <w:style w:type="paragraph" w:styleId="11">
    <w:name w:val="heading 9"/>
    <w:basedOn w:val="10"/>
    <w:next w:val="1"/>
    <w:link w:val="63"/>
    <w:semiHidden/>
    <w:unhideWhenUsed/>
    <w:qFormat/>
    <w:uiPriority w:val="9"/>
    <w:pPr>
      <w:outlineLvl w:val="8"/>
    </w:pPr>
  </w:style>
  <w:style w:type="character" w:default="1" w:styleId="48">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8"/>
    <w:unhideWhenUsed/>
    <w:qFormat/>
    <w:uiPriority w:val="0"/>
    <w:pPr>
      <w:spacing w:before="120" w:after="120"/>
    </w:pPr>
    <w:rPr>
      <w:rFonts w:eastAsiaTheme="minorEastAsia"/>
      <w:b/>
      <w:bCs/>
      <w:sz w:val="22"/>
      <w:szCs w:val="22"/>
      <w:lang w:eastAsia="ko-KR"/>
    </w:rPr>
  </w:style>
  <w:style w:type="paragraph" w:styleId="28">
    <w:name w:val="Document Map"/>
    <w:basedOn w:val="1"/>
    <w:link w:val="74"/>
    <w:semiHidden/>
    <w:unhideWhenUsed/>
    <w:qFormat/>
    <w:uiPriority w:val="99"/>
    <w:pPr>
      <w:shd w:val="clear" w:color="auto" w:fill="000080"/>
    </w:pPr>
    <w:rPr>
      <w:rFonts w:ascii="Tahoma" w:hAnsi="Tahoma"/>
    </w:rPr>
  </w:style>
  <w:style w:type="paragraph" w:styleId="29">
    <w:name w:val="annotation text"/>
    <w:basedOn w:val="1"/>
    <w:link w:val="65"/>
    <w:unhideWhenUsed/>
    <w:qFormat/>
    <w:uiPriority w:val="0"/>
    <w:rPr>
      <w:lang w:eastAsia="zh-CN"/>
    </w:rPr>
  </w:style>
  <w:style w:type="paragraph" w:styleId="30">
    <w:name w:val="Body Text 3"/>
    <w:basedOn w:val="1"/>
    <w:link w:val="73"/>
    <w:semiHidden/>
    <w:unhideWhenUsed/>
    <w:qFormat/>
    <w:uiPriority w:val="99"/>
    <w:rPr>
      <w:i/>
    </w:rPr>
  </w:style>
  <w:style w:type="paragraph" w:styleId="31">
    <w:name w:val="Body Text"/>
    <w:basedOn w:val="1"/>
    <w:link w:val="70"/>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69"/>
    <w:semiHidden/>
    <w:unhideWhenUsed/>
    <w:qFormat/>
    <w:uiPriority w:val="99"/>
    <w:pPr>
      <w:spacing w:after="0"/>
    </w:pPr>
  </w:style>
  <w:style w:type="paragraph" w:styleId="34">
    <w:name w:val="Balloon Text"/>
    <w:basedOn w:val="1"/>
    <w:link w:val="76"/>
    <w:semiHidden/>
    <w:unhideWhenUsed/>
    <w:qFormat/>
    <w:uiPriority w:val="99"/>
    <w:rPr>
      <w:rFonts w:ascii="Tahoma" w:hAnsi="Tahoma" w:cs="Tahoma"/>
      <w:sz w:val="16"/>
      <w:szCs w:val="16"/>
    </w:rPr>
  </w:style>
  <w:style w:type="paragraph" w:styleId="35">
    <w:name w:val="footer"/>
    <w:basedOn w:val="36"/>
    <w:link w:val="67"/>
    <w:unhideWhenUsed/>
    <w:qFormat/>
    <w:uiPriority w:val="99"/>
    <w:pPr>
      <w:jc w:val="center"/>
    </w:pPr>
    <w:rPr>
      <w:i/>
    </w:rPr>
  </w:style>
  <w:style w:type="paragraph" w:styleId="36">
    <w:name w:val="header"/>
    <w:link w:val="66"/>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1"/>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4"/>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2"/>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5"/>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Endnote Characters"/>
    <w:basedOn w:val="48"/>
    <w:semiHidden/>
    <w:unhideWhenUsed/>
    <w:qFormat/>
    <w:uiPriority w:val="0"/>
    <w:rPr>
      <w:vertAlign w:val="superscript"/>
    </w:rPr>
  </w:style>
  <w:style w:type="character" w:customStyle="1" w:styleId="53">
    <w:name w:val="Endnote Anchor"/>
    <w:qFormat/>
    <w:uiPriority w:val="0"/>
    <w:rPr>
      <w:vertAlign w:val="superscript"/>
    </w:rPr>
  </w:style>
  <w:style w:type="character" w:customStyle="1" w:styleId="54">
    <w:name w:val="Footnote Characters"/>
    <w:semiHidden/>
    <w:unhideWhenUsed/>
    <w:qFormat/>
    <w:uiPriority w:val="0"/>
    <w:rPr>
      <w:b/>
      <w:sz w:val="16"/>
      <w:vertAlign w:val="superscript"/>
    </w:rPr>
  </w:style>
  <w:style w:type="character" w:customStyle="1" w:styleId="55">
    <w:name w:val="Footnote Anchor"/>
    <w:qFormat/>
    <w:uiPriority w:val="0"/>
    <w:rPr>
      <w:b/>
      <w:sz w:val="16"/>
      <w:vertAlign w:val="superscript"/>
    </w:rPr>
  </w:style>
  <w:style w:type="character" w:customStyle="1" w:styleId="56">
    <w:name w:val="Heading 2 Char"/>
    <w:basedOn w:val="48"/>
    <w:link w:val="3"/>
    <w:qFormat/>
    <w:uiPriority w:val="9"/>
    <w:rPr>
      <w:rFonts w:ascii="Arial" w:hAnsi="Arial" w:eastAsia="Times New Roman" w:cs="Times New Roman"/>
      <w:sz w:val="32"/>
      <w:szCs w:val="20"/>
      <w:lang w:val="en-GB" w:eastAsia="en-US"/>
    </w:rPr>
  </w:style>
  <w:style w:type="character" w:customStyle="1" w:styleId="57">
    <w:name w:val="Heading 3 Char"/>
    <w:basedOn w:val="48"/>
    <w:link w:val="4"/>
    <w:qFormat/>
    <w:uiPriority w:val="0"/>
    <w:rPr>
      <w:rFonts w:ascii="Arial" w:hAnsi="Arial" w:eastAsia="Times New Roman" w:cs="Times New Roman"/>
      <w:sz w:val="28"/>
      <w:szCs w:val="20"/>
      <w:lang w:val="en-GB" w:eastAsia="en-US"/>
    </w:rPr>
  </w:style>
  <w:style w:type="character" w:customStyle="1" w:styleId="58">
    <w:name w:val="Heading 4 Char"/>
    <w:basedOn w:val="48"/>
    <w:link w:val="5"/>
    <w:qFormat/>
    <w:uiPriority w:val="9"/>
    <w:rPr>
      <w:rFonts w:ascii="Arial" w:hAnsi="Arial" w:eastAsia="Times New Roman" w:cs="Times New Roman"/>
      <w:sz w:val="24"/>
      <w:szCs w:val="20"/>
      <w:lang w:val="en-GB" w:eastAsia="en-US"/>
    </w:rPr>
  </w:style>
  <w:style w:type="character" w:customStyle="1" w:styleId="59">
    <w:name w:val="Heading 5 Char"/>
    <w:basedOn w:val="48"/>
    <w:link w:val="6"/>
    <w:qFormat/>
    <w:uiPriority w:val="0"/>
    <w:rPr>
      <w:rFonts w:ascii="Arial" w:hAnsi="Arial" w:eastAsia="Times New Roman" w:cs="Times New Roman"/>
      <w:szCs w:val="20"/>
      <w:lang w:val="en-GB" w:eastAsia="en-US"/>
    </w:rPr>
  </w:style>
  <w:style w:type="character" w:customStyle="1" w:styleId="60">
    <w:name w:val="Heading 6 Char"/>
    <w:basedOn w:val="48"/>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1">
    <w:name w:val="Heading 7 Char"/>
    <w:basedOn w:val="48"/>
    <w:link w:val="8"/>
    <w:semiHidden/>
    <w:qFormat/>
    <w:uiPriority w:val="9"/>
    <w:rPr>
      <w:rFonts w:ascii="Arial" w:hAnsi="Arial" w:eastAsia="宋体" w:cs="Times New Roman"/>
      <w:sz w:val="20"/>
      <w:szCs w:val="20"/>
      <w:lang w:val="en-GB" w:eastAsia="en-US"/>
    </w:rPr>
  </w:style>
  <w:style w:type="character" w:customStyle="1" w:styleId="62">
    <w:name w:val="Heading 8 Char"/>
    <w:basedOn w:val="48"/>
    <w:link w:val="10"/>
    <w:semiHidden/>
    <w:qFormat/>
    <w:uiPriority w:val="9"/>
    <w:rPr>
      <w:rFonts w:ascii="Arial" w:hAnsi="Arial" w:eastAsia="宋体" w:cs="Times New Roman"/>
      <w:sz w:val="36"/>
      <w:szCs w:val="20"/>
      <w:lang w:val="en-GB" w:eastAsia="en-US"/>
    </w:rPr>
  </w:style>
  <w:style w:type="character" w:customStyle="1" w:styleId="63">
    <w:name w:val="Heading 9 Char"/>
    <w:basedOn w:val="48"/>
    <w:link w:val="11"/>
    <w:semiHidden/>
    <w:qFormat/>
    <w:uiPriority w:val="9"/>
    <w:rPr>
      <w:rFonts w:ascii="Arial" w:hAnsi="Arial" w:eastAsia="宋体" w:cs="Times New Roman"/>
      <w:sz w:val="36"/>
      <w:szCs w:val="20"/>
      <w:lang w:val="en-GB" w:eastAsia="en-US"/>
    </w:rPr>
  </w:style>
  <w:style w:type="character" w:customStyle="1" w:styleId="64">
    <w:name w:val="Footnote Text Char"/>
    <w:basedOn w:val="48"/>
    <w:link w:val="38"/>
    <w:semiHidden/>
    <w:qFormat/>
    <w:uiPriority w:val="99"/>
    <w:rPr>
      <w:rFonts w:ascii="Times New Roman" w:hAnsi="Times New Roman" w:eastAsia="宋体" w:cs="Times New Roman"/>
      <w:sz w:val="16"/>
      <w:szCs w:val="20"/>
      <w:lang w:eastAsia="en-US"/>
    </w:rPr>
  </w:style>
  <w:style w:type="character" w:customStyle="1" w:styleId="65">
    <w:name w:val="Comment Text Char"/>
    <w:basedOn w:val="48"/>
    <w:link w:val="29"/>
    <w:qFormat/>
    <w:uiPriority w:val="0"/>
    <w:rPr>
      <w:rFonts w:ascii="Times New Roman" w:hAnsi="Times New Roman" w:eastAsia="宋体" w:cs="Times New Roman"/>
      <w:sz w:val="20"/>
      <w:szCs w:val="20"/>
      <w:lang w:eastAsia="zh-CN"/>
    </w:rPr>
  </w:style>
  <w:style w:type="character" w:customStyle="1" w:styleId="66">
    <w:name w:val="Header Char"/>
    <w:basedOn w:val="48"/>
    <w:link w:val="36"/>
    <w:qFormat/>
    <w:uiPriority w:val="99"/>
    <w:rPr>
      <w:rFonts w:ascii="Arial" w:hAnsi="Arial" w:eastAsia="宋体" w:cs="Times New Roman"/>
      <w:b/>
      <w:sz w:val="18"/>
      <w:szCs w:val="20"/>
      <w:lang w:eastAsia="en-US"/>
    </w:rPr>
  </w:style>
  <w:style w:type="character" w:customStyle="1" w:styleId="67">
    <w:name w:val="Footer Char"/>
    <w:basedOn w:val="48"/>
    <w:link w:val="35"/>
    <w:qFormat/>
    <w:uiPriority w:val="99"/>
    <w:rPr>
      <w:rFonts w:ascii="Arial" w:hAnsi="Arial" w:eastAsia="宋体" w:cs="Times New Roman"/>
      <w:b/>
      <w:i/>
      <w:sz w:val="18"/>
      <w:szCs w:val="20"/>
      <w:lang w:eastAsia="en-US"/>
    </w:rPr>
  </w:style>
  <w:style w:type="character" w:customStyle="1" w:styleId="68">
    <w:name w:val="Caption Char"/>
    <w:link w:val="27"/>
    <w:qFormat/>
    <w:locked/>
    <w:uiPriority w:val="0"/>
    <w:rPr>
      <w:rFonts w:ascii="Times New Roman" w:hAnsi="Times New Roman" w:cs="Times New Roman"/>
      <w:b/>
      <w:bCs/>
    </w:rPr>
  </w:style>
  <w:style w:type="character" w:customStyle="1" w:styleId="69">
    <w:name w:val="Endnote Text Char"/>
    <w:basedOn w:val="48"/>
    <w:link w:val="33"/>
    <w:semiHidden/>
    <w:qFormat/>
    <w:uiPriority w:val="99"/>
    <w:rPr>
      <w:rFonts w:ascii="Times New Roman" w:hAnsi="Times New Roman" w:eastAsia="宋体" w:cs="Times New Roman"/>
      <w:sz w:val="20"/>
      <w:szCs w:val="20"/>
      <w:lang w:eastAsia="en-US"/>
    </w:rPr>
  </w:style>
  <w:style w:type="character" w:customStyle="1" w:styleId="70">
    <w:name w:val="Body Text Char"/>
    <w:basedOn w:val="48"/>
    <w:link w:val="31"/>
    <w:qFormat/>
    <w:uiPriority w:val="99"/>
    <w:rPr>
      <w:rFonts w:ascii="Times" w:hAnsi="Times" w:eastAsia="宋体" w:cs="Times New Roman"/>
      <w:sz w:val="20"/>
      <w:szCs w:val="24"/>
      <w:lang w:eastAsia="en-US"/>
    </w:rPr>
  </w:style>
  <w:style w:type="character" w:customStyle="1" w:styleId="71">
    <w:name w:val="Subtitle Char"/>
    <w:basedOn w:val="48"/>
    <w:link w:val="37"/>
    <w:qFormat/>
    <w:uiPriority w:val="99"/>
    <w:rPr>
      <w:rFonts w:ascii="Cambria" w:hAnsi="Cambria" w:eastAsia="Times New Roman" w:cs="Times New Roman"/>
      <w:sz w:val="24"/>
      <w:szCs w:val="24"/>
      <w:lang w:eastAsia="zh-CN"/>
    </w:rPr>
  </w:style>
  <w:style w:type="character" w:customStyle="1" w:styleId="72">
    <w:name w:val="Body Text 2 Char"/>
    <w:basedOn w:val="48"/>
    <w:link w:val="40"/>
    <w:semiHidden/>
    <w:qFormat/>
    <w:uiPriority w:val="99"/>
    <w:rPr>
      <w:rFonts w:ascii="Arial" w:hAnsi="Arial" w:eastAsia="宋体" w:cs="Times New Roman"/>
      <w:szCs w:val="20"/>
      <w:lang w:eastAsia="en-US"/>
    </w:rPr>
  </w:style>
  <w:style w:type="character" w:customStyle="1" w:styleId="73">
    <w:name w:val="Body Text 3 Char"/>
    <w:basedOn w:val="48"/>
    <w:link w:val="30"/>
    <w:semiHidden/>
    <w:qFormat/>
    <w:uiPriority w:val="99"/>
    <w:rPr>
      <w:rFonts w:ascii="Times New Roman" w:hAnsi="Times New Roman" w:eastAsia="宋体" w:cs="Times New Roman"/>
      <w:i/>
      <w:sz w:val="20"/>
      <w:szCs w:val="20"/>
      <w:lang w:eastAsia="en-US"/>
    </w:rPr>
  </w:style>
  <w:style w:type="character" w:customStyle="1" w:styleId="74">
    <w:name w:val="Document Map Char"/>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5">
    <w:name w:val="Comment Subject Char"/>
    <w:basedOn w:val="65"/>
    <w:link w:val="44"/>
    <w:semiHidden/>
    <w:qFormat/>
    <w:uiPriority w:val="99"/>
    <w:rPr>
      <w:rFonts w:ascii="Times New Roman" w:hAnsi="Times New Roman" w:eastAsia="宋体" w:cs="Times New Roman"/>
      <w:b/>
      <w:bCs/>
      <w:sz w:val="20"/>
      <w:szCs w:val="20"/>
      <w:lang w:eastAsia="zh-CN"/>
    </w:rPr>
  </w:style>
  <w:style w:type="character" w:customStyle="1" w:styleId="76">
    <w:name w:val="Balloon Text Char"/>
    <w:basedOn w:val="48"/>
    <w:link w:val="34"/>
    <w:semiHidden/>
    <w:qFormat/>
    <w:uiPriority w:val="99"/>
    <w:rPr>
      <w:rFonts w:ascii="Tahoma" w:hAnsi="Tahoma" w:eastAsia="宋体" w:cs="Tahoma"/>
      <w:sz w:val="16"/>
      <w:szCs w:val="16"/>
      <w:lang w:eastAsia="en-US"/>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DD9B5-63E4-446D-952E-DCCD1324BC06}">
  <ds:schemaRefs/>
</ds:datastoreItem>
</file>

<file path=customXml/itemProps3.xml><?xml version="1.0" encoding="utf-8"?>
<ds:datastoreItem xmlns:ds="http://schemas.openxmlformats.org/officeDocument/2006/customXml" ds:itemID="{7FF44C22-DEDA-4939-A179-77E42F0DFBA3}">
  <ds:schemaRefs/>
</ds:datastoreItem>
</file>

<file path=customXml/itemProps4.xml><?xml version="1.0" encoding="utf-8"?>
<ds:datastoreItem xmlns:ds="http://schemas.openxmlformats.org/officeDocument/2006/customXml" ds:itemID="{DC494D19-68EC-40C7-8CE6-50C142DF5701}">
  <ds:schemaRefs/>
</ds:datastoreItem>
</file>

<file path=customXml/itemProps5.xml><?xml version="1.0" encoding="utf-8"?>
<ds:datastoreItem xmlns:ds="http://schemas.openxmlformats.org/officeDocument/2006/customXml" ds:itemID="{1CA1D488-74F2-47F9-8E3B-6814537F9E58}">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30</Pages>
  <Words>11721</Words>
  <Characters>66811</Characters>
  <Lines>556</Lines>
  <Paragraphs>156</Paragraphs>
  <TotalTime>1</TotalTime>
  <ScaleCrop>false</ScaleCrop>
  <LinksUpToDate>false</LinksUpToDate>
  <CharactersWithSpaces>78376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2023-04-17T13:12:00Z</dcterms:created>
  <dc:creator>Lee, Daewon</dc:creator>
  <cp:lastModifiedBy>ZTE, Mengzhu</cp:lastModifiedBy>
  <dcterms:modified xsi:type="dcterms:W3CDTF">2023-04-17T13:48:29Z</dcterms:modified>
  <dc:title>Discussion summary #1 of issues for enhancements on cell DTX/DRX mechanism</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