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summary#3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rPr>
                <w:b/>
                <w:sz w:val="18"/>
                <w:lang w:val="en-US" w:eastAsia="zh-CN"/>
              </w:rPr>
            </w:pPr>
          </w:p>
        </w:tc>
        <w:tc>
          <w:tcPr>
            <w:tcW w:w="1817" w:type="dxa"/>
            <w:shd w:val="clear" w:color="auto" w:fill="F1F1F1" w:themeFill="background1" w:themeFillShade="F2"/>
            <w:vAlign w:val="center"/>
          </w:tcPr>
          <w:p>
            <w:pPr>
              <w:rPr>
                <w:b/>
                <w:sz w:val="18"/>
                <w:lang w:val="en-US" w:eastAsia="zh-CN"/>
              </w:rPr>
            </w:pPr>
            <w:r>
              <w:rPr>
                <w:b/>
                <w:sz w:val="18"/>
                <w:lang w:val="en-US" w:eastAsia="zh-CN"/>
              </w:rPr>
              <w:t xml:space="preserve">Monday </w:t>
            </w:r>
          </w:p>
          <w:p>
            <w:pPr>
              <w:rPr>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Tuesday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Wednesday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Thursday</w:t>
            </w:r>
          </w:p>
          <w:p>
            <w:pPr>
              <w:rPr>
                <w:b/>
                <w:sz w:val="18"/>
                <w:lang w:val="en-US" w:eastAsia="zh-CN"/>
              </w:rPr>
            </w:pPr>
            <w:r>
              <w:rPr>
                <w:sz w:val="18"/>
                <w:lang w:val="en-US" w:eastAsia="zh-CN"/>
              </w:rPr>
              <w:t>UTC 20:30~23:30</w:t>
            </w:r>
          </w:p>
        </w:tc>
        <w:tc>
          <w:tcPr>
            <w:tcW w:w="1818" w:type="dxa"/>
            <w:shd w:val="clear" w:color="auto" w:fill="00B0F0"/>
            <w:vAlign w:val="center"/>
          </w:tcPr>
          <w:p>
            <w:pPr>
              <w:rPr>
                <w:b/>
                <w:sz w:val="18"/>
                <w:lang w:val="en-US" w:eastAsia="zh-CN"/>
              </w:rPr>
            </w:pPr>
            <w:r>
              <w:rPr>
                <w:b/>
                <w:sz w:val="18"/>
                <w:lang w:val="en-US" w:eastAsia="zh-CN"/>
              </w:rPr>
              <w:t>Friday</w:t>
            </w:r>
          </w:p>
          <w:p>
            <w:pPr>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rPr>
                <w:b/>
                <w:sz w:val="18"/>
                <w:lang w:val="en-US" w:eastAsia="zh-CN"/>
              </w:rPr>
            </w:pPr>
            <w:r>
              <w:rPr>
                <w:b/>
                <w:sz w:val="18"/>
                <w:lang w:val="en-US" w:eastAsia="zh-CN"/>
              </w:rPr>
              <w:t>GTW1</w:t>
            </w:r>
          </w:p>
        </w:tc>
        <w:tc>
          <w:tcPr>
            <w:tcW w:w="1817"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rPr>
                <w:sz w:val="18"/>
                <w:lang w:val="en-US" w:eastAsia="zh-CN"/>
              </w:rPr>
            </w:pPr>
            <w:r>
              <w:rPr>
                <w:sz w:val="18"/>
                <w:lang w:val="en-US" w:eastAsia="zh-CN"/>
              </w:rPr>
              <w:t>Rel-18 XR (50min)</w:t>
            </w:r>
          </w:p>
        </w:tc>
        <w:tc>
          <w:tcPr>
            <w:tcW w:w="1818"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rPr>
                <w:sz w:val="18"/>
                <w:lang w:val="fr-FR" w:eastAsia="zh-CN"/>
              </w:rPr>
            </w:pPr>
            <w:r>
              <w:rPr>
                <w:sz w:val="18"/>
                <w:lang w:val="fr-FR" w:eastAsia="zh-CN"/>
              </w:rPr>
              <w:t>Rel-18 XR (45min)</w:t>
            </w:r>
          </w:p>
          <w:p>
            <w:pPr>
              <w:rPr>
                <w:sz w:val="18"/>
                <w:lang w:val="fr-FR" w:eastAsia="zh-CN"/>
              </w:rPr>
            </w:pPr>
            <w:r>
              <w:rPr>
                <w:sz w:val="18"/>
                <w:lang w:val="fr-FR" w:eastAsia="zh-CN"/>
              </w:rPr>
              <w:t>Rel-18 TEI (30min)</w:t>
            </w:r>
          </w:p>
        </w:tc>
        <w:tc>
          <w:tcPr>
            <w:tcW w:w="1818" w:type="dxa"/>
            <w:shd w:val="clear" w:color="auto" w:fill="FFFFFF" w:themeFill="background1"/>
          </w:tcPr>
          <w:p>
            <w:pPr>
              <w:rPr>
                <w:sz w:val="18"/>
                <w:lang w:val="fr-FR" w:eastAsia="zh-CN"/>
              </w:rPr>
            </w:pPr>
            <w:r>
              <w:rPr>
                <w:sz w:val="18"/>
                <w:lang w:val="fr-FR" w:eastAsia="zh-CN"/>
              </w:rPr>
              <w:t>R18 MIMO (120min)</w:t>
            </w:r>
          </w:p>
          <w:p>
            <w:pPr>
              <w:rPr>
                <w:b/>
                <w:sz w:val="18"/>
                <w:lang w:val="fr-FR" w:eastAsia="zh-CN"/>
              </w:rPr>
            </w:pPr>
            <w:r>
              <w:rPr>
                <w:b/>
                <w:color w:val="FF0000"/>
                <w:sz w:val="18"/>
                <w:lang w:val="fr-FR" w:eastAsia="zh-CN"/>
              </w:rPr>
              <w:t>R18 NES (60min)</w:t>
            </w:r>
          </w:p>
        </w:tc>
      </w:tr>
    </w:tbl>
    <w:p>
      <w:pPr>
        <w:rPr>
          <w:lang w:val="fr-FR" w:eastAsia="zh-CN"/>
        </w:rPr>
      </w:pPr>
    </w:p>
    <w:p>
      <w:pPr>
        <w:pStyle w:val="2"/>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r>
        <w:rPr>
          <w:lang w:val="en-US" w:eastAsia="zh-CN"/>
        </w:rPr>
        <w:t>Tbd.</w:t>
      </w:r>
    </w:p>
    <w:p>
      <w:pPr>
        <w:pStyle w:val="2"/>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2"/>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宋体"/>
                <w:lang w:val="en-US" w:eastAsia="zh-CN"/>
              </w:rPr>
            </w:pPr>
          </w:p>
          <w:p>
            <w:pPr>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m:rP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m:rPr/>
                    <w:rPr>
                      <w:rFonts w:ascii="Cambria Math" w:hAnsi="Cambria Math" w:eastAsia="PMingLiU"/>
                      <w:lang w:val="en-US" w:eastAsia="zh-TW"/>
                    </w:rPr>
                    <m:t>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ZTE,Sanechips3e</w:t>
            </w:r>
          </w:p>
        </w:tc>
        <w:tc>
          <w:tcPr>
            <w:tcW w:w="8152" w:type="dxa"/>
          </w:tcPr>
          <w:p>
            <w:pPr>
              <w:rPr>
                <w:rFonts w:eastAsia="宋体"/>
                <w:lang w:val="en-US" w:eastAsia="zh-CN"/>
              </w:rPr>
            </w:pPr>
            <w:r>
              <w:rPr>
                <w:rFonts w:hint="eastAsia" w:eastAsia="宋体"/>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rFonts w:hint="eastAsia"/>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Based on FL</w:t>
            </w:r>
            <w:r>
              <w:rPr>
                <w:rFonts w:eastAsia="宋体"/>
                <w:lang w:val="en-US" w:eastAsia="zh-CN"/>
              </w:rPr>
              <w:t>’</w:t>
            </w:r>
            <w:r>
              <w:rPr>
                <w:rFonts w:hint="eastAsia" w:eastAsia="宋体"/>
                <w:lang w:val="en-US" w:eastAsia="zh-CN"/>
              </w:rPr>
              <w:t xml:space="preserve">s reply to DCM, it seems that if there is no difference with FL3e P3-remaining-1 if N=L  (or </w:t>
            </w:r>
            <w:r>
              <w:rPr>
                <w:lang w:val="en-US" w:eastAsia="zh-CN"/>
              </w:rPr>
              <w:t>different notion of L instead of N</w:t>
            </w:r>
            <w:r>
              <w:rPr>
                <w:rFonts w:hint="eastAsia" w:eastAsia="宋体"/>
                <w:lang w:val="en-US" w:eastAsia="zh-CN"/>
              </w:rPr>
              <w:t>) .</w:t>
            </w:r>
          </w:p>
          <w:p>
            <w:pPr>
              <w:rPr>
                <w:lang w:val="en-US" w:eastAsia="zh-CN"/>
              </w:rPr>
            </w:pPr>
            <w:r>
              <w:rPr>
                <w:rFonts w:hint="eastAsia" w:eastAsia="宋体"/>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rFonts w:hint="eastAsia"/>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eastAsia" w:ascii="Times New Roman" w:hAnsi="Times New Roman" w:cs="Times New Roman" w:eastAsiaTheme="minorEastAsia"/>
                <w:lang w:val="en-US" w:eastAsia="zh-CN" w:bidi="ar-SA"/>
              </w:rPr>
            </w:pPr>
            <w:r>
              <w:rPr>
                <w:rFonts w:hint="eastAsia"/>
                <w:lang w:val="en-US" w:eastAsia="zh-CN"/>
              </w:rPr>
              <w:t>OPPO</w:t>
            </w:r>
          </w:p>
        </w:tc>
        <w:tc>
          <w:tcPr>
            <w:tcW w:w="8152" w:type="dxa"/>
            <w:vAlign w:val="top"/>
          </w:tcPr>
          <w:p>
            <w:pPr>
              <w:rPr>
                <w:rFonts w:hint="eastAsia"/>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rFonts w:hint="eastAsia"/>
                <w:lang w:val="en-US" w:eastAsia="zh-CN"/>
              </w:rPr>
            </w:pPr>
            <w:r>
              <w:rPr>
                <w:rFonts w:hint="eastAsia"/>
                <w:lang w:val="en-US" w:eastAsia="zh-CN"/>
              </w:rPr>
              <w:t xml:space="preserve">Also, for note 2, we have a different understanding. We see this case as multi-CSI reporting. </w:t>
            </w:r>
          </w:p>
          <w:p>
            <w:pPr>
              <w:rPr>
                <w:rFonts w:hint="eastAsia" w:ascii="Times New Roman" w:hAnsi="Times New Roman" w:cs="Times New Roman" w:eastAsiaTheme="minorEastAsia"/>
                <w:lang w:val="en-US" w:eastAsia="zh-CN" w:bidi="ar-SA"/>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2"/>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2"/>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rPr>
          <w:lang w:val="en-US"/>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6"/>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34"/>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3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3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宋体"/>
                <w:b/>
                <w:szCs w:val="24"/>
                <w:lang w:val="en-US" w:eastAsia="zh-CN"/>
              </w:rPr>
              <w:t>Solutions to compress the CSI overhead, e.g.</w:t>
            </w:r>
            <w:r>
              <w:rPr>
                <w:rFonts w:eastAsia="宋体"/>
                <w:b/>
                <w:szCs w:val="24"/>
                <w:lang w:val="en-US" w:eastAsia="zh-CN"/>
              </w:rPr>
              <w:t xml:space="preserve"> </w:t>
            </w:r>
            <w:r>
              <w:rPr>
                <w:rFonts w:hint="eastAsia" w:eastAsia="宋体"/>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宋体"/>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27"/>
              <w:numPr>
                <w:ilvl w:val="0"/>
                <w:numId w:val="36"/>
              </w:numPr>
              <w:rPr>
                <w:highlight w:val="yellow"/>
              </w:rPr>
            </w:pPr>
            <w:r>
              <w:rPr>
                <w:highlight w:val="yellow"/>
              </w:rPr>
              <w:t>Support multi-CSI feedback with UE reports CSI-feedback for each spatial adaptation pattern in multiple occasions as baseline.</w:t>
            </w:r>
          </w:p>
          <w:p>
            <w:pPr>
              <w:pStyle w:val="27"/>
              <w:numPr>
                <w:ilvl w:val="1"/>
                <w:numId w:val="36"/>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3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3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3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Solutions to compress the CSI overhead, e.g.</w:t>
            </w:r>
            <w:r>
              <w:rPr>
                <w:rFonts w:eastAsia="宋体"/>
                <w:b/>
                <w:bCs/>
                <w:szCs w:val="24"/>
                <w:lang w:val="en-US" w:eastAsia="zh-CN"/>
              </w:rPr>
              <w:t xml:space="preserve"> </w:t>
            </w:r>
            <w:r>
              <w:rPr>
                <w:rFonts w:hint="eastAsia" w:eastAsia="宋体"/>
                <w:b/>
                <w:bCs/>
                <w:szCs w:val="24"/>
                <w:lang w:val="en-US" w:eastAsia="zh-CN"/>
              </w:rPr>
              <w:t>common CRI/RI/PMI/CQI or differential RI/CQI</w:t>
            </w:r>
            <w:r>
              <w:rPr>
                <w:rFonts w:eastAsia="宋体"/>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We agree with DOCOMO that whether overhead/report payload reduction is used can be configured by gNB. Hence, similar update is suggested.</w:t>
            </w:r>
          </w:p>
          <w:p>
            <w:pPr>
              <w:spacing w:after="60"/>
              <w:outlineLvl w:val="2"/>
              <w:rPr>
                <w:rFonts w:eastAsia="宋体"/>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27"/>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27"/>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TW" w:bidi="ar-SA"/>
              </w:rPr>
            </w:pPr>
            <w:r>
              <w:rPr>
                <w:rFonts w:hint="eastAsia" w:eastAsia="宋体"/>
                <w:lang w:val="en-US" w:eastAsia="zh-CN"/>
              </w:rPr>
              <w:t>OPPO</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We are fine with P4-rev4</w:t>
            </w:r>
          </w:p>
        </w:tc>
      </w:tr>
    </w:tbl>
    <w:p>
      <w:pPr>
        <w:rPr>
          <w:lang w:val="en-US"/>
        </w:rPr>
      </w:pPr>
    </w:p>
    <w:p>
      <w:pPr>
        <w:rPr>
          <w:lang w:val="en-US"/>
        </w:rPr>
      </w:pP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38"/>
              </w:numPr>
              <w:rPr>
                <w:lang w:val="en-US" w:eastAsia="zh-CN"/>
              </w:rPr>
            </w:pPr>
            <w:r>
              <w:rPr>
                <w:lang w:val="en-US" w:eastAsia="zh-CN"/>
              </w:rPr>
              <w:t xml:space="preserve">Suggest adding how it is feasible/possible to skip evaluations. </w:t>
            </w:r>
          </w:p>
          <w:p>
            <w:pPr>
              <w:pStyle w:val="154"/>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vAlign w:val="top"/>
          </w:tcPr>
          <w:p>
            <w:pPr>
              <w:rPr>
                <w:rFonts w:hint="default" w:ascii="Times New Roman" w:hAnsi="Times New Roman" w:cs="Times New Roman" w:eastAsiaTheme="minorEastAsia"/>
                <w:lang w:val="en-US" w:eastAsia="zh-CN" w:bidi="ar-SA"/>
              </w:rPr>
            </w:pPr>
            <w:r>
              <w:rPr>
                <w:rFonts w:hint="eastAsia"/>
                <w:lang w:val="en-US" w:eastAsia="zh-CN"/>
              </w:rPr>
              <w:t>OPPO</w:t>
            </w:r>
          </w:p>
        </w:tc>
        <w:tc>
          <w:tcPr>
            <w:tcW w:w="7750" w:type="dxa"/>
            <w:gridSpan w:val="7"/>
            <w:vAlign w:val="top"/>
          </w:tcPr>
          <w:p>
            <w:pPr>
              <w:spacing w:after="60"/>
              <w:outlineLvl w:val="3"/>
              <w:rPr>
                <w:rFonts w:hint="default" w:ascii="Times New Roman" w:hAnsi="Times New Roman" w:cs="Times New Roman" w:eastAsiaTheme="minorEastAsia"/>
                <w:lang w:val="en-US" w:eastAsia="zh-CN" w:bidi="ar-SA"/>
              </w:rPr>
            </w:pPr>
            <w:r>
              <w:rPr>
                <w:rFonts w:hint="eastAsia"/>
                <w:lang w:val="en-US" w:eastAsia="zh-CN"/>
              </w:rPr>
              <w:t>OK with P-Q3-rev1</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8"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3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2"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2"/>
    </w:p>
    <w:p>
      <w:pPr>
        <w:pStyle w:val="154"/>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(i.e. A1-1 in the RAN1#112 agreement).</w:t>
      </w:r>
      <w:bookmarkEnd w:id="13"/>
    </w:p>
    <w:p>
      <w:pPr>
        <w:pStyle w:val="154"/>
        <w:numPr>
          <w:ilvl w:val="0"/>
          <w:numId w:val="18"/>
        </w:numPr>
        <w:spacing w:before="60"/>
        <w:ind w:left="924" w:hanging="357"/>
      </w:pPr>
      <w:bookmarkStart w:id="14" w:name="_Toc131760252"/>
      <w:r>
        <w:t>For Type-2 spatial element adaptation, a CSI-RS resource set is configured within a CSI Resource Setting (CSI-ResourceConfig) wherein the set contains multiple CSI-RS resources each one associated with a spatial element adaptation pattern.</w:t>
      </w:r>
      <w:bookmarkEnd w:id="14"/>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4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41"/>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80"/>
                <w:color w:val="FF0000"/>
              </w:rPr>
              <w:t xml:space="preserve">A1-2-further-revised: A resource set with </w:t>
            </w:r>
            <w:r>
              <w:rPr>
                <w:rStyle w:val="80"/>
                <w:color w:val="FF0000"/>
                <w:u w:val="single"/>
              </w:rPr>
              <w:t>one or multiple resources</w:t>
            </w:r>
            <w:r>
              <w:rPr>
                <w:rStyle w:val="80"/>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4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41"/>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80"/>
              </w:rPr>
              <w:t>A1-2-revised,</w:t>
            </w:r>
            <w:r>
              <w:rPr>
                <w:rStyle w:val="80"/>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zh-CN"/>
              </w:rPr>
              <w:t>ZTE, Sanechips3</w:t>
            </w:r>
          </w:p>
        </w:tc>
        <w:tc>
          <w:tcPr>
            <w:tcW w:w="8152" w:type="dxa"/>
          </w:tcPr>
          <w:p>
            <w:pPr>
              <w:rPr>
                <w:rFonts w:eastAsia="宋体"/>
                <w:lang w:val="en-US" w:eastAsia="zh-CN"/>
              </w:rPr>
            </w:pPr>
            <w:r>
              <w:rPr>
                <w:rFonts w:hint="eastAsia" w:eastAsia="宋体"/>
                <w:lang w:val="en-US" w:eastAsia="zh-CN"/>
              </w:rPr>
              <w:t>Support P-Q9-moved.</w:t>
            </w:r>
          </w:p>
        </w:tc>
      </w:tr>
    </w:tbl>
    <w:p>
      <w:pPr>
        <w:rPr>
          <w:lang w:val="en-US"/>
        </w:rPr>
      </w:pP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4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5" w:name="_Hlk132978304"/>
            <w:r>
              <w:rPr>
                <w:rFonts w:hint="eastAsia" w:eastAsia="Yu Mincho"/>
                <w:lang w:val="en-US" w:eastAsia="ja-JP"/>
              </w:rPr>
              <w:t>A</w:t>
            </w:r>
            <w:r>
              <w:rPr>
                <w:rFonts w:eastAsia="Yu Mincho"/>
                <w:lang w:val="en-US" w:eastAsia="ja-JP"/>
              </w:rPr>
              <w:t>pple3e-add</w:t>
            </w:r>
            <w:bookmarkEnd w:id="15"/>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42"/>
        </w:numPr>
        <w:spacing w:after="0"/>
        <w:ind w:left="1061"/>
        <w:rPr>
          <w:lang w:eastAsia="zh-CN"/>
        </w:rPr>
      </w:pPr>
      <w:r>
        <w:rPr>
          <w:rFonts w:hint="eastAsia"/>
          <w:lang w:eastAsia="zh-CN"/>
        </w:rPr>
        <w:t>F</w:t>
      </w:r>
      <w:r>
        <w:rPr>
          <w:lang w:eastAsia="zh-CN"/>
        </w:rPr>
        <w:t xml:space="preserve">or type 1: </w:t>
      </w:r>
    </w:p>
    <w:p>
      <w:pPr>
        <w:pStyle w:val="154"/>
        <w:numPr>
          <w:ilvl w:val="0"/>
          <w:numId w:val="43"/>
        </w:numPr>
        <w:spacing w:after="0"/>
        <w:ind w:left="1486"/>
        <w:rPr>
          <w:lang w:eastAsia="zh-CN"/>
        </w:rPr>
      </w:pPr>
      <w:r>
        <w:rPr>
          <w:lang w:eastAsia="zh-CN"/>
        </w:rPr>
        <w:t xml:space="preserve">N1 and N2 </w:t>
      </w:r>
    </w:p>
    <w:p>
      <w:pPr>
        <w:pStyle w:val="154"/>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42"/>
        </w:numPr>
        <w:spacing w:after="0"/>
        <w:ind w:left="1061"/>
        <w:rPr>
          <w:lang w:eastAsia="zh-CN"/>
        </w:rPr>
      </w:pPr>
      <w:r>
        <w:rPr>
          <w:rFonts w:hint="eastAsia"/>
          <w:lang w:eastAsia="zh-CN"/>
        </w:rPr>
        <w:t>F</w:t>
      </w:r>
      <w:r>
        <w:rPr>
          <w:lang w:eastAsia="zh-CN"/>
        </w:rPr>
        <w:t>or type 2:</w:t>
      </w:r>
    </w:p>
    <w:p>
      <w:pPr>
        <w:pStyle w:val="154"/>
        <w:numPr>
          <w:ilvl w:val="0"/>
          <w:numId w:val="43"/>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6" w:name="_Toc131760244"/>
      <w:r>
        <w:t>For Type-1 spatial domain adaptation, for aperiodic CSI reporting, support configuration of one or more indicators within a trigger state, where an indicator points to a sub-configuration within a CSI-ReportConfig.</w:t>
      </w:r>
      <w:bookmarkEnd w:id="16"/>
    </w:p>
    <w:p>
      <w:pPr>
        <w:pStyle w:val="154"/>
        <w:numPr>
          <w:ilvl w:val="0"/>
          <w:numId w:val="18"/>
        </w:numPr>
        <w:spacing w:before="60" w:after="0"/>
        <w:ind w:left="925" w:hanging="357"/>
      </w:pPr>
      <w:bookmarkStart w:id="17" w:name="_Toc131760247"/>
      <w:r>
        <w:t>For Type 1 spatial domain adaptation, a CSI-Report sub-configuration includes the following information for CSI measurement and reporting</w:t>
      </w:r>
      <w:bookmarkEnd w:id="17"/>
    </w:p>
    <w:p>
      <w:pPr>
        <w:pStyle w:val="154"/>
        <w:numPr>
          <w:ilvl w:val="2"/>
          <w:numId w:val="19"/>
        </w:numPr>
        <w:spacing w:after="120" w:afterLines="50"/>
        <w:ind w:left="1484"/>
        <w:contextualSpacing/>
        <w:rPr>
          <w:rFonts w:eastAsia="MS Mincho"/>
          <w:szCs w:val="24"/>
          <w:lang w:eastAsia="ja-JP"/>
        </w:rPr>
      </w:pPr>
      <w:bookmarkStart w:id="18" w:name="_Toc131760248"/>
      <w:r>
        <w:rPr>
          <w:rFonts w:eastAsia="MS Mincho"/>
          <w:szCs w:val="24"/>
          <w:lang w:eastAsia="ja-JP"/>
        </w:rPr>
        <w:t>A number of antenna ports</w:t>
      </w:r>
      <w:bookmarkEnd w:id="18"/>
    </w:p>
    <w:p>
      <w:pPr>
        <w:pStyle w:val="154"/>
        <w:numPr>
          <w:ilvl w:val="2"/>
          <w:numId w:val="19"/>
        </w:numPr>
        <w:spacing w:after="120" w:afterLines="50"/>
        <w:ind w:left="1484"/>
        <w:contextualSpacing/>
        <w:rPr>
          <w:rFonts w:eastAsia="MS Mincho"/>
          <w:szCs w:val="24"/>
          <w:lang w:eastAsia="ja-JP"/>
        </w:rPr>
      </w:pPr>
      <w:bookmarkStart w:id="19" w:name="_Toc131760249"/>
      <w:r>
        <w:rPr>
          <w:rFonts w:eastAsia="MS Mincho"/>
          <w:szCs w:val="24"/>
          <w:lang w:eastAsia="ja-JP"/>
        </w:rPr>
        <w:t>Indicator(s) of a subset of antenna ports within a codebook</w:t>
      </w:r>
      <w:bookmarkEnd w:id="19"/>
    </w:p>
    <w:p>
      <w:pPr>
        <w:pStyle w:val="154"/>
        <w:numPr>
          <w:ilvl w:val="0"/>
          <w:numId w:val="18"/>
        </w:numPr>
        <w:spacing w:after="0"/>
        <w:ind w:left="925" w:hanging="357"/>
      </w:pPr>
      <w:bookmarkStart w:id="20"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0"/>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44"/>
              </w:numPr>
              <w:spacing w:after="60" w:line="240" w:lineRule="auto"/>
              <w:rPr>
                <w:lang w:val="en-US" w:eastAsia="zh-CN"/>
              </w:rPr>
            </w:pPr>
            <w:r>
              <w:rPr>
                <w:b/>
                <w:color w:val="00B0F0"/>
                <w:lang w:val="en-US"/>
              </w:rPr>
              <w:t xml:space="preserve">CSI processing related parameters are linearly scaled </w:t>
            </w:r>
            <w:bookmarkStart w:id="21" w:name="_Hlk132883411"/>
            <w:r>
              <w:rPr>
                <w:b/>
                <w:color w:val="00B0F0"/>
                <w:lang w:val="en-US"/>
              </w:rPr>
              <w:t>with the number of spatial adaptation patterns and the number of resources in each spatial adaptation pattern</w:t>
            </w:r>
            <w:bookmarkEnd w:id="21"/>
            <w:r>
              <w:rPr>
                <w:b/>
                <w:color w:val="00B0F0"/>
                <w:lang w:val="en-US"/>
              </w:rPr>
              <w:t>.</w:t>
            </w:r>
          </w:p>
          <w:p>
            <w:pPr>
              <w:pStyle w:val="154"/>
              <w:numPr>
                <w:ilvl w:val="0"/>
                <w:numId w:val="44"/>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45"/>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46"/>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4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47"/>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48"/>
              </w:numPr>
              <w:jc w:val="left"/>
              <w:rPr>
                <w:lang w:val="en-US" w:eastAsia="zh-CN"/>
              </w:rPr>
            </w:pPr>
            <w:r>
              <w:rPr>
                <w:lang w:val="en-US" w:eastAsia="zh-CN"/>
              </w:rPr>
              <w:t xml:space="preserve">The proposal is good for Type 1 SD adaptation only. </w:t>
            </w:r>
          </w:p>
          <w:p>
            <w:pPr>
              <w:pStyle w:val="154"/>
              <w:numPr>
                <w:ilvl w:val="0"/>
                <w:numId w:val="4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48"/>
              </w:numPr>
              <w:jc w:val="left"/>
              <w:rPr>
                <w:lang w:val="en-US" w:eastAsia="zh-CN"/>
              </w:rPr>
            </w:pPr>
            <w:r>
              <w:rPr>
                <w:lang w:val="en-US" w:eastAsia="zh-CN"/>
              </w:rPr>
              <w:t>Power offset between PDSCH and CSI-RS is hypothetical one that UE assumes for CSI measurement.</w:t>
            </w:r>
          </w:p>
          <w:p>
            <w:pPr>
              <w:pStyle w:val="154"/>
              <w:numPr>
                <w:ilvl w:val="1"/>
                <w:numId w:val="48"/>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48"/>
              </w:numPr>
              <w:jc w:val="left"/>
              <w:rPr>
                <w:lang w:val="en-US" w:eastAsia="zh-CN"/>
              </w:rPr>
            </w:pPr>
            <w:r>
              <w:rPr>
                <w:lang w:val="en-US" w:eastAsia="zh-CN"/>
              </w:rPr>
              <w:t>nrofPorts is a part of CSI-RS resource configuration.</w:t>
            </w:r>
          </w:p>
          <w:p>
            <w:pPr>
              <w:pStyle w:val="154"/>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48"/>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4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bookmarkStart w:id="32" w:name="_GoBack" w:colFirst="0" w:colLast="1"/>
            <w:r>
              <w:rPr>
                <w:rFonts w:hint="eastAsia"/>
                <w:lang w:val="en-US" w:eastAsia="zh-CN"/>
              </w:rPr>
              <w:t>OPPO</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OK with P-Q8-rev3</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50"/>
              </w:numPr>
              <w:rPr>
                <w:lang w:val="en-US" w:eastAsia="zh-CN"/>
              </w:rPr>
            </w:pPr>
            <w:r>
              <w:rPr>
                <w:lang w:val="en-US" w:eastAsia="zh-CN"/>
              </w:rPr>
              <w:t>Though may not be needed, we think The A2-2 can stilled be used for Type-2 SD adaptations.</w:t>
            </w:r>
          </w:p>
          <w:p>
            <w:pPr>
              <w:pStyle w:val="154"/>
              <w:numPr>
                <w:ilvl w:val="0"/>
                <w:numId w:val="5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4"/>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TW"/>
              </w:rPr>
              <w:t>MTK2</w:t>
            </w:r>
          </w:p>
        </w:tc>
        <w:tc>
          <w:tcPr>
            <w:tcW w:w="8152" w:type="dxa"/>
          </w:tcPr>
          <w:p>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rFonts w:eastAsia="宋体"/>
                <w:lang w:val="en-US" w:eastAsia="zh-CN"/>
              </w:rPr>
            </w:pPr>
            <w:r>
              <w:rPr>
                <w:rFonts w:eastAsia="宋体"/>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5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5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2" w:name="_Ref131238531"/>
      <w:r>
        <w:t xml:space="preserve">Spatial element adaptation and power offset adaptation </w:t>
      </w:r>
      <w:r>
        <w:rPr>
          <w:rFonts w:hint="eastAsia"/>
        </w:rPr>
        <w:t>are</w:t>
      </w:r>
      <w:r>
        <w:t xml:space="preserve"> not applicable to the CSI-RS Resources for L1-RSRP/L3-RSRP measurement/ beam management</w:t>
      </w:r>
      <w:bookmarkEnd w:id="22"/>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53"/>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53"/>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rPr>
      </w:pP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5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5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5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3" w:name="_Ref131238525"/>
      <w:bookmarkStart w:id="24" w:name="_Ref115454430"/>
      <w:r>
        <w:t xml:space="preserve"> Support group common DCI to indicate the active sub-configuration corresponding to a spatial adaptation pattern that UE shall report</w:t>
      </w:r>
      <w:bookmarkEnd w:id="23"/>
      <w:r>
        <w:t>. For each CSI reporting occasion corresponding to one report configuration, only one sub-configuration can be indicated as active</w:t>
      </w:r>
      <w:bookmarkEnd w:id="24"/>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2"/>
        <w:numPr>
          <w:ilvl w:val="0"/>
          <w:numId w:val="13"/>
        </w:numPr>
      </w:pPr>
      <w:r>
        <w:rPr>
          <w:rFonts w:hint="eastAsia"/>
        </w:rPr>
        <w:t>D</w:t>
      </w:r>
      <w:r>
        <w:t>L transmission power adaptation</w:t>
      </w:r>
    </w:p>
    <w:p>
      <w:r>
        <w:t>The objective for transmission power adaptation is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5"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5"/>
    </w:p>
    <w:p>
      <w:pPr>
        <w:pStyle w:val="154"/>
        <w:numPr>
          <w:ilvl w:val="0"/>
          <w:numId w:val="18"/>
        </w:numPr>
        <w:ind w:left="928"/>
      </w:pPr>
      <w:bookmarkStart w:id="26"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6"/>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eastAsia="Malgun Gothic"/>
                <w:lang w:eastAsia="ko-KR"/>
              </w:rPr>
              <w:t>Support the proposal</w:t>
            </w:r>
            <w:r>
              <w:rPr>
                <w:rFonts w:hint="eastAsia" w:eastAsia="宋体"/>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7"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rPr>
                <w:lang w:val="en-US" w:eastAsia="zh-CN"/>
              </w:rPr>
            </w:pPr>
          </w:p>
        </w:tc>
      </w:tr>
    </w:tbl>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28" w:name="_Hlk131454770"/>
      <w:r>
        <w:rPr>
          <w:rFonts w:hint="eastAsia"/>
        </w:rPr>
        <w:t>Supp</w:t>
      </w:r>
      <w:r>
        <w:t>ort one CSI report contains multiple CSIs corresponding to different power control offsets. FFS: mechanism to reduce the reporting complexity.</w:t>
      </w:r>
      <w:bookmarkStart w:id="29" w:name="_Hlk126164765"/>
    </w:p>
    <w:bookmarkEnd w:id="28"/>
    <w:bookmarkEnd w:id="29"/>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120" w:afterLines="50"/>
              <w:rPr>
                <w:rFonts w:ascii="Arial" w:hAnsi="Arial" w:cs="Arial"/>
                <w:b/>
              </w:rPr>
            </w:pPr>
            <w:r>
              <w:rPr>
                <w:rFonts w:ascii="Arial" w:hAnsi="Arial" w:cs="Arial"/>
                <w:b/>
              </w:rPr>
              <w:t>1. Overall Description:</w:t>
            </w:r>
          </w:p>
          <w:p>
            <w:pPr>
              <w:pStyle w:val="37"/>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37"/>
              <w:rPr>
                <w:rFonts w:eastAsia="宋体" w:cs="Arial"/>
                <w:b w:val="0"/>
                <w:sz w:val="20"/>
                <w:lang w:eastAsia="zh-CN"/>
              </w:rPr>
            </w:pPr>
          </w:p>
          <w:p>
            <w:pPr>
              <w:pStyle w:val="37"/>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37"/>
              <w:rPr>
                <w:rFonts w:eastAsia="宋体" w:cs="Arial"/>
                <w:b w:val="0"/>
                <w:sz w:val="20"/>
                <w:lang w:eastAsia="zh-CN"/>
              </w:rPr>
            </w:pPr>
          </w:p>
          <w:p>
            <w:pPr>
              <w:pStyle w:val="37"/>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rPr>
                <w:rFonts w:eastAsia="宋体" w:cs="Arial"/>
                <w:b w:val="0"/>
                <w:sz w:val="20"/>
                <w:lang w:eastAsia="zh-CN"/>
              </w:rPr>
            </w:pPr>
          </w:p>
          <w:p>
            <w:pPr>
              <w:pStyle w:val="37"/>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37"/>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56"/>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56"/>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56"/>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37"/>
              <w:rPr>
                <w:rFonts w:eastAsia="宋体" w:cs="Arial"/>
                <w:b w:val="0"/>
                <w:sz w:val="20"/>
                <w:lang w:eastAsia="zh-CN"/>
              </w:rPr>
            </w:pPr>
            <w:r>
              <w:rPr>
                <w:rFonts w:eastAsia="宋体" w:cs="Arial"/>
                <w:b w:val="0"/>
                <w:sz w:val="20"/>
                <w:lang w:eastAsia="zh-CN"/>
              </w:rPr>
              <w:t xml:space="preserve"> </w:t>
            </w:r>
          </w:p>
          <w:p>
            <w:pPr>
              <w:pStyle w:val="37"/>
              <w:rPr>
                <w:rFonts w:eastAsia="宋体"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0" w:name="_Hlk132810475"/>
      <w:r>
        <w:rPr>
          <w:b/>
        </w:rPr>
        <w:t>Q22</w:t>
      </w:r>
      <w:bookmarkEnd w:id="30"/>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p>
          <w:p>
            <w:pPr>
              <w:pStyle w:val="37"/>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bl>
    <w:p>
      <w:pPr>
        <w:rPr>
          <w:b/>
          <w:lang w:val="en-US" w:eastAsia="zh-CN"/>
        </w:rPr>
      </w:pPr>
    </w:p>
    <w:p>
      <w:pPr>
        <w:rPr>
          <w:b/>
          <w:lang w:val="en-US" w:eastAsia="zh-CN"/>
        </w:rPr>
      </w:pP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2"/>
      </w:pPr>
      <w:bookmarkStart w:id="31" w:name="startOfAnnexes"/>
      <w:bookmarkEnd w:id="31"/>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2"/>
      </w:pPr>
      <w:r>
        <w:t xml:space="preserve">Appendix </w:t>
      </w:r>
    </w:p>
    <w:p>
      <w:pPr>
        <w:pStyle w:val="3"/>
        <w:numPr>
          <w:ilvl w:val="0"/>
          <w:numId w:val="53"/>
        </w:numPr>
      </w:pPr>
      <w:r>
        <w:t>A. Objectives</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57"/>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57"/>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57"/>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57"/>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57"/>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57"/>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57"/>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3"/>
        <w:numPr>
          <w:ilvl w:val="0"/>
          <w:numId w:val="53"/>
        </w:numPr>
      </w:pPr>
      <w:r>
        <w:t>B. RAN1#112 agreements for 9.7.1</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5">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1">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7">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4">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6">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8">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49">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50">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48"/>
  </w:num>
  <w:num w:numId="13">
    <w:abstractNumId w:val="37"/>
  </w:num>
  <w:num w:numId="14">
    <w:abstractNumId w:val="36"/>
  </w:num>
  <w:num w:numId="15">
    <w:abstractNumId w:val="49"/>
  </w:num>
  <w:num w:numId="16">
    <w:abstractNumId w:val="28"/>
  </w:num>
  <w:num w:numId="17">
    <w:abstractNumId w:val="19"/>
  </w:num>
  <w:num w:numId="18">
    <w:abstractNumId w:val="20"/>
  </w:num>
  <w:num w:numId="19">
    <w:abstractNumId w:val="55"/>
  </w:num>
  <w:num w:numId="20">
    <w:abstractNumId w:val="23"/>
  </w:num>
  <w:num w:numId="21">
    <w:abstractNumId w:val="22"/>
  </w:num>
  <w:num w:numId="22">
    <w:abstractNumId w:val="44"/>
  </w:num>
  <w:num w:numId="23">
    <w:abstractNumId w:val="53"/>
  </w:num>
  <w:num w:numId="24">
    <w:abstractNumId w:val="47"/>
  </w:num>
  <w:num w:numId="25">
    <w:abstractNumId w:val="26"/>
  </w:num>
  <w:num w:numId="26">
    <w:abstractNumId w:val="12"/>
  </w:num>
  <w:num w:numId="27">
    <w:abstractNumId w:val="32"/>
  </w:num>
  <w:num w:numId="28">
    <w:abstractNumId w:val="39"/>
  </w:num>
  <w:num w:numId="29">
    <w:abstractNumId w:val="45"/>
  </w:num>
  <w:num w:numId="30">
    <w:abstractNumId w:val="31"/>
  </w:num>
  <w:num w:numId="31">
    <w:abstractNumId w:val="13"/>
  </w:num>
  <w:num w:numId="32">
    <w:abstractNumId w:val="52"/>
  </w:num>
  <w:num w:numId="33">
    <w:abstractNumId w:val="46"/>
  </w:num>
  <w:num w:numId="34">
    <w:abstractNumId w:val="38"/>
  </w:num>
  <w:num w:numId="35">
    <w:abstractNumId w:val="34"/>
  </w:num>
  <w:num w:numId="36">
    <w:abstractNumId w:val="29"/>
  </w:num>
  <w:num w:numId="37">
    <w:abstractNumId w:val="40"/>
  </w:num>
  <w:num w:numId="38">
    <w:abstractNumId w:val="17"/>
  </w:num>
  <w:num w:numId="39">
    <w:abstractNumId w:val="35"/>
  </w:num>
  <w:num w:numId="40">
    <w:abstractNumId w:val="21"/>
  </w:num>
  <w:num w:numId="41">
    <w:abstractNumId w:val="42"/>
  </w:num>
  <w:num w:numId="42">
    <w:abstractNumId w:val="11"/>
  </w:num>
  <w:num w:numId="43">
    <w:abstractNumId w:val="14"/>
  </w:num>
  <w:num w:numId="44">
    <w:abstractNumId w:val="51"/>
  </w:num>
  <w:num w:numId="45">
    <w:abstractNumId w:val="56"/>
  </w:num>
  <w:num w:numId="46">
    <w:abstractNumId w:val="10"/>
  </w:num>
  <w:num w:numId="47">
    <w:abstractNumId w:val="27"/>
  </w:num>
  <w:num w:numId="48">
    <w:abstractNumId w:val="41"/>
  </w:num>
  <w:num w:numId="49">
    <w:abstractNumId w:val="18"/>
  </w:num>
  <w:num w:numId="50">
    <w:abstractNumId w:val="43"/>
  </w:num>
  <w:num w:numId="51">
    <w:abstractNumId w:val="16"/>
  </w:num>
  <w:num w:numId="52">
    <w:abstractNumId w:val="50"/>
  </w:num>
  <w:num w:numId="53">
    <w:abstractNumId w:val="24"/>
  </w:num>
  <w:num w:numId="54">
    <w:abstractNumId w:val="25"/>
  </w:num>
  <w:num w:numId="55">
    <w:abstractNumId w:val="15"/>
  </w:num>
  <w:num w:numId="56">
    <w:abstractNumId w:val="30"/>
  </w:num>
  <w:num w:numId="57">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984"/>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 w:val="B9FB0038"/>
    <w:rsid w:val="F29FD009"/>
    <w:rsid w:val="F63EFC78"/>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2">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3">
    <w:name w:val="heading 2"/>
    <w:basedOn w:val="2"/>
    <w:next w:val="1"/>
    <w:link w:val="252"/>
    <w:qFormat/>
    <w:uiPriority w:val="0"/>
    <w:pPr>
      <w:pBdr>
        <w:top w:val="none" w:color="auto" w:sz="0" w:space="0"/>
      </w:pBdr>
      <w:spacing w:before="180"/>
      <w:outlineLvl w:val="1"/>
    </w:pPr>
    <w:rPr>
      <w:sz w:val="32"/>
    </w:rPr>
  </w:style>
  <w:style w:type="paragraph" w:styleId="4">
    <w:name w:val="heading 3"/>
    <w:basedOn w:val="3"/>
    <w:next w:val="1"/>
    <w:link w:val="249"/>
    <w:qFormat/>
    <w:uiPriority w:val="0"/>
    <w:pPr>
      <w:spacing w:before="120"/>
      <w:outlineLvl w:val="2"/>
    </w:pPr>
    <w:rPr>
      <w:sz w:val="28"/>
    </w:rPr>
  </w:style>
  <w:style w:type="paragraph" w:styleId="5">
    <w:name w:val="heading 4"/>
    <w:basedOn w:val="4"/>
    <w:next w:val="1"/>
    <w:link w:val="25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6"/>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4"/>
    <w:qFormat/>
    <w:uiPriority w:val="0"/>
    <w:pPr>
      <w:spacing w:after="120"/>
    </w:pPr>
  </w:style>
  <w:style w:type="paragraph" w:styleId="17">
    <w:name w:val="Body Text 2"/>
    <w:basedOn w:val="1"/>
    <w:link w:val="135"/>
    <w:qFormat/>
    <w:uiPriority w:val="0"/>
    <w:pPr>
      <w:spacing w:after="120" w:line="480" w:lineRule="auto"/>
    </w:pPr>
  </w:style>
  <w:style w:type="paragraph" w:styleId="18">
    <w:name w:val="Body Text 3"/>
    <w:basedOn w:val="1"/>
    <w:link w:val="136"/>
    <w:qFormat/>
    <w:uiPriority w:val="0"/>
    <w:pPr>
      <w:spacing w:after="120"/>
    </w:pPr>
    <w:rPr>
      <w:sz w:val="16"/>
      <w:szCs w:val="16"/>
    </w:rPr>
  </w:style>
  <w:style w:type="paragraph" w:styleId="19">
    <w:name w:val="Body Text First Indent"/>
    <w:basedOn w:val="16"/>
    <w:link w:val="137"/>
    <w:qFormat/>
    <w:uiPriority w:val="0"/>
    <w:pPr>
      <w:ind w:firstLine="210"/>
    </w:pPr>
  </w:style>
  <w:style w:type="paragraph" w:styleId="20">
    <w:name w:val="Body Text Indent"/>
    <w:basedOn w:val="1"/>
    <w:link w:val="138"/>
    <w:qFormat/>
    <w:uiPriority w:val="0"/>
    <w:pPr>
      <w:spacing w:after="120"/>
      <w:ind w:left="283"/>
    </w:pPr>
  </w:style>
  <w:style w:type="paragraph" w:styleId="21">
    <w:name w:val="Body Text First Indent 2"/>
    <w:basedOn w:val="20"/>
    <w:link w:val="139"/>
    <w:qFormat/>
    <w:uiPriority w:val="0"/>
    <w:pPr>
      <w:ind w:firstLine="210"/>
    </w:pPr>
  </w:style>
  <w:style w:type="paragraph" w:styleId="22">
    <w:name w:val="Body Text Indent 2"/>
    <w:basedOn w:val="1"/>
    <w:link w:val="140"/>
    <w:qFormat/>
    <w:uiPriority w:val="0"/>
    <w:pPr>
      <w:spacing w:after="120" w:line="480" w:lineRule="auto"/>
      <w:ind w:left="283"/>
    </w:pPr>
  </w:style>
  <w:style w:type="paragraph" w:styleId="23">
    <w:name w:val="Body Text Indent 3"/>
    <w:basedOn w:val="1"/>
    <w:link w:val="141"/>
    <w:qFormat/>
    <w:uiPriority w:val="0"/>
    <w:pPr>
      <w:spacing w:after="120"/>
      <w:ind w:left="283"/>
    </w:pPr>
    <w:rPr>
      <w:sz w:val="16"/>
      <w:szCs w:val="16"/>
    </w:rPr>
  </w:style>
  <w:style w:type="paragraph" w:styleId="24">
    <w:name w:val="caption"/>
    <w:basedOn w:val="1"/>
    <w:next w:val="1"/>
    <w:link w:val="254"/>
    <w:unhideWhenUsed/>
    <w:qFormat/>
    <w:uiPriority w:val="0"/>
    <w:rPr>
      <w:b/>
      <w:bCs/>
    </w:rPr>
  </w:style>
  <w:style w:type="paragraph" w:styleId="25">
    <w:name w:val="Closing"/>
    <w:basedOn w:val="1"/>
    <w:link w:val="142"/>
    <w:qFormat/>
    <w:uiPriority w:val="0"/>
    <w:pPr>
      <w:ind w:left="4252"/>
    </w:pPr>
  </w:style>
  <w:style w:type="character" w:styleId="26">
    <w:name w:val="annotation reference"/>
    <w:qFormat/>
    <w:uiPriority w:val="0"/>
    <w:rPr>
      <w:sz w:val="16"/>
      <w:szCs w:val="16"/>
    </w:rPr>
  </w:style>
  <w:style w:type="paragraph" w:styleId="27">
    <w:name w:val="annotation text"/>
    <w:basedOn w:val="1"/>
    <w:link w:val="143"/>
    <w:qFormat/>
    <w:uiPriority w:val="0"/>
  </w:style>
  <w:style w:type="paragraph" w:styleId="28">
    <w:name w:val="annotation subject"/>
    <w:basedOn w:val="27"/>
    <w:next w:val="27"/>
    <w:link w:val="144"/>
    <w:qFormat/>
    <w:uiPriority w:val="0"/>
    <w:rPr>
      <w:b/>
      <w:bCs/>
    </w:rPr>
  </w:style>
  <w:style w:type="paragraph" w:styleId="29">
    <w:name w:val="Date"/>
    <w:basedOn w:val="1"/>
    <w:next w:val="1"/>
    <w:link w:val="145"/>
    <w:qFormat/>
    <w:uiPriority w:val="0"/>
  </w:style>
  <w:style w:type="paragraph" w:styleId="30">
    <w:name w:val="Document Map"/>
    <w:basedOn w:val="1"/>
    <w:link w:val="146"/>
    <w:qFormat/>
    <w:uiPriority w:val="0"/>
    <w:rPr>
      <w:rFonts w:ascii="Segoe UI" w:hAnsi="Segoe UI" w:cs="Segoe UI"/>
      <w:sz w:val="16"/>
      <w:szCs w:val="16"/>
    </w:rPr>
  </w:style>
  <w:style w:type="paragraph" w:styleId="31">
    <w:name w:val="E-mail Signature"/>
    <w:basedOn w:val="1"/>
    <w:link w:val="147"/>
    <w:qFormat/>
    <w:uiPriority w:val="0"/>
  </w:style>
  <w:style w:type="paragraph" w:styleId="32">
    <w:name w:val="endnote text"/>
    <w:basedOn w:val="1"/>
    <w:link w:val="148"/>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38">
    <w:name w:val="footnote text"/>
    <w:basedOn w:val="1"/>
    <w:link w:val="149"/>
    <w:qFormat/>
    <w:uiPriority w:val="0"/>
  </w:style>
  <w:style w:type="paragraph" w:styleId="39">
    <w:name w:val="HTML Address"/>
    <w:basedOn w:val="1"/>
    <w:link w:val="150"/>
    <w:qFormat/>
    <w:uiPriority w:val="0"/>
    <w:rPr>
      <w:i/>
      <w:iCs/>
    </w:rPr>
  </w:style>
  <w:style w:type="paragraph" w:styleId="40">
    <w:name w:val="HTML Preformatted"/>
    <w:basedOn w:val="1"/>
    <w:link w:val="151"/>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styleId="73">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8"/>
    <w:qFormat/>
    <w:uiPriority w:val="0"/>
  </w:style>
  <w:style w:type="paragraph" w:styleId="77">
    <w:name w:val="Plain Text"/>
    <w:basedOn w:val="1"/>
    <w:link w:val="159"/>
    <w:qFormat/>
    <w:uiPriority w:val="0"/>
    <w:rPr>
      <w:rFonts w:ascii="Courier New" w:hAnsi="Courier New" w:cs="Courier New"/>
    </w:rPr>
  </w:style>
  <w:style w:type="paragraph" w:styleId="78">
    <w:name w:val="Salutation"/>
    <w:basedOn w:val="1"/>
    <w:next w:val="1"/>
    <w:link w:val="162"/>
    <w:qFormat/>
    <w:uiPriority w:val="0"/>
  </w:style>
  <w:style w:type="paragraph" w:styleId="79">
    <w:name w:val="Signature"/>
    <w:basedOn w:val="1"/>
    <w:link w:val="163"/>
    <w:qFormat/>
    <w:uiPriority w:val="0"/>
    <w:pPr>
      <w:ind w:left="4252"/>
    </w:pPr>
  </w:style>
  <w:style w:type="character" w:styleId="80">
    <w:name w:val="Strong"/>
    <w:basedOn w:val="12"/>
    <w:qFormat/>
    <w:uiPriority w:val="22"/>
    <w:rPr>
      <w:b/>
      <w:bCs/>
    </w:rPr>
  </w:style>
  <w:style w:type="paragraph" w:styleId="81">
    <w:name w:val="Subtitle"/>
    <w:basedOn w:val="1"/>
    <w:next w:val="1"/>
    <w:link w:val="164"/>
    <w:qFormat/>
    <w:uiPriority w:val="0"/>
    <w:pPr>
      <w:spacing w:after="60"/>
      <w:jc w:val="center"/>
      <w:outlineLvl w:val="1"/>
    </w:pPr>
    <w:rPr>
      <w:rFonts w:ascii="Calibri Light" w:hAnsi="Calibri Light"/>
      <w:sz w:val="24"/>
      <w:szCs w:val="24"/>
    </w:rPr>
  </w:style>
  <w:style w:type="table" w:styleId="82">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qFormat/>
    <w:uiPriority w:val="0"/>
    <w:pPr>
      <w:ind w:left="200" w:hanging="200"/>
    </w:pPr>
  </w:style>
  <w:style w:type="paragraph" w:styleId="84">
    <w:name w:val="table of figures"/>
    <w:basedOn w:val="1"/>
    <w:next w:val="1"/>
    <w:qFormat/>
    <w:uiPriority w:val="0"/>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toa heading"/>
    <w:basedOn w:val="1"/>
    <w:next w:val="1"/>
    <w:qFormat/>
    <w:uiPriority w:val="0"/>
    <w:pPr>
      <w:spacing w:before="120"/>
    </w:pPr>
    <w:rPr>
      <w:rFonts w:ascii="Calibri Light" w:hAnsi="Calibri Light"/>
      <w:b/>
      <w:bCs/>
      <w:sz w:val="24"/>
      <w:szCs w:val="24"/>
    </w:rPr>
  </w:style>
  <w:style w:type="paragraph" w:styleId="87">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88">
    <w:name w:val="toc 2"/>
    <w:basedOn w:val="87"/>
    <w:next w:val="1"/>
    <w:qFormat/>
    <w:uiPriority w:val="39"/>
    <w:pPr>
      <w:keepNext w:val="0"/>
      <w:spacing w:before="0"/>
      <w:ind w:left="851" w:hanging="851"/>
    </w:pPr>
    <w:rPr>
      <w:sz w:val="20"/>
    </w:rPr>
  </w:style>
  <w:style w:type="paragraph" w:styleId="89">
    <w:name w:val="toc 3"/>
    <w:basedOn w:val="88"/>
    <w:next w:val="1"/>
    <w:semiHidden/>
    <w:qFormat/>
    <w:uiPriority w:val="0"/>
    <w:pPr>
      <w:ind w:left="1134" w:hanging="1134"/>
    </w:pPr>
  </w:style>
  <w:style w:type="paragraph" w:styleId="90">
    <w:name w:val="toc 4"/>
    <w:basedOn w:val="89"/>
    <w:next w:val="1"/>
    <w:semiHidden/>
    <w:qFormat/>
    <w:uiPriority w:val="0"/>
    <w:pPr>
      <w:ind w:left="1418" w:hanging="1418"/>
    </w:pPr>
  </w:style>
  <w:style w:type="paragraph" w:styleId="91">
    <w:name w:val="toc 5"/>
    <w:basedOn w:val="90"/>
    <w:next w:val="1"/>
    <w:semiHidden/>
    <w:qFormat/>
    <w:uiPriority w:val="0"/>
    <w:pPr>
      <w:ind w:left="1701" w:hanging="1701"/>
    </w:pPr>
  </w:style>
  <w:style w:type="paragraph" w:styleId="92">
    <w:name w:val="toc 6"/>
    <w:basedOn w:val="91"/>
    <w:next w:val="1"/>
    <w:semiHidden/>
    <w:qFormat/>
    <w:uiPriority w:val="0"/>
    <w:pPr>
      <w:ind w:left="1985" w:hanging="1985"/>
    </w:pPr>
  </w:style>
  <w:style w:type="paragraph" w:styleId="93">
    <w:name w:val="toc 7"/>
    <w:basedOn w:val="92"/>
    <w:next w:val="1"/>
    <w:semiHidden/>
    <w:qFormat/>
    <w:uiPriority w:val="0"/>
    <w:pPr>
      <w:ind w:left="2268" w:hanging="2268"/>
    </w:pPr>
  </w:style>
  <w:style w:type="paragraph" w:styleId="94">
    <w:name w:val="toc 8"/>
    <w:basedOn w:val="87"/>
    <w:next w:val="1"/>
    <w:qFormat/>
    <w:uiPriority w:val="39"/>
    <w:pPr>
      <w:spacing w:before="180"/>
      <w:ind w:left="2693" w:hanging="2693"/>
    </w:pPr>
    <w:rPr>
      <w:b/>
    </w:rPr>
  </w:style>
  <w:style w:type="paragraph" w:styleId="95">
    <w:name w:val="toc 9"/>
    <w:basedOn w:val="94"/>
    <w:next w:val="1"/>
    <w:qFormat/>
    <w:uiPriority w:val="39"/>
    <w:pPr>
      <w:ind w:left="1418" w:hanging="1418"/>
    </w:pPr>
  </w:style>
  <w:style w:type="character" w:customStyle="1" w:styleId="96">
    <w:name w:val="批注框文本 字符"/>
    <w:link w:val="14"/>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2"/>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正文文本 字符"/>
    <w:link w:val="16"/>
    <w:qFormat/>
    <w:uiPriority w:val="0"/>
    <w:rPr>
      <w:lang w:eastAsia="en-US"/>
    </w:rPr>
  </w:style>
  <w:style w:type="character" w:customStyle="1" w:styleId="135">
    <w:name w:val="正文文本 2 字符"/>
    <w:link w:val="17"/>
    <w:qFormat/>
    <w:uiPriority w:val="0"/>
    <w:rPr>
      <w:lang w:eastAsia="en-US"/>
    </w:rPr>
  </w:style>
  <w:style w:type="character" w:customStyle="1" w:styleId="136">
    <w:name w:val="正文文本 3 字符"/>
    <w:link w:val="18"/>
    <w:qFormat/>
    <w:uiPriority w:val="0"/>
    <w:rPr>
      <w:sz w:val="16"/>
      <w:szCs w:val="16"/>
      <w:lang w:eastAsia="en-US"/>
    </w:rPr>
  </w:style>
  <w:style w:type="character" w:customStyle="1" w:styleId="137">
    <w:name w:val="正文文本首行缩进 字符"/>
    <w:basedOn w:val="134"/>
    <w:link w:val="19"/>
    <w:qFormat/>
    <w:uiPriority w:val="0"/>
    <w:rPr>
      <w:lang w:eastAsia="en-US"/>
    </w:rPr>
  </w:style>
  <w:style w:type="character" w:customStyle="1" w:styleId="138">
    <w:name w:val="正文文本缩进 字符"/>
    <w:link w:val="20"/>
    <w:qFormat/>
    <w:uiPriority w:val="0"/>
    <w:rPr>
      <w:lang w:eastAsia="en-US"/>
    </w:rPr>
  </w:style>
  <w:style w:type="character" w:customStyle="1" w:styleId="139">
    <w:name w:val="正文文本首行缩进 2 字符"/>
    <w:basedOn w:val="138"/>
    <w:link w:val="21"/>
    <w:qFormat/>
    <w:uiPriority w:val="0"/>
    <w:rPr>
      <w:lang w:eastAsia="en-US"/>
    </w:rPr>
  </w:style>
  <w:style w:type="character" w:customStyle="1" w:styleId="140">
    <w:name w:val="正文文本缩进 2 字符"/>
    <w:link w:val="22"/>
    <w:qFormat/>
    <w:uiPriority w:val="0"/>
    <w:rPr>
      <w:lang w:eastAsia="en-US"/>
    </w:rPr>
  </w:style>
  <w:style w:type="character" w:customStyle="1" w:styleId="141">
    <w:name w:val="正文文本缩进 3 字符"/>
    <w:link w:val="23"/>
    <w:qFormat/>
    <w:uiPriority w:val="0"/>
    <w:rPr>
      <w:sz w:val="16"/>
      <w:szCs w:val="16"/>
      <w:lang w:eastAsia="en-US"/>
    </w:rPr>
  </w:style>
  <w:style w:type="character" w:customStyle="1" w:styleId="142">
    <w:name w:val="结束语 字符"/>
    <w:link w:val="25"/>
    <w:qFormat/>
    <w:uiPriority w:val="0"/>
    <w:rPr>
      <w:lang w:eastAsia="en-US"/>
    </w:rPr>
  </w:style>
  <w:style w:type="character" w:customStyle="1" w:styleId="143">
    <w:name w:val="批注文字 字符"/>
    <w:link w:val="27"/>
    <w:qFormat/>
    <w:uiPriority w:val="0"/>
    <w:rPr>
      <w:lang w:eastAsia="en-US"/>
    </w:rPr>
  </w:style>
  <w:style w:type="character" w:customStyle="1" w:styleId="144">
    <w:name w:val="批注主题 字符"/>
    <w:link w:val="28"/>
    <w:qFormat/>
    <w:uiPriority w:val="0"/>
    <w:rPr>
      <w:b/>
      <w:bCs/>
      <w:lang w:eastAsia="en-US"/>
    </w:rPr>
  </w:style>
  <w:style w:type="character" w:customStyle="1" w:styleId="145">
    <w:name w:val="日期 字符"/>
    <w:link w:val="29"/>
    <w:qFormat/>
    <w:uiPriority w:val="0"/>
    <w:rPr>
      <w:lang w:eastAsia="en-US"/>
    </w:rPr>
  </w:style>
  <w:style w:type="character" w:customStyle="1" w:styleId="146">
    <w:name w:val="文档结构图 字符"/>
    <w:link w:val="30"/>
    <w:qFormat/>
    <w:uiPriority w:val="0"/>
    <w:rPr>
      <w:rFonts w:ascii="Segoe UI" w:hAnsi="Segoe UI" w:cs="Segoe UI"/>
      <w:sz w:val="16"/>
      <w:szCs w:val="16"/>
      <w:lang w:eastAsia="en-US"/>
    </w:rPr>
  </w:style>
  <w:style w:type="character" w:customStyle="1" w:styleId="147">
    <w:name w:val="电子邮件签名 字符"/>
    <w:link w:val="31"/>
    <w:qFormat/>
    <w:uiPriority w:val="0"/>
    <w:rPr>
      <w:lang w:eastAsia="en-US"/>
    </w:rPr>
  </w:style>
  <w:style w:type="character" w:customStyle="1" w:styleId="148">
    <w:name w:val="尾注文本 字符"/>
    <w:link w:val="32"/>
    <w:qFormat/>
    <w:uiPriority w:val="0"/>
    <w:rPr>
      <w:lang w:eastAsia="en-US"/>
    </w:rPr>
  </w:style>
  <w:style w:type="character" w:customStyle="1" w:styleId="149">
    <w:name w:val="脚注文本 字符"/>
    <w:link w:val="38"/>
    <w:qFormat/>
    <w:uiPriority w:val="0"/>
    <w:rPr>
      <w:lang w:eastAsia="en-US"/>
    </w:rPr>
  </w:style>
  <w:style w:type="character" w:customStyle="1" w:styleId="150">
    <w:name w:val="HTML 地址 字符"/>
    <w:link w:val="39"/>
    <w:qFormat/>
    <w:uiPriority w:val="0"/>
    <w:rPr>
      <w:i/>
      <w:iCs/>
      <w:lang w:eastAsia="en-US"/>
    </w:rPr>
  </w:style>
  <w:style w:type="character" w:customStyle="1" w:styleId="151">
    <w:name w:val="HTML 预设格式 字符"/>
    <w:link w:val="40"/>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宏文本 字符"/>
    <w:link w:val="72"/>
    <w:qFormat/>
    <w:uiPriority w:val="0"/>
    <w:rPr>
      <w:rFonts w:ascii="Courier New" w:hAnsi="Courier New" w:cs="Courier New"/>
      <w:lang w:eastAsia="en-US"/>
    </w:rPr>
  </w:style>
  <w:style w:type="character" w:customStyle="1" w:styleId="156">
    <w:name w:val="信息标题 字符"/>
    <w:link w:val="73"/>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注释标题 字符"/>
    <w:link w:val="76"/>
    <w:qFormat/>
    <w:uiPriority w:val="0"/>
    <w:rPr>
      <w:lang w:eastAsia="en-US"/>
    </w:rPr>
  </w:style>
  <w:style w:type="character" w:customStyle="1" w:styleId="159">
    <w:name w:val="纯文本 字符"/>
    <w:link w:val="77"/>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i/>
      <w:iCs/>
      <w:color w:val="404040"/>
      <w:lang w:eastAsia="en-US"/>
    </w:rPr>
  </w:style>
  <w:style w:type="character" w:customStyle="1" w:styleId="162">
    <w:name w:val="称呼 字符"/>
    <w:link w:val="78"/>
    <w:qFormat/>
    <w:uiPriority w:val="0"/>
    <w:rPr>
      <w:lang w:eastAsia="en-US"/>
    </w:rPr>
  </w:style>
  <w:style w:type="character" w:customStyle="1" w:styleId="163">
    <w:name w:val="签名 字符"/>
    <w:link w:val="79"/>
    <w:qFormat/>
    <w:uiPriority w:val="0"/>
    <w:rPr>
      <w:lang w:eastAsia="en-US"/>
    </w:rPr>
  </w:style>
  <w:style w:type="character" w:customStyle="1" w:styleId="164">
    <w:name w:val="副标题 字符"/>
    <w:link w:val="81"/>
    <w:qFormat/>
    <w:uiPriority w:val="0"/>
    <w:rPr>
      <w:rFonts w:ascii="Calibri Light" w:hAnsi="Calibri Light" w:eastAsia="Times New Roman" w:cs="Times New Roman"/>
      <w:sz w:val="24"/>
      <w:szCs w:val="24"/>
      <w:lang w:eastAsia="en-US"/>
    </w:rPr>
  </w:style>
  <w:style w:type="character" w:customStyle="1" w:styleId="165">
    <w:name w:val="标题 字符"/>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列表段落 字符"/>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标题 1 字符"/>
    <w:basedOn w:val="12"/>
    <w:link w:val="2"/>
    <w:qFormat/>
    <w:uiPriority w:val="0"/>
    <w:rPr>
      <w:rFonts w:ascii="Arial" w:hAnsi="Arial"/>
      <w:sz w:val="36"/>
      <w:lang w:eastAsia="en-US"/>
    </w:rPr>
  </w:style>
  <w:style w:type="table" w:customStyle="1" w:styleId="175">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12"/>
    <w:link w:val="247"/>
    <w:qFormat/>
    <w:uiPriority w:val="0"/>
    <w:rPr>
      <w:rFonts w:eastAsia="Times New Roman"/>
      <w:sz w:val="12"/>
      <w:szCs w:val="12"/>
      <w:lang w:eastAsia="zh-CN"/>
    </w:rPr>
  </w:style>
  <w:style w:type="character" w:customStyle="1" w:styleId="249">
    <w:name w:val="标题 3 字符"/>
    <w:basedOn w:val="12"/>
    <w:link w:val="4"/>
    <w:qFormat/>
    <w:uiPriority w:val="0"/>
    <w:rPr>
      <w:rFonts w:ascii="Arial" w:hAnsi="Arial"/>
      <w:sz w:val="28"/>
      <w:lang w:eastAsia="en-US"/>
    </w:rPr>
  </w:style>
  <w:style w:type="character" w:customStyle="1" w:styleId="250">
    <w:name w:val="标题 4 字符"/>
    <w:basedOn w:val="12"/>
    <w:link w:val="5"/>
    <w:qFormat/>
    <w:uiPriority w:val="0"/>
    <w:rPr>
      <w:rFonts w:ascii="Arial" w:hAnsi="Arial"/>
      <w:sz w:val="24"/>
      <w:lang w:eastAsia="en-US"/>
    </w:rPr>
  </w:style>
  <w:style w:type="table" w:customStyle="1" w:styleId="251">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标题 2 字符"/>
    <w:basedOn w:val="12"/>
    <w:link w:val="3"/>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题注 字符"/>
    <w:link w:val="24"/>
    <w:qFormat/>
    <w:uiPriority w:val="0"/>
    <w:rPr>
      <w:b/>
      <w:bCs/>
    </w:rPr>
  </w:style>
  <w:style w:type="character" w:customStyle="1" w:styleId="255">
    <w:name w:val="LGTdoc_본문 Char"/>
    <w:basedOn w:val="12"/>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12"/>
    <w:link w:val="257"/>
    <w:qFormat/>
    <w:uiPriority w:val="0"/>
    <w:rPr>
      <w:rFonts w:eastAsia="Times New Roman" w:cs="Batang"/>
      <w:lang w:eastAsia="en-US"/>
    </w:rPr>
  </w:style>
  <w:style w:type="character" w:customStyle="1" w:styleId="259">
    <w:name w:val="Proposal Char"/>
    <w:basedOn w:val="12"/>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页眉 字符"/>
    <w:link w:val="37"/>
    <w:qFormat/>
    <w:uiPriority w:val="0"/>
    <w:rPr>
      <w:rFonts w:ascii="Arial" w:hAnsi="Arial"/>
      <w:b/>
      <w:sz w:val="18"/>
      <w:lang w:eastAsia="ja-JP"/>
    </w:rPr>
  </w:style>
  <w:style w:type="table" w:customStyle="1" w:styleId="263">
    <w:name w:val="网格型1"/>
    <w:basedOn w:val="13"/>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12"/>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12"/>
    <w:unhideWhenUsed/>
    <w:qFormat/>
    <w:uiPriority w:val="99"/>
    <w:rPr>
      <w:color w:val="2B579A"/>
      <w:shd w:val="clear" w:color="auto" w:fill="E1DFDD"/>
    </w:rPr>
  </w:style>
  <w:style w:type="character" w:customStyle="1" w:styleId="268">
    <w:name w:val="ui-provider"/>
    <w:basedOn w:val="12"/>
    <w:qFormat/>
    <w:uiPriority w:val="0"/>
  </w:style>
  <w:style w:type="table" w:customStyle="1" w:styleId="269">
    <w:name w:val="TableGrid1"/>
    <w:basedOn w:val="13"/>
    <w:qFormat/>
    <w:uiPriority w:val="0"/>
    <w:pPr>
      <w:spacing w:after="160" w:line="259" w:lineRule="auto"/>
      <w:jc w:val="both"/>
    </w:pPr>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Company>
  <Pages>160</Pages>
  <Words>64898</Words>
  <Characters>369922</Characters>
  <Lines>3082</Lines>
  <Paragraphs>867</Paragraphs>
  <TotalTime>0</TotalTime>
  <ScaleCrop>false</ScaleCrop>
  <LinksUpToDate>false</LinksUpToDate>
  <CharactersWithSpaces>433953</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2023-04-21T07:57:00Z</dcterms:created>
  <dc:creator>Huawei</dc:creator>
  <cp:keywords>&lt;keyword[, keyword, ]&gt;</cp:keywords>
  <cp:lastModifiedBy>OPPO</cp:lastModifiedBy>
  <cp:lastPrinted>2019-02-26T01:05:00Z</cp:lastPrinted>
  <dcterms:modified xsi:type="dcterms:W3CDTF">2023-04-21T08:29:08Z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