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r>
      <w:proofErr w:type="gramStart"/>
      <w:r>
        <w:rPr>
          <w:sz w:val="22"/>
        </w:rPr>
        <w:t>Moderator(</w:t>
      </w:r>
      <w:proofErr w:type="gramEnd"/>
      <w:r>
        <w:rPr>
          <w:sz w:val="22"/>
        </w:rPr>
        <w:t>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w:t>
      </w:r>
      <w:proofErr w:type="gramStart"/>
      <w:r>
        <w:rPr>
          <w:lang w:eastAsia="ja-JP"/>
        </w:rPr>
        <w:t>,10,13,14,21</w:t>
      </w:r>
      <w:proofErr w:type="gramEnd"/>
      <w:r>
        <w:rPr>
          <w:lang w:eastAsia="ja-JP"/>
        </w:rPr>
        <w:t xml:space="preserve">]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Pr>
          <w:lang w:eastAsia="ja-JP"/>
        </w:rPr>
        <w:t>basis[</w:t>
      </w:r>
      <w:proofErr w:type="gramEnd"/>
      <w:r>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 xml:space="preserve">FFS: whether and how the </w:t>
            </w:r>
            <w:proofErr w:type="spellStart"/>
            <w:r>
              <w:rPr>
                <w:rFonts w:ascii="Times New Roman" w:eastAsiaTheme="minorEastAsia" w:hAnsi="Times New Roman"/>
                <w:sz w:val="24"/>
                <w:lang w:val="en-US"/>
              </w:rPr>
              <w:t>gNB</w:t>
            </w:r>
            <w:proofErr w:type="spellEnd"/>
            <w:r>
              <w:rPr>
                <w:rFonts w:ascii="Times New Roman" w:eastAsiaTheme="minorEastAsia" w:hAnsi="Times New Roman"/>
                <w:sz w:val="24"/>
                <w:lang w:val="en-US"/>
              </w:rPr>
              <w:t>/TRP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 xml:space="preserve">Proposal 1.1-1: For DL Rx hopping or UL Tx </w:t>
      </w:r>
      <w:proofErr w:type="gramStart"/>
      <w:r>
        <w:rPr>
          <w:b/>
          <w:bCs/>
          <w:lang w:eastAsia="ja-JP"/>
        </w:rPr>
        <w:t>hopping ,</w:t>
      </w:r>
      <w:proofErr w:type="gramEnd"/>
      <w:r>
        <w:rPr>
          <w:b/>
          <w:bCs/>
          <w:lang w:eastAsia="ja-JP"/>
        </w:rPr>
        <w:t xml:space="preserve"> support the UE or </w:t>
      </w:r>
      <w:proofErr w:type="spellStart"/>
      <w:r>
        <w:rPr>
          <w:b/>
          <w:bCs/>
          <w:lang w:eastAsia="ja-JP"/>
        </w:rPr>
        <w:t>gNB</w:t>
      </w:r>
      <w:proofErr w:type="spellEnd"/>
      <w:r>
        <w:rPr>
          <w:b/>
          <w:bCs/>
          <w:lang w:eastAsia="ja-JP"/>
        </w:rPr>
        <w:t xml:space="preserve"> to report the following:</w:t>
      </w:r>
    </w:p>
    <w:p w14:paraId="126F277B"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2CD2BB9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 xml:space="preserve">For DL Rx hopping or UL Tx hopping, support the UE or </w:t>
      </w:r>
      <w:proofErr w:type="spellStart"/>
      <w:r>
        <w:rPr>
          <w:bCs/>
          <w:lang w:eastAsia="ja-JP"/>
        </w:rPr>
        <w:t>gNB</w:t>
      </w:r>
      <w:proofErr w:type="spellEnd"/>
      <w:r>
        <w:rPr>
          <w:bCs/>
          <w:lang w:eastAsia="ja-JP"/>
        </w:rPr>
        <w:t xml:space="preserve">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8074"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tc>
          <w:tcPr>
            <w:tcW w:w="1555"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8074"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tc>
          <w:tcPr>
            <w:tcW w:w="1555"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8074"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tc>
          <w:tcPr>
            <w:tcW w:w="1555"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8074" w:type="dxa"/>
            <w:gridSpan w:val="2"/>
          </w:tcPr>
          <w:p w14:paraId="350E1FF2" w14:textId="77777777" w:rsidR="00656EC3" w:rsidRDefault="00F815FC">
            <w:pPr>
              <w:pStyle w:val="aff6"/>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aff6"/>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tc>
          <w:tcPr>
            <w:tcW w:w="1555"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8074"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tc>
          <w:tcPr>
            <w:tcW w:w="1555"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8074"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 xml:space="preserve">One or more measurements where each measurement is associated with a single </w:t>
            </w:r>
            <w:r>
              <w:rPr>
                <w:bCs/>
                <w:lang w:eastAsia="ja-JP"/>
              </w:rPr>
              <w:lastRenderedPageBreak/>
              <w:t>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tc>
          <w:tcPr>
            <w:tcW w:w="1555" w:type="dxa"/>
            <w:gridSpan w:val="2"/>
          </w:tcPr>
          <w:p w14:paraId="3190A03A" w14:textId="77777777" w:rsidR="00656EC3" w:rsidRDefault="00656EC3">
            <w:pPr>
              <w:rPr>
                <w:rStyle w:val="normaltextrun"/>
                <w:rFonts w:eastAsia="等线"/>
              </w:rPr>
            </w:pPr>
          </w:p>
        </w:tc>
        <w:tc>
          <w:tcPr>
            <w:tcW w:w="8074" w:type="dxa"/>
            <w:gridSpan w:val="2"/>
          </w:tcPr>
          <w:p w14:paraId="145FA60B" w14:textId="77777777" w:rsidR="00656EC3" w:rsidRDefault="00656EC3">
            <w:pPr>
              <w:rPr>
                <w:rStyle w:val="normaltextrun"/>
                <w:rFonts w:eastAsia="等线"/>
              </w:rPr>
            </w:pPr>
          </w:p>
        </w:tc>
      </w:tr>
      <w:tr w:rsidR="00656EC3" w14:paraId="058B0F38" w14:textId="77777777">
        <w:tc>
          <w:tcPr>
            <w:tcW w:w="1555" w:type="dxa"/>
            <w:gridSpan w:val="2"/>
          </w:tcPr>
          <w:p w14:paraId="0715DFED" w14:textId="77777777" w:rsidR="00656EC3" w:rsidRDefault="00F815FC">
            <w:pPr>
              <w:rPr>
                <w:rStyle w:val="normaltextrun"/>
                <w:rFonts w:eastAsia="等线"/>
              </w:rPr>
            </w:pPr>
            <w:r>
              <w:rPr>
                <w:rStyle w:val="normaltextrun"/>
                <w:rFonts w:eastAsia="等线"/>
              </w:rPr>
              <w:t>Intel</w:t>
            </w:r>
          </w:p>
        </w:tc>
        <w:tc>
          <w:tcPr>
            <w:tcW w:w="8074"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tc>
          <w:tcPr>
            <w:tcW w:w="1555"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8074"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8074"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tc>
          <w:tcPr>
            <w:tcW w:w="1555" w:type="dxa"/>
            <w:gridSpan w:val="2"/>
          </w:tcPr>
          <w:p w14:paraId="1C9DD7FC" w14:textId="77777777" w:rsidR="00656EC3" w:rsidRDefault="00F815FC">
            <w:pPr>
              <w:rPr>
                <w:rFonts w:eastAsia="等线"/>
              </w:rPr>
            </w:pPr>
            <w:r>
              <w:rPr>
                <w:rStyle w:val="normaltextrun"/>
                <w:rFonts w:eastAsia="等线" w:hint="eastAsia"/>
              </w:rPr>
              <w:t>ZTE</w:t>
            </w:r>
          </w:p>
        </w:tc>
        <w:tc>
          <w:tcPr>
            <w:tcW w:w="8074"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631974">
            <w:pPr>
              <w:rPr>
                <w:rStyle w:val="normaltextrun"/>
                <w:rFonts w:eastAsia="等线"/>
              </w:rPr>
            </w:pPr>
            <w:r>
              <w:rPr>
                <w:rStyle w:val="normaltextrun"/>
                <w:rFonts w:eastAsia="等线"/>
              </w:rPr>
              <w:lastRenderedPageBreak/>
              <w:t>mtk</w:t>
            </w:r>
          </w:p>
        </w:tc>
        <w:tc>
          <w:tcPr>
            <w:tcW w:w="7834" w:type="dxa"/>
            <w:gridSpan w:val="2"/>
          </w:tcPr>
          <w:p w14:paraId="32C2457A"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631974">
            <w:pPr>
              <w:rPr>
                <w:rStyle w:val="normaltextrun"/>
                <w:rFonts w:eastAsia="等线"/>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等线"/>
                <w:sz w:val="20"/>
                <w:szCs w:val="20"/>
              </w:rPr>
            </w:pPr>
          </w:p>
          <w:p w14:paraId="0CB1F7E6"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等线"/>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等线"/>
                <w:sz w:val="20"/>
                <w:szCs w:val="20"/>
              </w:rPr>
            </w:pPr>
          </w:p>
        </w:tc>
      </w:tr>
      <w:tr w:rsidR="00631974" w:rsidRPr="0024363E" w14:paraId="1CB1E54E" w14:textId="77777777" w:rsidTr="00677B9F">
        <w:trPr>
          <w:gridAfter w:val="1"/>
          <w:wAfter w:w="279" w:type="dxa"/>
        </w:trPr>
        <w:tc>
          <w:tcPr>
            <w:tcW w:w="1516" w:type="dxa"/>
          </w:tcPr>
          <w:p w14:paraId="37C2D921" w14:textId="66D3E0B6" w:rsidR="00631974" w:rsidRDefault="00631974" w:rsidP="00631974">
            <w:pPr>
              <w:rPr>
                <w:rStyle w:val="normaltextrun"/>
                <w:rFonts w:eastAsia="等线"/>
              </w:rPr>
            </w:pPr>
            <w:r>
              <w:rPr>
                <w:rStyle w:val="normaltextrun"/>
                <w:rFonts w:eastAsia="等线"/>
              </w:rPr>
              <w:t>OPPO</w:t>
            </w:r>
          </w:p>
        </w:tc>
        <w:tc>
          <w:tcPr>
            <w:tcW w:w="7834" w:type="dxa"/>
            <w:gridSpan w:val="2"/>
          </w:tcPr>
          <w:p w14:paraId="4910985C" w14:textId="69D8497B" w:rsidR="00631974" w:rsidRPr="001772EE" w:rsidRDefault="00631974" w:rsidP="00631974">
            <w:pPr>
              <w:rPr>
                <w:rStyle w:val="normaltextrun"/>
                <w:rFonts w:eastAsia="等线"/>
                <w:sz w:val="20"/>
                <w:szCs w:val="20"/>
              </w:rPr>
            </w:pPr>
            <w:r>
              <w:rPr>
                <w:rStyle w:val="normaltextrun"/>
                <w:rFonts w:eastAsia="等线"/>
                <w:sz w:val="20"/>
                <w:szCs w:val="20"/>
              </w:rPr>
              <w:t xml:space="preserve">Fine with the rewording.  </w:t>
            </w:r>
          </w:p>
        </w:tc>
      </w:tr>
      <w:tr w:rsidR="00FC624E" w:rsidRPr="0024363E" w14:paraId="312CD5A7" w14:textId="77777777" w:rsidTr="00677B9F">
        <w:trPr>
          <w:gridAfter w:val="1"/>
          <w:wAfter w:w="279" w:type="dxa"/>
        </w:trPr>
        <w:tc>
          <w:tcPr>
            <w:tcW w:w="1516" w:type="dxa"/>
          </w:tcPr>
          <w:p w14:paraId="03175F3B" w14:textId="0E34D47E" w:rsidR="00FC624E" w:rsidRDefault="00FC624E" w:rsidP="00631974">
            <w:pPr>
              <w:rPr>
                <w:rStyle w:val="normaltextrun"/>
                <w:rFonts w:eastAsia="等线" w:hint="eastAsia"/>
                <w:lang w:eastAsia="zh-CN"/>
              </w:rPr>
            </w:pPr>
            <w:r>
              <w:rPr>
                <w:rStyle w:val="normaltextrun"/>
                <w:rFonts w:eastAsia="等线" w:hint="eastAsia"/>
                <w:lang w:eastAsia="zh-CN"/>
              </w:rPr>
              <w:t>S</w:t>
            </w:r>
            <w:r>
              <w:rPr>
                <w:rStyle w:val="normaltextrun"/>
                <w:rFonts w:eastAsia="等线"/>
                <w:lang w:eastAsia="zh-CN"/>
              </w:rPr>
              <w:t>preadtrum</w:t>
            </w:r>
          </w:p>
        </w:tc>
        <w:tc>
          <w:tcPr>
            <w:tcW w:w="7834" w:type="dxa"/>
            <w:gridSpan w:val="2"/>
          </w:tcPr>
          <w:p w14:paraId="32ACFB2E" w14:textId="28C4BD54" w:rsidR="00FC624E" w:rsidRDefault="00FC624E" w:rsidP="00631974">
            <w:pPr>
              <w:rPr>
                <w:rStyle w:val="normaltextrun"/>
                <w:rFonts w:eastAsia="等线" w:hint="eastAsia"/>
                <w:sz w:val="20"/>
                <w:szCs w:val="20"/>
                <w:lang w:eastAsia="zh-CN"/>
              </w:rPr>
            </w:pPr>
            <w:r>
              <w:rPr>
                <w:rStyle w:val="normaltextrun"/>
                <w:rFonts w:eastAsia="等线" w:hint="eastAsia"/>
                <w:sz w:val="20"/>
                <w:szCs w:val="20"/>
                <w:lang w:eastAsia="zh-CN"/>
              </w:rPr>
              <w:t>W</w:t>
            </w:r>
            <w:r>
              <w:rPr>
                <w:rStyle w:val="normaltextrun"/>
                <w:rFonts w:eastAsia="等线"/>
                <w:sz w:val="20"/>
                <w:szCs w:val="20"/>
                <w:lang w:eastAsia="zh-CN"/>
              </w:rPr>
              <w:t>e are fine with ZTE’s version.</w:t>
            </w: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Pr>
          <w:lang w:eastAsia="ja-JP"/>
        </w:rPr>
        <w:t>17 ]</w:t>
      </w:r>
      <w:proofErr w:type="gramEnd"/>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6"/>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6"/>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6"/>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6"/>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lastRenderedPageBreak/>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lastRenderedPageBreak/>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w:t>
      </w:r>
      <w:proofErr w:type="gramStart"/>
      <w:r>
        <w:rPr>
          <w:lang w:eastAsia="ja-JP"/>
        </w:rPr>
        <w:t>hopping[</w:t>
      </w:r>
      <w:proofErr w:type="gramEnd"/>
      <w:r>
        <w:rPr>
          <w:lang w:eastAsia="ja-JP"/>
        </w:rPr>
        <w:t>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w:t>
      </w:r>
      <w:proofErr w:type="gramStart"/>
      <w:r>
        <w:rPr>
          <w:lang w:eastAsia="ja-JP"/>
        </w:rPr>
        <w:t>however</w:t>
      </w:r>
      <w:proofErr w:type="gramEnd"/>
      <w:r>
        <w:rPr>
          <w:lang w:eastAsia="ja-JP"/>
        </w:rPr>
        <w:t>,  this seem to contradict the following conclusion from the last meeting:</w:t>
      </w:r>
    </w:p>
    <w:p w14:paraId="1B183E1A" w14:textId="77777777" w:rsidR="00656EC3" w:rsidRDefault="00656EC3">
      <w:pPr>
        <w:jc w:val="both"/>
        <w:rPr>
          <w:lang w:eastAsia="ja-JP"/>
        </w:rPr>
      </w:pPr>
    </w:p>
    <w:tbl>
      <w:tblPr>
        <w:tblStyle w:val="afe"/>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CF317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lastRenderedPageBreak/>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77777777" w:rsidR="00656EC3" w:rsidRDefault="00F815FC">
            <w:r>
              <w:rPr>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74.55pt" o:ole="">
                  <v:imagedata r:id="rId13" o:title=""/>
                </v:shape>
                <o:OLEObject Type="Embed" ProgID="Visio.Drawing.11" ShapeID="_x0000_i1025" DrawAspect="Content" ObjectID="_1743425507" r:id="rId14"/>
              </w:object>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tr w:rsidR="00656EC3" w14:paraId="3978D9C6" w14:textId="77777777">
        <w:tc>
          <w:tcPr>
            <w:tcW w:w="1555" w:type="dxa"/>
          </w:tcPr>
          <w:p w14:paraId="73DC4468" w14:textId="77777777" w:rsidR="00656EC3" w:rsidRDefault="00F815FC">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8074"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tc>
          <w:tcPr>
            <w:tcW w:w="1555"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等线"/>
              </w:rPr>
            </w:pPr>
            <w:r>
              <w:rPr>
                <w:rStyle w:val="normaltextrun"/>
                <w:rFonts w:eastAsia="等线"/>
              </w:rPr>
              <w:t xml:space="preserve">Samsung </w:t>
            </w:r>
          </w:p>
        </w:tc>
        <w:tc>
          <w:tcPr>
            <w:tcW w:w="8074"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等线"/>
              </w:rPr>
            </w:pPr>
            <w:r>
              <w:rPr>
                <w:rStyle w:val="normaltextrun"/>
                <w:rFonts w:eastAsia="等线"/>
              </w:rPr>
              <w:t>Nokia/NSB</w:t>
            </w:r>
          </w:p>
        </w:tc>
        <w:tc>
          <w:tcPr>
            <w:tcW w:w="8074"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tc>
          <w:tcPr>
            <w:tcW w:w="1555" w:type="dxa"/>
          </w:tcPr>
          <w:p w14:paraId="3F8983F6" w14:textId="77777777" w:rsidR="00656EC3" w:rsidRDefault="00F815FC">
            <w:pPr>
              <w:rPr>
                <w:rStyle w:val="normaltextrun"/>
                <w:rFonts w:eastAsia="等线"/>
              </w:rPr>
            </w:pPr>
            <w:r>
              <w:rPr>
                <w:rStyle w:val="normaltextrun"/>
                <w:rFonts w:eastAsia="等线"/>
              </w:rPr>
              <w:t>Futurewei</w:t>
            </w:r>
          </w:p>
        </w:tc>
        <w:tc>
          <w:tcPr>
            <w:tcW w:w="8074"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等线"/>
              </w:rPr>
            </w:pPr>
            <w:r>
              <w:rPr>
                <w:rStyle w:val="normaltextrun"/>
                <w:rFonts w:eastAsia="等线"/>
              </w:rPr>
              <w:t>Intel</w:t>
            </w:r>
          </w:p>
        </w:tc>
        <w:tc>
          <w:tcPr>
            <w:tcW w:w="8074"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等线"/>
              </w:rPr>
            </w:pPr>
            <w:r>
              <w:rPr>
                <w:rStyle w:val="normaltextrun"/>
                <w:rFonts w:eastAsia="等线"/>
              </w:rPr>
              <w:t>Qualcomm</w:t>
            </w:r>
          </w:p>
        </w:tc>
        <w:tc>
          <w:tcPr>
            <w:tcW w:w="8074"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等线"/>
              </w:rPr>
            </w:pPr>
            <w:r>
              <w:rPr>
                <w:rStyle w:val="normaltextrun"/>
                <w:rFonts w:eastAsia="等线"/>
              </w:rPr>
              <w:lastRenderedPageBreak/>
              <w:t>IIT Kanpur, CEWiT</w:t>
            </w:r>
          </w:p>
        </w:tc>
        <w:tc>
          <w:tcPr>
            <w:tcW w:w="8074"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等线"/>
              </w:rPr>
            </w:pPr>
            <w:r>
              <w:rPr>
                <w:rStyle w:val="normaltextrun"/>
                <w:rFonts w:eastAsia="等线" w:hint="eastAsia"/>
              </w:rPr>
              <w:t>ZTE</w:t>
            </w:r>
          </w:p>
        </w:tc>
        <w:tc>
          <w:tcPr>
            <w:tcW w:w="8074"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等线"/>
              </w:rPr>
            </w:pPr>
            <w:r>
              <w:rPr>
                <w:rStyle w:val="normaltextrun"/>
                <w:rFonts w:eastAsia="等线"/>
              </w:rPr>
              <w:t>mtk</w:t>
            </w:r>
          </w:p>
        </w:tc>
        <w:tc>
          <w:tcPr>
            <w:tcW w:w="8074" w:type="dxa"/>
          </w:tcPr>
          <w:p w14:paraId="1E13A5EA" w14:textId="77777777" w:rsidR="00B03077" w:rsidRDefault="00B03077" w:rsidP="00631974">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631974">
            <w:pPr>
              <w:rPr>
                <w:rStyle w:val="normaltextrun"/>
                <w:rFonts w:eastAsia="等线"/>
              </w:rPr>
            </w:pPr>
            <w:r>
              <w:rPr>
                <w:rStyle w:val="normaltextrun"/>
                <w:rFonts w:eastAsia="等线"/>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等线" w:hint="eastAsia"/>
                <w:lang w:eastAsia="zh-CN"/>
              </w:rPr>
            </w:pPr>
            <w:r>
              <w:rPr>
                <w:rStyle w:val="normaltextrun"/>
                <w:rFonts w:eastAsia="等线" w:hint="eastAsia"/>
                <w:lang w:eastAsia="zh-CN"/>
              </w:rPr>
              <w:t>S</w:t>
            </w:r>
            <w:r>
              <w:rPr>
                <w:rStyle w:val="normaltextrun"/>
                <w:rFonts w:eastAsia="等线"/>
                <w:lang w:eastAsia="zh-CN"/>
              </w:rPr>
              <w:t>preadtrum</w:t>
            </w:r>
          </w:p>
        </w:tc>
        <w:tc>
          <w:tcPr>
            <w:tcW w:w="8074" w:type="dxa"/>
          </w:tcPr>
          <w:p w14:paraId="582518EE" w14:textId="3AA28144" w:rsidR="00FC624E" w:rsidRDefault="00FC624E" w:rsidP="00631974">
            <w:pPr>
              <w:rPr>
                <w:rStyle w:val="normaltextrun"/>
                <w:rFonts w:eastAsiaTheme="minorEastAsia" w:hint="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bl>
    <w:p w14:paraId="041DFF93" w14:textId="77777777" w:rsidR="00656EC3" w:rsidRPr="00C13E59"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w:t>
      </w:r>
      <w:proofErr w:type="gramStart"/>
      <w:r>
        <w:rPr>
          <w:b/>
          <w:bCs/>
          <w:lang w:eastAsia="ja-JP"/>
        </w:rPr>
        <w:t>,  the</w:t>
      </w:r>
      <w:proofErr w:type="gramEnd"/>
      <w:r>
        <w:rPr>
          <w:b/>
          <w:bCs/>
          <w:lang w:eastAsia="ja-JP"/>
        </w:rPr>
        <w:t xml:space="preserv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w:t>
      </w:r>
      <w:proofErr w:type="gramStart"/>
      <w:r>
        <w:rPr>
          <w:lang w:val="en-US"/>
        </w:rPr>
        <w:t>Rx  hopping</w:t>
      </w:r>
      <w:proofErr w:type="gramEnd"/>
      <w:r>
        <w:rPr>
          <w:lang w:val="en-US"/>
        </w:rPr>
        <w:t xml:space="preserve">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[5</w:t>
      </w:r>
      <w:proofErr w:type="gramStart"/>
      <w:r>
        <w:rPr>
          <w:lang w:eastAsia="ja-JP"/>
        </w:rPr>
        <w:t>,15,16,18</w:t>
      </w:r>
      <w:proofErr w:type="gramEnd"/>
      <w:r>
        <w:rPr>
          <w:lang w:eastAsia="ja-JP"/>
        </w:rPr>
        <w:t xml:space="preserve">]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lastRenderedPageBreak/>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e"/>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propose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6"/>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6"/>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6"/>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609C5835" w14:textId="77777777" w:rsidR="00656EC3" w:rsidRDefault="00F815FC">
            <w:pPr>
              <w:pStyle w:val="aff6"/>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proofErr w:type="gramStart"/>
      <w:r>
        <w:rPr>
          <w:lang w:eastAsia="ja-JP"/>
        </w:rPr>
        <w:t>In[</w:t>
      </w:r>
      <w:proofErr w:type="gramEnd"/>
      <w:r>
        <w:rPr>
          <w:lang w:eastAsia="ja-JP"/>
        </w:rPr>
        <w:t xml:space="preserve">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aff6"/>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f6"/>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w:t>
      </w:r>
      <w:proofErr w:type="gramStart"/>
      <w:r>
        <w:rPr>
          <w:lang w:eastAsia="ja-JP"/>
        </w:rPr>
        <w:t>,  this</w:t>
      </w:r>
      <w:proofErr w:type="gramEnd"/>
      <w:r>
        <w:rPr>
          <w:lang w:eastAsia="ja-JP"/>
        </w:rPr>
        <w:t xml:space="preserve">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proposal,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aff6"/>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aff6"/>
              <w:numPr>
                <w:ilvl w:val="0"/>
                <w:numId w:val="33"/>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等线"/>
              </w:rPr>
            </w:pPr>
            <w:r>
              <w:rPr>
                <w:rStyle w:val="normaltextrun"/>
                <w:rFonts w:eastAsia="等线"/>
              </w:rPr>
              <w:t>Samsung</w:t>
            </w:r>
          </w:p>
        </w:tc>
        <w:tc>
          <w:tcPr>
            <w:tcW w:w="8074"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等线"/>
              </w:rPr>
            </w:pPr>
            <w:r>
              <w:rPr>
                <w:rStyle w:val="normaltextrun"/>
                <w:rFonts w:eastAsia="等线"/>
              </w:rPr>
              <w:t>Nokia/NSB</w:t>
            </w:r>
          </w:p>
        </w:tc>
        <w:tc>
          <w:tcPr>
            <w:tcW w:w="8074"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等线"/>
              </w:rPr>
            </w:pPr>
            <w:r>
              <w:rPr>
                <w:rStyle w:val="normaltextrun"/>
                <w:rFonts w:eastAsia="等线"/>
              </w:rPr>
              <w:t>Intel</w:t>
            </w:r>
          </w:p>
        </w:tc>
        <w:tc>
          <w:tcPr>
            <w:tcW w:w="8074"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等线"/>
              </w:rPr>
            </w:pPr>
            <w:r>
              <w:rPr>
                <w:rStyle w:val="normaltextrun"/>
                <w:rFonts w:eastAsia="等线"/>
              </w:rPr>
              <w:lastRenderedPageBreak/>
              <w:t>Qualcomm</w:t>
            </w:r>
          </w:p>
        </w:tc>
        <w:tc>
          <w:tcPr>
            <w:tcW w:w="8074"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等线"/>
              </w:rPr>
            </w:pPr>
            <w:r>
              <w:rPr>
                <w:rStyle w:val="normaltextrun"/>
                <w:rFonts w:eastAsia="等线" w:hint="eastAsia"/>
              </w:rPr>
              <w:t>ZTE</w:t>
            </w:r>
          </w:p>
        </w:tc>
        <w:tc>
          <w:tcPr>
            <w:tcW w:w="8074"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等线"/>
              </w:rPr>
            </w:pPr>
            <w:r>
              <w:rPr>
                <w:rStyle w:val="normaltextrun"/>
                <w:rFonts w:eastAsia="等线"/>
              </w:rPr>
              <w:t>mtk</w:t>
            </w:r>
          </w:p>
        </w:tc>
        <w:tc>
          <w:tcPr>
            <w:tcW w:w="8074"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等线"/>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lastRenderedPageBreak/>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 xml:space="preserve">Assistance data for PRS with Rx </w:t>
      </w:r>
      <w:proofErr w:type="gramStart"/>
      <w:r>
        <w:rPr>
          <w:lang w:val="en-US"/>
        </w:rPr>
        <w:t>hopping  [</w:t>
      </w:r>
      <w:proofErr w:type="gramEnd"/>
      <w:r>
        <w:rPr>
          <w:lang w:val="en-US"/>
        </w:rPr>
        <w:t>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lastRenderedPageBreak/>
        <w:t xml:space="preserve">Comments can be entered in the table below: </w:t>
      </w:r>
    </w:p>
    <w:p w14:paraId="69F9678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lastRenderedPageBreak/>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lastRenderedPageBreak/>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f6"/>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6"/>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r>
        <w:rPr>
          <w:lang w:eastAsia="ja-JP"/>
        </w:rPr>
        <w:t>In[1,2,6,7,9,15,16,17,19],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6"/>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 xml:space="preserve">LS reply from RAN4 regarding the switching time values should be taken into account, and considering that RAN1 agreed DL PRS Rx hopping within a </w:t>
            </w:r>
            <w:r>
              <w:rPr>
                <w:rStyle w:val="normaltextrun"/>
              </w:rPr>
              <w:lastRenderedPageBreak/>
              <w:t>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lastRenderedPageBreak/>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6"/>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6"/>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lastRenderedPageBreak/>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lastRenderedPageBreak/>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CF317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 xml:space="preserve">Proposal 3.1-1: for RedCap UEs, SRS for positioning Tx frequency </w:t>
      </w:r>
      <w:proofErr w:type="gramStart"/>
      <w:r>
        <w:rPr>
          <w:b/>
          <w:bCs/>
          <w:lang w:eastAsia="ja-JP"/>
        </w:rPr>
        <w:t>hopping  is</w:t>
      </w:r>
      <w:proofErr w:type="gramEnd"/>
      <w:r>
        <w:rPr>
          <w:b/>
          <w:bCs/>
          <w:lang w:eastAsia="ja-JP"/>
        </w:rPr>
        <w:t xml:space="preserve"> configured separately from the SRS configuration in the active BWP, similarly to the SRS configuration for RRC_INACTIVE</w:t>
      </w:r>
    </w:p>
    <w:p w14:paraId="7870861D"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modify  the equation for legacy FH or define a new hopping formula</w:t>
      </w:r>
    </w:p>
    <w:p w14:paraId="1E213130"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6"/>
              <w:numPr>
                <w:ilvl w:val="0"/>
                <w:numId w:val="26"/>
              </w:numPr>
              <w:rPr>
                <w:rFonts w:ascii="Times New Roman" w:hAnsi="Times New Roman"/>
                <w:b/>
                <w:bCs/>
                <w:sz w:val="24"/>
                <w:lang w:val="en-US" w:eastAsia="ja-JP"/>
              </w:rPr>
            </w:pPr>
            <w:proofErr w:type="gramStart"/>
            <w:r>
              <w:rPr>
                <w:rFonts w:ascii="Times New Roman" w:eastAsia="等线" w:hAnsi="Times New Roman"/>
                <w:b/>
                <w:bCs/>
                <w:color w:val="3366FF"/>
                <w:sz w:val="24"/>
                <w:u w:val="single"/>
                <w:lang w:val="en-US"/>
              </w:rPr>
              <w:t>FFS :</w:t>
            </w:r>
            <w:r>
              <w:rPr>
                <w:rFonts w:ascii="Times New Roman" w:hAnsi="Times New Roman"/>
                <w:b/>
                <w:bCs/>
                <w:sz w:val="24"/>
                <w:lang w:val="en-US" w:eastAsia="ja-JP"/>
              </w:rPr>
              <w:t>SRS</w:t>
            </w:r>
            <w:proofErr w:type="gramEnd"/>
            <w:r>
              <w:rPr>
                <w:rFonts w:ascii="Times New Roman" w:hAnsi="Times New Roman"/>
                <w:b/>
                <w:bCs/>
                <w:sz w:val="24"/>
                <w:lang w:val="en-US" w:eastAsia="ja-JP"/>
              </w:rPr>
              <w:t xml:space="preserve">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lastRenderedPageBreak/>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aff6"/>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aff6"/>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9F77DA" w14:paraId="4D475905" w14:textId="77777777">
        <w:tc>
          <w:tcPr>
            <w:tcW w:w="1555" w:type="dxa"/>
          </w:tcPr>
          <w:p w14:paraId="697CA986" w14:textId="02A1CD70" w:rsidR="009F77DA" w:rsidRDefault="009F77DA">
            <w:pPr>
              <w:rPr>
                <w:rStyle w:val="normaltextrun"/>
                <w:rFonts w:eastAsia="等线"/>
              </w:rPr>
            </w:pPr>
            <w:r>
              <w:rPr>
                <w:rStyle w:val="normaltextrun"/>
                <w:rFonts w:eastAsia="等线"/>
              </w:rPr>
              <w:t>OPPO</w:t>
            </w:r>
          </w:p>
        </w:tc>
        <w:tc>
          <w:tcPr>
            <w:tcW w:w="8074" w:type="dxa"/>
          </w:tcPr>
          <w:p w14:paraId="10CD5A75" w14:textId="77777777" w:rsidR="009F77DA" w:rsidRDefault="009F77DA">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宋体"/>
                <w:kern w:val="2"/>
              </w:rPr>
            </w:pPr>
          </w:p>
          <w:p w14:paraId="6E805B9C" w14:textId="14BA3991" w:rsidR="009F77DA" w:rsidRDefault="009F77DA">
            <w:pPr>
              <w:rPr>
                <w:rFonts w:eastAsia="宋体"/>
                <w:kern w:val="2"/>
              </w:rPr>
            </w:pPr>
            <w:r>
              <w:rPr>
                <w:rFonts w:eastAsia="宋体"/>
                <w:kern w:val="2"/>
              </w:rPr>
              <w:lastRenderedPageBreak/>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等线" w:hint="eastAsia"/>
              </w:rPr>
              <w:t>v</w:t>
            </w:r>
            <w:r>
              <w:rPr>
                <w:rStyle w:val="normaltextrun"/>
                <w:rFonts w:eastAsia="等线"/>
              </w:rPr>
              <w:t>ivo</w:t>
            </w:r>
          </w:p>
        </w:tc>
        <w:tc>
          <w:tcPr>
            <w:tcW w:w="8216"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CF317E"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CF317E"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CF317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CF317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CF317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CF317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CF317E"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aff6"/>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aff6"/>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等线"/>
              </w:rPr>
            </w:pPr>
            <w:r>
              <w:rPr>
                <w:rStyle w:val="normaltextrun"/>
                <w:rFonts w:eastAsia="等线"/>
                <w:lang w:val="en-US"/>
              </w:rPr>
              <w:t>We</w:t>
            </w:r>
            <w:r>
              <w:rPr>
                <w:rStyle w:val="normaltextrun"/>
                <w:rFonts w:eastAsia="等线" w:hint="eastAsia"/>
                <w:lang w:val="en-US"/>
              </w:rPr>
              <w:t xml:space="preserve"> prefer Alt.1.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propose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lastRenderedPageBreak/>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6"/>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6"/>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6"/>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6"/>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6"/>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6"/>
              <w:numPr>
                <w:ilvl w:val="0"/>
                <w:numId w:val="44"/>
              </w:numPr>
              <w:spacing w:after="180"/>
              <w:contextualSpacing/>
              <w:jc w:val="both"/>
              <w:rPr>
                <w:b/>
                <w:bCs/>
                <w:sz w:val="24"/>
                <w:lang w:val="en-US"/>
              </w:rPr>
            </w:pPr>
            <w:r>
              <w:rPr>
                <w:b/>
                <w:bCs/>
                <w:sz w:val="24"/>
                <w:lang w:val="en-US"/>
              </w:rPr>
              <w:lastRenderedPageBreak/>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CF317E">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f6"/>
        <w:numPr>
          <w:ilvl w:val="0"/>
          <w:numId w:val="26"/>
        </w:numPr>
        <w:rPr>
          <w:b/>
          <w:bCs/>
          <w:lang w:val="en-US" w:eastAsia="ja-JP"/>
        </w:rPr>
      </w:pPr>
      <w:r>
        <w:rPr>
          <w:b/>
          <w:bCs/>
          <w:lang w:val="en-US" w:eastAsia="ja-JP"/>
        </w:rPr>
        <w:t>The number of hops</w:t>
      </w:r>
    </w:p>
    <w:p w14:paraId="5202675B" w14:textId="77777777" w:rsidR="00656EC3" w:rsidRDefault="00F815FC">
      <w:pPr>
        <w:pStyle w:val="aff6"/>
        <w:numPr>
          <w:ilvl w:val="0"/>
          <w:numId w:val="26"/>
        </w:numPr>
        <w:rPr>
          <w:b/>
          <w:bCs/>
          <w:lang w:val="en-US" w:eastAsia="ja-JP"/>
        </w:rPr>
      </w:pPr>
      <w:r>
        <w:rPr>
          <w:b/>
          <w:bCs/>
          <w:lang w:val="en-US" w:eastAsia="ja-JP"/>
        </w:rPr>
        <w:t>The hop bandwidth</w:t>
      </w:r>
    </w:p>
    <w:p w14:paraId="4143E460" w14:textId="77777777" w:rsidR="00656EC3" w:rsidRDefault="00F815FC">
      <w:pPr>
        <w:pStyle w:val="aff6"/>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6"/>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6"/>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lastRenderedPageBreak/>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6"/>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aff6"/>
              <w:numPr>
                <w:ilvl w:val="0"/>
                <w:numId w:val="26"/>
              </w:numPr>
              <w:rPr>
                <w:b/>
                <w:bCs/>
                <w:lang w:val="en-US" w:eastAsia="ja-JP"/>
              </w:rPr>
            </w:pPr>
            <w:r>
              <w:rPr>
                <w:b/>
                <w:bCs/>
                <w:lang w:val="en-US" w:eastAsia="ja-JP"/>
              </w:rPr>
              <w:t>The number of hops</w:t>
            </w:r>
          </w:p>
          <w:p w14:paraId="26B5EEA3" w14:textId="77777777" w:rsidR="00656EC3" w:rsidRDefault="00F815FC">
            <w:pPr>
              <w:pStyle w:val="aff6"/>
              <w:numPr>
                <w:ilvl w:val="0"/>
                <w:numId w:val="26"/>
              </w:numPr>
              <w:rPr>
                <w:b/>
                <w:bCs/>
                <w:lang w:val="en-US" w:eastAsia="ja-JP"/>
              </w:rPr>
            </w:pPr>
            <w:r>
              <w:rPr>
                <w:b/>
                <w:bCs/>
                <w:lang w:val="en-US" w:eastAsia="ja-JP"/>
              </w:rPr>
              <w:t>The hop bandwidth</w:t>
            </w:r>
          </w:p>
          <w:p w14:paraId="2C9099FD" w14:textId="77777777" w:rsidR="00656EC3" w:rsidRDefault="00F815FC">
            <w:pPr>
              <w:pStyle w:val="aff6"/>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6"/>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6"/>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6"/>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lastRenderedPageBreak/>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6"/>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w:t>
      </w:r>
      <w:proofErr w:type="gramStart"/>
      <w:r>
        <w:rPr>
          <w:rStyle w:val="normaltextrun"/>
          <w:b/>
          <w:bCs/>
        </w:rPr>
        <w:t>SRS  with</w:t>
      </w:r>
      <w:proofErr w:type="gramEnd"/>
      <w:r>
        <w:rPr>
          <w:rStyle w:val="normaltextrun"/>
          <w:b/>
          <w:bCs/>
        </w:rPr>
        <w:t xml:space="preserve"> frequency hopping support one or more of the following, according to UE capabilities:</w:t>
      </w:r>
    </w:p>
    <w:p w14:paraId="5A9DB999"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w:t>
            </w:r>
            <w:proofErr w:type="gramStart"/>
            <w:r>
              <w:rPr>
                <w:rStyle w:val="normaltextrun"/>
                <w:rFonts w:ascii="Times New Roman" w:hAnsi="Times New Roman"/>
                <w:b/>
                <w:bCs/>
                <w:color w:val="FF0000"/>
                <w:sz w:val="24"/>
                <w:lang w:val="en-US"/>
              </w:rPr>
              <w:t>1 :</w:t>
            </w:r>
            <w:proofErr w:type="gramEnd"/>
            <w:r>
              <w:rPr>
                <w:rStyle w:val="normaltextrun"/>
                <w:rFonts w:ascii="Times New Roman" w:hAnsi="Times New Roman"/>
                <w:b/>
                <w:bCs/>
                <w:color w:val="FF0000"/>
                <w:sz w:val="24"/>
                <w:lang w:val="en-US"/>
              </w:rPr>
              <w:t xml:space="preserve">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6"/>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6"/>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f6"/>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6"/>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e"/>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tc>
          <w:tcPr>
            <w:tcW w:w="1555" w:type="dxa"/>
          </w:tcPr>
          <w:p w14:paraId="0B4F7D53"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8074"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tc>
          <w:tcPr>
            <w:tcW w:w="1555" w:type="dxa"/>
          </w:tcPr>
          <w:p w14:paraId="0A601407" w14:textId="77777777" w:rsidR="00656EC3" w:rsidRDefault="00F815FC">
            <w:pPr>
              <w:rPr>
                <w:rStyle w:val="normaltextrun"/>
                <w:rFonts w:eastAsia="等线"/>
              </w:rPr>
            </w:pPr>
            <w:r>
              <w:rPr>
                <w:rStyle w:val="normaltextrun"/>
                <w:rFonts w:eastAsia="Malgun Gothic" w:hint="eastAsia"/>
                <w:lang w:eastAsia="ko-KR"/>
              </w:rPr>
              <w:t>LGE</w:t>
            </w:r>
          </w:p>
        </w:tc>
        <w:tc>
          <w:tcPr>
            <w:tcW w:w="8074"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8074"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tc>
          <w:tcPr>
            <w:tcW w:w="1555"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8074"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tc>
          <w:tcPr>
            <w:tcW w:w="1555" w:type="dxa"/>
          </w:tcPr>
          <w:p w14:paraId="45A15C83" w14:textId="77777777" w:rsidR="00656EC3" w:rsidRDefault="00F815FC">
            <w:pPr>
              <w:rPr>
                <w:rStyle w:val="normaltextrun"/>
                <w:rFonts w:eastAsia="等线"/>
              </w:rPr>
            </w:pPr>
            <w:r>
              <w:rPr>
                <w:rStyle w:val="normaltextrun"/>
                <w:rFonts w:eastAsia="等线"/>
              </w:rPr>
              <w:t>Samsung</w:t>
            </w:r>
          </w:p>
        </w:tc>
        <w:tc>
          <w:tcPr>
            <w:tcW w:w="8074" w:type="dxa"/>
          </w:tcPr>
          <w:p w14:paraId="5A66E315" w14:textId="77777777" w:rsidR="00656EC3" w:rsidRDefault="00F815FC">
            <w:pPr>
              <w:rPr>
                <w:rStyle w:val="normaltextrun"/>
                <w:rFonts w:eastAsia="等线"/>
              </w:rPr>
            </w:pPr>
            <w:r>
              <w:rPr>
                <w:rStyle w:val="normaltextrun"/>
                <w:rFonts w:eastAsia="等线"/>
              </w:rPr>
              <w:t xml:space="preserve">Generally ok for both. But it’s not very clear on option 1 that in such SRS transmisison window, whether SRS tx is high priority or not, or we will discuss </w:t>
            </w:r>
            <w:r>
              <w:rPr>
                <w:rStyle w:val="normaltextrun"/>
                <w:rFonts w:eastAsia="等线"/>
              </w:rPr>
              <w:lastRenderedPageBreak/>
              <w:t>what if the other singals are indeed happened in the window. So suggset to make it clear:</w:t>
            </w:r>
          </w:p>
          <w:p w14:paraId="3822802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tc>
          <w:tcPr>
            <w:tcW w:w="1555" w:type="dxa"/>
          </w:tcPr>
          <w:p w14:paraId="742DD544" w14:textId="77777777" w:rsidR="00656EC3" w:rsidRDefault="00F815FC">
            <w:pPr>
              <w:rPr>
                <w:rStyle w:val="normaltextrun"/>
                <w:rFonts w:eastAsia="等线"/>
              </w:rPr>
            </w:pPr>
            <w:r>
              <w:rPr>
                <w:rStyle w:val="normaltextrun"/>
                <w:rFonts w:eastAsia="等线"/>
              </w:rPr>
              <w:lastRenderedPageBreak/>
              <w:t>Nokia/NSB</w:t>
            </w:r>
          </w:p>
        </w:tc>
        <w:tc>
          <w:tcPr>
            <w:tcW w:w="8074"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等线"/>
              </w:rPr>
            </w:pPr>
            <w:r>
              <w:rPr>
                <w:rStyle w:val="normaltextrun"/>
                <w:rFonts w:eastAsia="等线"/>
              </w:rPr>
              <w:t>Futurewei</w:t>
            </w:r>
          </w:p>
        </w:tc>
        <w:tc>
          <w:tcPr>
            <w:tcW w:w="8074"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等线"/>
              </w:rPr>
            </w:pPr>
            <w:r>
              <w:rPr>
                <w:rStyle w:val="normaltextrun"/>
                <w:rFonts w:eastAsia="等线"/>
              </w:rPr>
              <w:t>Intel</w:t>
            </w:r>
          </w:p>
        </w:tc>
        <w:tc>
          <w:tcPr>
            <w:tcW w:w="8074"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tc>
          <w:tcPr>
            <w:tcW w:w="1555" w:type="dxa"/>
          </w:tcPr>
          <w:p w14:paraId="204E59D6" w14:textId="77777777" w:rsidR="00656EC3" w:rsidRDefault="00F815FC">
            <w:pPr>
              <w:rPr>
                <w:rStyle w:val="normaltextrun"/>
                <w:rFonts w:eastAsia="等线"/>
              </w:rPr>
            </w:pPr>
            <w:r>
              <w:rPr>
                <w:rStyle w:val="normaltextrun"/>
                <w:rFonts w:eastAsia="等线"/>
              </w:rPr>
              <w:t>Qualcomm</w:t>
            </w:r>
          </w:p>
        </w:tc>
        <w:tc>
          <w:tcPr>
            <w:tcW w:w="8074"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tc>
          <w:tcPr>
            <w:tcW w:w="1555" w:type="dxa"/>
          </w:tcPr>
          <w:p w14:paraId="10256CF2" w14:textId="77777777" w:rsidR="00656EC3" w:rsidRDefault="00F815FC">
            <w:pPr>
              <w:rPr>
                <w:rStyle w:val="normaltextrun"/>
                <w:rFonts w:eastAsia="等线"/>
              </w:rPr>
            </w:pPr>
            <w:r>
              <w:rPr>
                <w:rStyle w:val="normaltextrun"/>
                <w:rFonts w:eastAsia="等线"/>
              </w:rPr>
              <w:t>IIT Kanpur, CEWiT</w:t>
            </w:r>
          </w:p>
        </w:tc>
        <w:tc>
          <w:tcPr>
            <w:tcW w:w="8074"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tc>
          <w:tcPr>
            <w:tcW w:w="1555" w:type="dxa"/>
          </w:tcPr>
          <w:p w14:paraId="2945EEB2" w14:textId="77777777" w:rsidR="00656EC3" w:rsidRDefault="00F815FC">
            <w:pPr>
              <w:rPr>
                <w:rStyle w:val="normaltextrun"/>
                <w:rFonts w:eastAsia="等线"/>
              </w:rPr>
            </w:pPr>
            <w:r>
              <w:rPr>
                <w:rStyle w:val="normaltextrun"/>
                <w:rFonts w:eastAsia="等线" w:hint="eastAsia"/>
              </w:rPr>
              <w:t>ZTE</w:t>
            </w:r>
          </w:p>
        </w:tc>
        <w:tc>
          <w:tcPr>
            <w:tcW w:w="8074"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r w:rsidR="00BE2FE0" w:rsidRPr="001E616B" w14:paraId="746D9BB8" w14:textId="77777777" w:rsidTr="00BE2FE0">
        <w:tc>
          <w:tcPr>
            <w:tcW w:w="1555"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4B14B4EC" w14:textId="77777777" w:rsidR="00BE2FE0" w:rsidRPr="001E616B" w:rsidRDefault="00BE2FE0" w:rsidP="00631974">
            <w:pPr>
              <w:rPr>
                <w:rStyle w:val="normaltextrun"/>
                <w:rFonts w:eastAsiaTheme="minorEastAsia"/>
                <w:lang w:eastAsia="ja-JP"/>
              </w:rPr>
            </w:pPr>
            <w:r>
              <w:rPr>
                <w:rStyle w:val="normaltextrun"/>
                <w:rFonts w:eastAsia="等线"/>
              </w:rPr>
              <w:t>OK to study both options.</w:t>
            </w:r>
          </w:p>
        </w:tc>
      </w:tr>
      <w:tr w:rsidR="00FC624E" w:rsidRPr="001E616B" w14:paraId="0E21FC1F" w14:textId="77777777" w:rsidTr="00BE2FE0">
        <w:tc>
          <w:tcPr>
            <w:tcW w:w="1555" w:type="dxa"/>
          </w:tcPr>
          <w:p w14:paraId="4CD63C14" w14:textId="1A162B60" w:rsidR="00FC624E" w:rsidRPr="00FC624E" w:rsidRDefault="00FC624E" w:rsidP="00631974">
            <w:pPr>
              <w:rPr>
                <w:rStyle w:val="normaltextrun"/>
                <w:rFonts w:eastAsia="等线" w:hint="eastAsia"/>
                <w:lang w:eastAsia="zh-CN"/>
              </w:rPr>
            </w:pPr>
            <w:r>
              <w:rPr>
                <w:rStyle w:val="normaltextrun"/>
                <w:rFonts w:eastAsia="等线" w:hint="eastAsia"/>
                <w:lang w:eastAsia="zh-CN"/>
              </w:rPr>
              <w:t>S</w:t>
            </w:r>
            <w:r>
              <w:rPr>
                <w:rStyle w:val="normaltextrun"/>
                <w:rFonts w:eastAsia="等线"/>
                <w:lang w:eastAsia="zh-CN"/>
              </w:rPr>
              <w:t>preadtrum</w:t>
            </w:r>
          </w:p>
        </w:tc>
        <w:tc>
          <w:tcPr>
            <w:tcW w:w="8074" w:type="dxa"/>
          </w:tcPr>
          <w:p w14:paraId="51CBAFBE" w14:textId="5993D74D" w:rsidR="00FC624E" w:rsidRDefault="00FC624E" w:rsidP="00631974">
            <w:pPr>
              <w:rPr>
                <w:rStyle w:val="normaltextrun"/>
                <w:rFonts w:eastAsia="等线" w:hint="eastAsia"/>
                <w:lang w:eastAsia="zh-CN"/>
              </w:rPr>
            </w:pPr>
            <w:r>
              <w:rPr>
                <w:rStyle w:val="normaltextrun"/>
                <w:rFonts w:eastAsia="等线" w:hint="eastAsia"/>
                <w:lang w:eastAsia="zh-CN"/>
              </w:rPr>
              <w:t>F</w:t>
            </w:r>
            <w:r>
              <w:rPr>
                <w:rStyle w:val="normaltextrun"/>
                <w:rFonts w:eastAsia="等线"/>
                <w:lang w:eastAsia="zh-CN"/>
              </w:rPr>
              <w:t>ine with</w:t>
            </w:r>
            <w:r>
              <w:t xml:space="preserve"> </w:t>
            </w:r>
            <w:r w:rsidRPr="00FC624E">
              <w:rPr>
                <w:rStyle w:val="normaltextrun"/>
                <w:rFonts w:eastAsia="等线"/>
                <w:lang w:eastAsia="zh-CN"/>
              </w:rPr>
              <w:t>vivo’s modification.</w:t>
            </w:r>
            <w:r>
              <w:rPr>
                <w:rStyle w:val="normaltextrun"/>
                <w:rFonts w:eastAsia="等线"/>
                <w:lang w:eastAsia="zh-CN"/>
              </w:rPr>
              <w:t xml:space="preserve"> We prefer Option 2.</w:t>
            </w:r>
          </w:p>
        </w:tc>
      </w:tr>
    </w:tbl>
    <w:p w14:paraId="169D63C0" w14:textId="77777777" w:rsidR="00656EC3" w:rsidRPr="00BE2FE0"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6"/>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bookmarkStart w:id="34" w:name="_GoBack"/>
      <w:bookmarkEnd w:id="34"/>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5" w:name="_Toc68614630"/>
      <w:bookmarkStart w:id="36" w:name="_Toc68614651"/>
      <w:bookmarkStart w:id="37" w:name="_Toc68614629"/>
      <w:bookmarkEnd w:id="35"/>
      <w:bookmarkEnd w:id="36"/>
      <w:bookmarkEnd w:id="37"/>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 xml:space="preserve">Proposal 1.1-2: For DL Rx hopping or UL Tx hopping, support the UE or </w:t>
      </w:r>
      <w:proofErr w:type="spellStart"/>
      <w:r>
        <w:rPr>
          <w:b/>
          <w:bCs/>
          <w:lang w:eastAsia="ja-JP"/>
        </w:rPr>
        <w:t>gNB</w:t>
      </w:r>
      <w:proofErr w:type="spellEnd"/>
      <w:r>
        <w:rPr>
          <w:b/>
          <w:bCs/>
          <w:lang w:eastAsia="ja-JP"/>
        </w:rPr>
        <w:t xml:space="preserve"> to report the following:</w:t>
      </w:r>
    </w:p>
    <w:p w14:paraId="7C75E4C1"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 xml:space="preserve">Proposal 3.1-2: for RedCap UEs, SRS for positioning Tx frequency </w:t>
      </w:r>
      <w:proofErr w:type="gramStart"/>
      <w:r>
        <w:rPr>
          <w:b/>
          <w:bCs/>
          <w:lang w:eastAsia="ja-JP"/>
        </w:rPr>
        <w:t>hopping  is</w:t>
      </w:r>
      <w:proofErr w:type="gramEnd"/>
      <w:r>
        <w:rPr>
          <w:b/>
          <w:bCs/>
          <w:lang w:eastAsia="ja-JP"/>
        </w:rPr>
        <w:t xml:space="preserve"> configured:</w:t>
      </w:r>
    </w:p>
    <w:p w14:paraId="5B2C5ED4" w14:textId="77777777" w:rsidR="00656EC3" w:rsidRDefault="00F815FC">
      <w:pPr>
        <w:ind w:firstLine="560"/>
        <w:rPr>
          <w:b/>
          <w:bCs/>
          <w:lang w:eastAsia="ja-JP"/>
        </w:rPr>
      </w:pPr>
      <w:r>
        <w:rPr>
          <w:b/>
          <w:bCs/>
          <w:lang w:eastAsia="ja-JP"/>
        </w:rPr>
        <w:lastRenderedPageBreak/>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w:t>
      </w:r>
      <w:proofErr w:type="gramStart"/>
      <w:r>
        <w:rPr>
          <w:rStyle w:val="normaltextrun"/>
          <w:rFonts w:ascii="Times New Roman" w:hAnsi="Times New Roman"/>
          <w:b/>
          <w:bCs/>
          <w:color w:val="000000" w:themeColor="text1"/>
          <w:sz w:val="24"/>
          <w:lang w:val="en-US"/>
        </w:rPr>
        <w:t>1 :</w:t>
      </w:r>
      <w:proofErr w:type="gramEnd"/>
      <w:r>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38" w:name="_In-sequence_SDU_delivery"/>
      <w:bookmarkEnd w:id="38"/>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lastRenderedPageBreak/>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9F43" w14:textId="77777777" w:rsidR="00CF317E" w:rsidRDefault="00CF317E">
      <w:r>
        <w:separator/>
      </w:r>
    </w:p>
  </w:endnote>
  <w:endnote w:type="continuationSeparator" w:id="0">
    <w:p w14:paraId="235DD9AF" w14:textId="77777777" w:rsidR="00CF317E" w:rsidRDefault="00CF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047F4BAC" w:rsidR="00631974" w:rsidRDefault="00631974">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FC624E">
      <w:rPr>
        <w:rStyle w:val="aff0"/>
        <w:noProof/>
      </w:rPr>
      <w:t>53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FC624E">
      <w:rPr>
        <w:rStyle w:val="aff0"/>
        <w:noProof/>
      </w:rPr>
      <w:t>54</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2B94" w14:textId="77777777" w:rsidR="00CF317E" w:rsidRDefault="00CF317E">
      <w:r>
        <w:separator/>
      </w:r>
    </w:p>
  </w:footnote>
  <w:footnote w:type="continuationSeparator" w:id="0">
    <w:p w14:paraId="3D1E402C" w14:textId="77777777" w:rsidR="00CF317E" w:rsidRDefault="00CF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631974" w:rsidRDefault="006319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6"/>
  </w:num>
  <w:num w:numId="22">
    <w:abstractNumId w:val="45"/>
  </w:num>
  <w:num w:numId="23">
    <w:abstractNumId w:val="37"/>
  </w:num>
  <w:num w:numId="24">
    <w:abstractNumId w:val="2"/>
  </w:num>
  <w:num w:numId="25">
    <w:abstractNumId w:val="22"/>
  </w:num>
  <w:num w:numId="26">
    <w:abstractNumId w:val="35"/>
  </w:num>
  <w:num w:numId="27">
    <w:abstractNumId w:val="33"/>
  </w:num>
  <w:num w:numId="28">
    <w:abstractNumId w:val="25"/>
  </w:num>
  <w:num w:numId="29">
    <w:abstractNumId w:val="44"/>
  </w:num>
  <w:num w:numId="30">
    <w:abstractNumId w:val="18"/>
  </w:num>
  <w:num w:numId="31">
    <w:abstractNumId w:val="27"/>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0"/>
  </w:num>
  <w:num w:numId="39">
    <w:abstractNumId w:val="26"/>
  </w:num>
  <w:num w:numId="40">
    <w:abstractNumId w:val="36"/>
  </w:num>
  <w:num w:numId="41">
    <w:abstractNumId w:val="1"/>
  </w:num>
  <w:num w:numId="42">
    <w:abstractNumId w:val="15"/>
  </w:num>
  <w:num w:numId="43">
    <w:abstractNumId w:val="42"/>
  </w:num>
  <w:num w:numId="44">
    <w:abstractNumId w:val="3"/>
  </w:num>
  <w:num w:numId="45">
    <w:abstractNumId w:val="23"/>
  </w:num>
  <w:num w:numId="46">
    <w:abstractNumId w:val="10"/>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2">
    <w:name w:val="index 1"/>
    <w:basedOn w:val="a1"/>
    <w:next w:val="a1"/>
    <w:qFormat/>
    <w:pPr>
      <w:keepLines/>
    </w:pPr>
    <w:rPr>
      <w:rFonts w:eastAsia="宋体"/>
    </w:r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e64e7270-d4e6-48a7-a2dd-375c33f5b551</TermId>
        </TermInfo>
        <TermInfo xmlns="http://schemas.microsoft.com/office/infopath/2007/PartnerControls">
          <TermName xmlns="http://schemas.microsoft.com/office/infopath/2007/PartnerControls">Ericsson</TermName>
          <TermId xmlns="http://schemas.microsoft.com/office/infopath/2007/PartnerControls">c428cba1-255e-4b95-a3ee-eb0dc42ce76e</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57AAB4FB-7635-438F-9289-B7C7FCA3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16995</Words>
  <Characters>96876</Characters>
  <Application>Microsoft Office Word</Application>
  <DocSecurity>0</DocSecurity>
  <Lines>807</Lines>
  <Paragraphs>227</Paragraphs>
  <ScaleCrop>false</ScaleCrop>
  <Company>Ericsson</Company>
  <LinksUpToDate>false</LinksUpToDate>
  <CharactersWithSpaces>113644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雷珍珠 (Reven Lei)</cp:lastModifiedBy>
  <cp:revision>4</cp:revision>
  <cp:lastPrinted>2023-02-16T02:44:00Z</cp:lastPrinted>
  <dcterms:created xsi:type="dcterms:W3CDTF">2023-04-19T06:49:00Z</dcterms:created>
  <dcterms:modified xsi:type="dcterms:W3CDTF">2023-04-19T08:05:00Z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