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 xml:space="preserve">Torsten Wildschek,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lastRenderedPageBreak/>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lastRenderedPageBreak/>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lastRenderedPageBreak/>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lastRenderedPageBreak/>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w:t>
            </w:r>
            <w:r>
              <w:rPr>
                <w:rFonts w:eastAsia="Malgun Gothic"/>
                <w:bCs/>
                <w:sz w:val="20"/>
                <w:szCs w:val="20"/>
                <w:lang w:eastAsia="ko-KR"/>
              </w:rPr>
              <w:lastRenderedPageBreak/>
              <w:t xml:space="preserve">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w:t>
            </w:r>
            <w:proofErr w:type="gramStart"/>
            <w:r>
              <w:rPr>
                <w:rFonts w:ascii="Calibri" w:eastAsia="Malgun Gothic" w:hAnsi="Calibri"/>
                <w:color w:val="00B050"/>
                <w:lang w:eastAsia="ko-KR"/>
              </w:rPr>
              <w:t>M,N</w:t>
            </w:r>
            <w:proofErr w:type="gramEnd"/>
            <w:r>
              <w:rPr>
                <w:rFonts w:ascii="Calibri" w:eastAsia="Malgun Gothic" w:hAnsi="Calibri"/>
                <w:color w:val="00B050"/>
                <w:lang w:eastAsia="ko-KR"/>
              </w:rPr>
              <w:t>)</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r>
              <w:rPr>
                <w:bCs/>
                <w:sz w:val="20"/>
                <w:szCs w:val="20"/>
                <w:lang w:eastAsia="zh-CN"/>
              </w:rPr>
              <w:lastRenderedPageBreak/>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proofErr w:type="gramStart"/>
            <w:r w:rsidRPr="00EF5581">
              <w:rPr>
                <w:bCs/>
                <w:i/>
                <w:color w:val="FF0000"/>
              </w:rPr>
              <w:t>at least</w:t>
            </w:r>
            <w:proofErr w:type="gramEnd"/>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w:lastRenderedPageBreak/>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lastRenderedPageBreak/>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r>
              <w:rPr>
                <w:rFonts w:eastAsia="Calibri"/>
              </w:rPr>
              <w:t>CEWiT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lastRenderedPageBreak/>
              <w:t>Ericsson [28]</w:t>
            </w:r>
          </w:p>
        </w:tc>
        <w:tc>
          <w:tcPr>
            <w:tcW w:w="8106" w:type="dxa"/>
          </w:tcPr>
          <w:p w14:paraId="2BB1F07F" w14:textId="77777777" w:rsidR="006C3DDC" w:rsidRDefault="00000000">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lastRenderedPageBreak/>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w:t>
            </w:r>
            <w:r>
              <w:rPr>
                <w:bCs/>
                <w:sz w:val="20"/>
                <w:szCs w:val="20"/>
                <w:lang w:eastAsia="zh-CN"/>
              </w:rPr>
              <w:lastRenderedPageBreak/>
              <w:t>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lastRenderedPageBreak/>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lastRenderedPageBreak/>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 xml:space="preserve">To LGE, because of PRS transmissions from the UE, an attacker can physically </w:t>
            </w:r>
            <w:r>
              <w:rPr>
                <w:rFonts w:eastAsia="Malgun Gothic"/>
                <w:bCs/>
                <w:sz w:val="20"/>
                <w:szCs w:val="20"/>
                <w:lang w:eastAsia="ko-KR"/>
              </w:rPr>
              <w:lastRenderedPageBreak/>
              <w:t>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lastRenderedPageBreak/>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lastRenderedPageBreak/>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lastRenderedPageBreak/>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lastRenderedPageBreak/>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lastRenderedPageBreak/>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lastRenderedPageBreak/>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lastRenderedPageBreak/>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lastRenderedPageBreak/>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lastRenderedPageBreak/>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lastRenderedPageBreak/>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xmlns:w16du="http://schemas.microsoft.com/office/word/2023/wordml/word16du">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lastRenderedPageBreak/>
              <w:t>For SL pattern with full staggering, (M,N)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000000">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000000">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lastRenderedPageBreak/>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CEWiT,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lastRenderedPageBreak/>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r>
        <w:rPr>
          <w:rFonts w:eastAsia="SimSun"/>
          <w:i/>
          <w:iCs/>
        </w:rPr>
        <w:t>CEWiT,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lastRenderedPageBreak/>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 xml:space="preserve">No: 4 companies (Primary concern: N = 12 is not likely possible for fully staggered patterns while high multiplexing order is not </w:t>
            </w:r>
            <w:r>
              <w:rPr>
                <w:color w:val="00B0F0"/>
              </w:rPr>
              <w:lastRenderedPageBreak/>
              <w:t>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lastRenderedPageBreak/>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r>
              <w:rPr>
                <w:bCs/>
                <w:iCs/>
                <w:lang w:eastAsia="zh-CN"/>
              </w:rPr>
              <w:lastRenderedPageBreak/>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lastRenderedPageBreak/>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lastRenderedPageBreak/>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lastRenderedPageBreak/>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lastRenderedPageBreak/>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 xml:space="preserve">If a UE has then intention to transmit with smaller BW than RP BW, why not </w:t>
            </w:r>
            <w:r>
              <w:rPr>
                <w:rFonts w:eastAsia="Malgun Gothic"/>
                <w:bCs/>
                <w:sz w:val="20"/>
                <w:lang w:eastAsia="ko-KR"/>
              </w:rPr>
              <w:lastRenderedPageBreak/>
              <w:t>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lastRenderedPageBreak/>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lastRenderedPageBreak/>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w:t>
            </w:r>
            <w:r>
              <w:rPr>
                <w:color w:val="00B0F0"/>
                <w:sz w:val="20"/>
              </w:rPr>
              <w:lastRenderedPageBreak/>
              <w:t xml:space="preserve">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w:t>
            </w:r>
            <w:r>
              <w:rPr>
                <w:sz w:val="20"/>
                <w:lang w:eastAsia="zh-CN"/>
              </w:rPr>
              <w:lastRenderedPageBreak/>
              <w:t xml:space="preserve">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lastRenderedPageBreak/>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align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lastRenderedPageBreak/>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lastRenderedPageBreak/>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lastRenderedPageBreak/>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3503C6">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lastRenderedPageBreak/>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lastRenderedPageBreak/>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w:t>
            </w:r>
            <w:r>
              <w:rPr>
                <w:bCs/>
                <w:sz w:val="20"/>
                <w:lang w:eastAsia="zh-CN"/>
              </w:rPr>
              <w:lastRenderedPageBreak/>
              <w:t xml:space="preserve">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lastRenderedPageBreak/>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lastRenderedPageBreak/>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CEWiT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lastRenderedPageBreak/>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lastRenderedPageBreak/>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lastRenderedPageBreak/>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lastRenderedPageBreak/>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lastRenderedPageBreak/>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lastRenderedPageBreak/>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lastRenderedPageBreak/>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lastRenderedPageBreak/>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lastRenderedPageBreak/>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lastRenderedPageBreak/>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lastRenderedPageBreak/>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lastRenderedPageBreak/>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lastRenderedPageBreak/>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 xml:space="preserve">Continental </w:t>
            </w:r>
            <w:r>
              <w:rPr>
                <w:bCs/>
                <w:sz w:val="20"/>
                <w:szCs w:val="20"/>
                <w:lang w:eastAsia="zh-CN"/>
              </w:rPr>
              <w:lastRenderedPageBreak/>
              <w:t>Automotive</w:t>
            </w:r>
          </w:p>
        </w:tc>
        <w:tc>
          <w:tcPr>
            <w:tcW w:w="7742" w:type="dxa"/>
          </w:tcPr>
          <w:p w14:paraId="2BB1FB47" w14:textId="77777777" w:rsidR="006C3DDC" w:rsidRDefault="00143073">
            <w:pPr>
              <w:widowControl w:val="0"/>
              <w:rPr>
                <w:sz w:val="20"/>
                <w:szCs w:val="20"/>
                <w:lang w:eastAsia="zh-CN"/>
              </w:rPr>
            </w:pPr>
            <w:r>
              <w:rPr>
                <w:sz w:val="20"/>
                <w:szCs w:val="20"/>
                <w:lang w:eastAsia="zh-CN"/>
              </w:rPr>
              <w:lastRenderedPageBreak/>
              <w:t xml:space="preserve">Do not support in the current form. Similar comment as CATT. </w:t>
            </w:r>
            <w:r>
              <w:rPr>
                <w:bCs/>
                <w:sz w:val="20"/>
                <w:szCs w:val="20"/>
                <w:lang w:eastAsia="zh-CN"/>
              </w:rPr>
              <w:t xml:space="preserve">We believe this can be </w:t>
            </w:r>
            <w:r>
              <w:rPr>
                <w:bCs/>
                <w:sz w:val="20"/>
                <w:szCs w:val="20"/>
                <w:lang w:eastAsia="zh-CN"/>
              </w:rPr>
              <w:lastRenderedPageBreak/>
              <w:t>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lastRenderedPageBreak/>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lastRenderedPageBreak/>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000000">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000000">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15: The candidate positions of SL PRS resource in a slot are determined based </w:t>
            </w:r>
            <w:r>
              <w:rPr>
                <w:rFonts w:eastAsia="Batang"/>
                <w:i/>
                <w:iCs/>
                <w:kern w:val="2"/>
                <w:lang w:eastAsia="ko-KR"/>
              </w:rPr>
              <w:lastRenderedPageBreak/>
              <w:t>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lastRenderedPageBreak/>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lastRenderedPageBreak/>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t>Ericsson [28]</w:t>
            </w:r>
          </w:p>
        </w:tc>
        <w:tc>
          <w:tcPr>
            <w:tcW w:w="8005" w:type="dxa"/>
          </w:tcPr>
          <w:p w14:paraId="2BB1FBE9" w14:textId="77777777" w:rsidR="006C3DDC" w:rsidRDefault="00000000">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lastRenderedPageBreak/>
        <w:t>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lastRenderedPageBreak/>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lastRenderedPageBreak/>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lastRenderedPageBreak/>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lastRenderedPageBreak/>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 xml:space="preserve">Alt A3: Supported if the start timings of SL PRSs with </w:t>
            </w:r>
            <w:r>
              <w:rPr>
                <w:bCs/>
                <w:i/>
                <w:color w:val="C45911" w:themeColor="accent2" w:themeShade="BF"/>
              </w:rPr>
              <w:lastRenderedPageBreak/>
              <w:t>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lastRenderedPageBreak/>
              <w:t xml:space="preserve">For shared resource pool, the PRS is in the slot, subchannel-level FDM can be done together </w:t>
            </w:r>
            <w:r>
              <w:rPr>
                <w:sz w:val="20"/>
                <w:szCs w:val="20"/>
                <w:lang w:eastAsia="zh-CN"/>
              </w:rPr>
              <w:lastRenderedPageBreak/>
              <w:t>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lastRenderedPageBreak/>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lastRenderedPageBreak/>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lastRenderedPageBreak/>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lastRenderedPageBreak/>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000000">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r>
              <w:rPr>
                <w:rFonts w:eastAsia="Times New Roman"/>
                <w:i/>
                <w:iCs/>
                <w:sz w:val="20"/>
                <w:szCs w:val="20"/>
              </w:rPr>
              <w:t>where</w:t>
            </w:r>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 xml:space="preserve">Proposal 9: For SL transmission in a shared resource pool, the transmission power of SL </w:t>
            </w:r>
            <w:r>
              <w:rPr>
                <w:rFonts w:eastAsia="DengXian"/>
                <w:i/>
                <w:iCs/>
                <w:sz w:val="21"/>
                <w:szCs w:val="21"/>
                <w:lang w:val="en-GB" w:eastAsia="zh-CN"/>
              </w:rPr>
              <w:lastRenderedPageBreak/>
              <w:t>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lastRenderedPageBreak/>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 xml:space="preserve">Support enabling multiple SL reference signals from multiple UEs, to be used for determining the minimum transmit power for the SL-PRS </w:t>
            </w:r>
            <w:r>
              <w:rPr>
                <w:rFonts w:eastAsia="Times New Roman"/>
                <w:i/>
                <w:iCs/>
                <w:sz w:val="24"/>
              </w:rPr>
              <w:lastRenderedPageBreak/>
              <w:t>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lastRenderedPageBreak/>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000000">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lastRenderedPageBreak/>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proofErr w:type="spellStart"/>
            <w:r>
              <w:rPr>
                <w:bCs/>
                <w:sz w:val="20"/>
                <w:szCs w:val="20"/>
                <w:lang w:eastAsia="zh-CN"/>
              </w:rPr>
              <w:lastRenderedPageBreak/>
              <w:t>Spreadtrum</w:t>
            </w:r>
            <w:proofErr w:type="spellEnd"/>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lastRenderedPageBreak/>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w:t>
            </w:r>
            <w:r>
              <w:rPr>
                <w:rStyle w:val="ui-provider"/>
                <w:bCs/>
                <w:i/>
                <w:iCs/>
              </w:rPr>
              <w:lastRenderedPageBreak/>
              <w:t xml:space="preserve">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lastRenderedPageBreak/>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lastRenderedPageBreak/>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lastRenderedPageBreak/>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lastRenderedPageBreak/>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lastRenderedPageBreak/>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lastRenderedPageBreak/>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lastRenderedPageBreak/>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 xml:space="preserve">NOTE 1: The above does not imply need for </w:t>
      </w:r>
      <w:proofErr w:type="spellStart"/>
      <w:r>
        <w:rPr>
          <w:rFonts w:eastAsia="SimSun"/>
          <w:bCs/>
          <w:i/>
        </w:rPr>
        <w:t>signalling</w:t>
      </w:r>
      <w:proofErr w:type="spellEnd"/>
      <w:r>
        <w:rPr>
          <w:rFonts w:eastAsia="SimSun"/>
          <w:bCs/>
          <w:i/>
        </w:rPr>
        <w:t>/(pre-)configuration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lastRenderedPageBreak/>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r>
      <w:proofErr w:type="spellStart"/>
      <w:r>
        <w:t>Spreadtrum</w:t>
      </w:r>
      <w:proofErr w:type="spellEnd"/>
      <w:r>
        <w:t xml:space="preserve">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lastRenderedPageBreak/>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804F" w14:textId="77777777" w:rsidR="007D5B63" w:rsidRDefault="007D5B63">
      <w:pPr>
        <w:spacing w:after="0"/>
      </w:pPr>
      <w:r>
        <w:separator/>
      </w:r>
    </w:p>
  </w:endnote>
  <w:endnote w:type="continuationSeparator" w:id="0">
    <w:p w14:paraId="58AEA728" w14:textId="77777777" w:rsidR="007D5B63" w:rsidRDefault="007D5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Arial"/>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667AD">
      <w:rPr>
        <w:b/>
        <w:bCs/>
        <w:noProof/>
        <w:sz w:val="24"/>
        <w:szCs w:val="24"/>
      </w:rPr>
      <w:t>94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4667AD">
      <w:rPr>
        <w:b/>
        <w:bCs/>
        <w:noProof/>
        <w:sz w:val="24"/>
        <w:szCs w:val="24"/>
      </w:rPr>
      <w:t>121</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462B" w14:textId="77777777" w:rsidR="007D5B63" w:rsidRDefault="007D5B63">
      <w:pPr>
        <w:spacing w:after="0"/>
      </w:pPr>
      <w:r>
        <w:separator/>
      </w:r>
    </w:p>
  </w:footnote>
  <w:footnote w:type="continuationSeparator" w:id="0">
    <w:p w14:paraId="0D17FAEB" w14:textId="77777777" w:rsidR="007D5B63" w:rsidRDefault="007D5B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22202274">
    <w:abstractNumId w:val="38"/>
  </w:num>
  <w:num w:numId="2" w16cid:durableId="145243392">
    <w:abstractNumId w:val="11"/>
  </w:num>
  <w:num w:numId="3" w16cid:durableId="1520847583">
    <w:abstractNumId w:val="12"/>
  </w:num>
  <w:num w:numId="4" w16cid:durableId="2360703">
    <w:abstractNumId w:val="40"/>
  </w:num>
  <w:num w:numId="5" w16cid:durableId="689524388">
    <w:abstractNumId w:val="6"/>
  </w:num>
  <w:num w:numId="6" w16cid:durableId="1446533073">
    <w:abstractNumId w:val="54"/>
  </w:num>
  <w:num w:numId="7" w16cid:durableId="1025057954">
    <w:abstractNumId w:val="34"/>
  </w:num>
  <w:num w:numId="8" w16cid:durableId="377819834">
    <w:abstractNumId w:val="13"/>
  </w:num>
  <w:num w:numId="9" w16cid:durableId="2139911734">
    <w:abstractNumId w:val="55"/>
  </w:num>
  <w:num w:numId="10" w16cid:durableId="473983699">
    <w:abstractNumId w:val="15"/>
  </w:num>
  <w:num w:numId="11" w16cid:durableId="1728215010">
    <w:abstractNumId w:val="29"/>
  </w:num>
  <w:num w:numId="12" w16cid:durableId="666054419">
    <w:abstractNumId w:val="46"/>
  </w:num>
  <w:num w:numId="13" w16cid:durableId="1379473847">
    <w:abstractNumId w:val="4"/>
  </w:num>
  <w:num w:numId="14" w16cid:durableId="2014524385">
    <w:abstractNumId w:val="36"/>
  </w:num>
  <w:num w:numId="15" w16cid:durableId="528495581">
    <w:abstractNumId w:val="32"/>
  </w:num>
  <w:num w:numId="16" w16cid:durableId="1423647684">
    <w:abstractNumId w:val="14"/>
  </w:num>
  <w:num w:numId="17" w16cid:durableId="1012607184">
    <w:abstractNumId w:val="28"/>
  </w:num>
  <w:num w:numId="18" w16cid:durableId="1642493703">
    <w:abstractNumId w:val="52"/>
  </w:num>
  <w:num w:numId="19" w16cid:durableId="563490348">
    <w:abstractNumId w:val="23"/>
  </w:num>
  <w:num w:numId="20" w16cid:durableId="6178453">
    <w:abstractNumId w:val="18"/>
  </w:num>
  <w:num w:numId="21" w16cid:durableId="975185444">
    <w:abstractNumId w:val="56"/>
  </w:num>
  <w:num w:numId="22" w16cid:durableId="2042242200">
    <w:abstractNumId w:val="16"/>
  </w:num>
  <w:num w:numId="23" w16cid:durableId="630089802">
    <w:abstractNumId w:val="53"/>
  </w:num>
  <w:num w:numId="24" w16cid:durableId="173232760">
    <w:abstractNumId w:val="47"/>
  </w:num>
  <w:num w:numId="25" w16cid:durableId="53745265">
    <w:abstractNumId w:val="57"/>
  </w:num>
  <w:num w:numId="26" w16cid:durableId="661276829">
    <w:abstractNumId w:val="27"/>
  </w:num>
  <w:num w:numId="27" w16cid:durableId="1267806510">
    <w:abstractNumId w:val="33"/>
  </w:num>
  <w:num w:numId="28" w16cid:durableId="1873613123">
    <w:abstractNumId w:val="24"/>
  </w:num>
  <w:num w:numId="29" w16cid:durableId="939072786">
    <w:abstractNumId w:val="48"/>
  </w:num>
  <w:num w:numId="30" w16cid:durableId="764031668">
    <w:abstractNumId w:val="31"/>
  </w:num>
  <w:num w:numId="31" w16cid:durableId="1536389806">
    <w:abstractNumId w:val="7"/>
  </w:num>
  <w:num w:numId="32" w16cid:durableId="1393655511">
    <w:abstractNumId w:val="17"/>
  </w:num>
  <w:num w:numId="33" w16cid:durableId="2117744766">
    <w:abstractNumId w:val="19"/>
  </w:num>
  <w:num w:numId="34" w16cid:durableId="1428237470">
    <w:abstractNumId w:val="43"/>
  </w:num>
  <w:num w:numId="35" w16cid:durableId="1469741337">
    <w:abstractNumId w:val="5"/>
  </w:num>
  <w:num w:numId="36" w16cid:durableId="1461067240">
    <w:abstractNumId w:val="21"/>
  </w:num>
  <w:num w:numId="37" w16cid:durableId="1502967900">
    <w:abstractNumId w:val="41"/>
  </w:num>
  <w:num w:numId="38" w16cid:durableId="2054113520">
    <w:abstractNumId w:val="1"/>
  </w:num>
  <w:num w:numId="39" w16cid:durableId="2088577757">
    <w:abstractNumId w:val="39"/>
  </w:num>
  <w:num w:numId="40" w16cid:durableId="884760019">
    <w:abstractNumId w:val="10"/>
  </w:num>
  <w:num w:numId="41" w16cid:durableId="944576874">
    <w:abstractNumId w:val="37"/>
  </w:num>
  <w:num w:numId="42" w16cid:durableId="24408926">
    <w:abstractNumId w:val="49"/>
  </w:num>
  <w:num w:numId="43" w16cid:durableId="1623420262">
    <w:abstractNumId w:val="8"/>
  </w:num>
  <w:num w:numId="44" w16cid:durableId="830414751">
    <w:abstractNumId w:val="35"/>
  </w:num>
  <w:num w:numId="45" w16cid:durableId="285235580">
    <w:abstractNumId w:val="22"/>
  </w:num>
  <w:num w:numId="46" w16cid:durableId="385686839">
    <w:abstractNumId w:val="25"/>
  </w:num>
  <w:num w:numId="47" w16cid:durableId="511994109">
    <w:abstractNumId w:val="45"/>
  </w:num>
  <w:num w:numId="48" w16cid:durableId="410584191">
    <w:abstractNumId w:val="20"/>
  </w:num>
  <w:num w:numId="49" w16cid:durableId="1882940779">
    <w:abstractNumId w:val="3"/>
  </w:num>
  <w:num w:numId="50" w16cid:durableId="314992146">
    <w:abstractNumId w:val="44"/>
  </w:num>
  <w:num w:numId="51" w16cid:durableId="1475639427">
    <w:abstractNumId w:val="26"/>
  </w:num>
  <w:num w:numId="52" w16cid:durableId="565727101">
    <w:abstractNumId w:val="9"/>
  </w:num>
  <w:num w:numId="53" w16cid:durableId="887883106">
    <w:abstractNumId w:val="30"/>
  </w:num>
  <w:num w:numId="54" w16cid:durableId="1804078115">
    <w:abstractNumId w:val="50"/>
  </w:num>
  <w:num w:numId="55" w16cid:durableId="1036079787">
    <w:abstractNumId w:val="2"/>
  </w:num>
  <w:num w:numId="56" w16cid:durableId="1543665968">
    <w:abstractNumId w:val="0"/>
  </w:num>
  <w:num w:numId="57" w16cid:durableId="908660535">
    <w:abstractNumId w:val="51"/>
  </w:num>
  <w:num w:numId="58" w16cid:durableId="1735808176">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7748"/>
    <w:rsid w:val="001C1DCF"/>
    <w:rsid w:val="001D1F7A"/>
    <w:rsid w:val="001D6B20"/>
    <w:rsid w:val="001E6293"/>
    <w:rsid w:val="001E72C0"/>
    <w:rsid w:val="001F0254"/>
    <w:rsid w:val="001F1B22"/>
    <w:rsid w:val="0020165E"/>
    <w:rsid w:val="00202F3D"/>
    <w:rsid w:val="00207F05"/>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4139C"/>
    <w:rsid w:val="00444534"/>
    <w:rsid w:val="004476BA"/>
    <w:rsid w:val="004534DC"/>
    <w:rsid w:val="00461EBF"/>
    <w:rsid w:val="004624A0"/>
    <w:rsid w:val="0046452F"/>
    <w:rsid w:val="004667AD"/>
    <w:rsid w:val="004754D8"/>
    <w:rsid w:val="004818D3"/>
    <w:rsid w:val="0048198A"/>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BFA"/>
    <w:rsid w:val="00512DA8"/>
    <w:rsid w:val="005211C6"/>
    <w:rsid w:val="0052184A"/>
    <w:rsid w:val="005254DB"/>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F0079"/>
    <w:rsid w:val="005F09EE"/>
    <w:rsid w:val="005F5919"/>
    <w:rsid w:val="005F596D"/>
    <w:rsid w:val="00600CF5"/>
    <w:rsid w:val="00610087"/>
    <w:rsid w:val="00613F29"/>
    <w:rsid w:val="00616C2A"/>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1928"/>
    <w:rsid w:val="00734965"/>
    <w:rsid w:val="00737A84"/>
    <w:rsid w:val="007443F7"/>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D6BEA"/>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122D"/>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5E23"/>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D3A44-0306-4A3E-83E6-735ECC06AAE4}">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122</Pages>
  <Words>38167</Words>
  <Characters>217558</Characters>
  <Application>Microsoft Office Word</Application>
  <DocSecurity>0</DocSecurity>
  <Lines>1812</Lines>
  <Paragraphs>510</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255215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Gabi Sarkis</cp:lastModifiedBy>
  <cp:revision>41</cp:revision>
  <dcterms:created xsi:type="dcterms:W3CDTF">2023-04-24T09:27:00Z</dcterms:created>
  <dcterms:modified xsi:type="dcterms:W3CDTF">2023-04-24T14:06:00Z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