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lastRenderedPageBreak/>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lastRenderedPageBreak/>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195434" w14:paraId="7AAE43D6" w14:textId="77777777" w:rsidTr="001011F8">
        <w:tc>
          <w:tcPr>
            <w:tcW w:w="1555" w:type="dxa"/>
          </w:tcPr>
          <w:p w14:paraId="1DF00C15" w14:textId="77777777" w:rsidR="00195434" w:rsidRDefault="00195434" w:rsidP="00195434">
            <w:pPr>
              <w:pStyle w:val="0Maintext"/>
              <w:spacing w:after="0" w:afterAutospacing="0"/>
              <w:ind w:firstLine="0"/>
            </w:pPr>
          </w:p>
        </w:tc>
        <w:tc>
          <w:tcPr>
            <w:tcW w:w="1559" w:type="dxa"/>
          </w:tcPr>
          <w:p w14:paraId="2C09D11A" w14:textId="77777777" w:rsidR="00195434" w:rsidRDefault="00195434" w:rsidP="00195434">
            <w:pPr>
              <w:pStyle w:val="0Maintext"/>
              <w:spacing w:after="0" w:afterAutospacing="0"/>
              <w:ind w:firstLine="0"/>
            </w:pPr>
          </w:p>
        </w:tc>
        <w:tc>
          <w:tcPr>
            <w:tcW w:w="6520" w:type="dxa"/>
          </w:tcPr>
          <w:p w14:paraId="1D0C448B" w14:textId="7D43C5D7" w:rsidR="00195434" w:rsidRDefault="00195434" w:rsidP="00195434">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lastRenderedPageBreak/>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lastRenderedPageBreak/>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lastRenderedPageBreak/>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w:t>
      </w:r>
      <w:r>
        <w:rPr>
          <w:rFonts w:ascii="Calibri" w:hAnsi="Calibri" w:cs="Calibri"/>
          <w:color w:val="000000" w:themeColor="text1"/>
          <w:sz w:val="22"/>
        </w:rPr>
        <w:lastRenderedPageBreak/>
        <w:t xml:space="preserve">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2" w:name="_Toc19796380"/>
                  <w:bookmarkStart w:id="13" w:name="_Toc26459606"/>
                  <w:bookmarkStart w:id="14" w:name="_Toc29230250"/>
                  <w:bookmarkStart w:id="15" w:name="_Toc36026509"/>
                  <w:bookmarkStart w:id="16" w:name="_Toc45107348"/>
                  <w:bookmarkStart w:id="17" w:name="_Toc51774017"/>
                  <w:bookmarkStart w:id="18" w:name="_Toc106014706"/>
                  <w:r w:rsidRPr="00400A1B">
                    <w:rPr>
                      <w:rFonts w:ascii="Arial" w:eastAsia="Malgun Gothic" w:hAnsi="Arial"/>
                      <w:sz w:val="28"/>
                    </w:rPr>
                    <w:t>4.3.2</w:t>
                  </w:r>
                  <w:r w:rsidRPr="00400A1B">
                    <w:rPr>
                      <w:rFonts w:ascii="Arial" w:eastAsia="Malgun Gothic" w:hAnsi="Arial"/>
                      <w:sz w:val="28"/>
                    </w:rPr>
                    <w:tab/>
                    <w:t>Slots</w:t>
                  </w:r>
                  <w:bookmarkEnd w:id="12"/>
                  <w:bookmarkEnd w:id="13"/>
                  <w:bookmarkEnd w:id="14"/>
                  <w:bookmarkEnd w:id="15"/>
                  <w:bookmarkEnd w:id="16"/>
                  <w:bookmarkEnd w:id="17"/>
                  <w:bookmarkEnd w:id="18"/>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19" w:name="_Toc11324437"/>
                  <w:bookmarkStart w:id="20" w:name="_Toc29230431"/>
                  <w:bookmarkStart w:id="21" w:name="_Toc36026690"/>
                  <w:bookmarkStart w:id="22" w:name="_Toc45107529"/>
                  <w:bookmarkStart w:id="23" w:name="_Toc51774198"/>
                  <w:bookmarkStart w:id="24" w:name="_Toc106014889"/>
                  <w:r w:rsidRPr="009445DC">
                    <w:rPr>
                      <w:rFonts w:ascii="Arial" w:eastAsia="Malgun Gothic" w:hAnsi="Arial"/>
                      <w:sz w:val="24"/>
                    </w:rPr>
                    <w:t>8.2.3.2</w:t>
                  </w:r>
                  <w:r w:rsidRPr="009445DC">
                    <w:rPr>
                      <w:rFonts w:ascii="Arial" w:eastAsia="Malgun Gothic" w:hAnsi="Arial"/>
                      <w:sz w:val="24"/>
                    </w:rPr>
                    <w:tab/>
                    <w:t>Slots</w:t>
                  </w:r>
                  <w:bookmarkEnd w:id="19"/>
                  <w:bookmarkEnd w:id="20"/>
                  <w:bookmarkEnd w:id="21"/>
                  <w:bookmarkEnd w:id="22"/>
                  <w:bookmarkEnd w:id="23"/>
                  <w:bookmarkEnd w:id="24"/>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4F332E" w14:paraId="2DFFCA07" w14:textId="77777777" w:rsidTr="00F87D82">
        <w:tc>
          <w:tcPr>
            <w:tcW w:w="1555" w:type="dxa"/>
          </w:tcPr>
          <w:p w14:paraId="7D126AE1" w14:textId="77777777" w:rsidR="004F332E" w:rsidRPr="00F87D82" w:rsidRDefault="004F332E" w:rsidP="004F332E">
            <w:pPr>
              <w:pStyle w:val="0Maintext"/>
              <w:spacing w:after="0" w:afterAutospacing="0"/>
              <w:ind w:firstLine="0"/>
              <w:rPr>
                <w:rFonts w:ascii="Arial" w:hAnsi="Arial" w:cs="Arial"/>
              </w:rPr>
            </w:pPr>
          </w:p>
        </w:tc>
        <w:tc>
          <w:tcPr>
            <w:tcW w:w="1275" w:type="dxa"/>
          </w:tcPr>
          <w:p w14:paraId="469B330C"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B023032" w14:textId="77777777" w:rsidR="004F332E" w:rsidRPr="00F87D82" w:rsidRDefault="004F332E" w:rsidP="004F332E">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lastRenderedPageBreak/>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lastRenderedPageBreak/>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 xml:space="preserve">/gNB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lastRenderedPageBreak/>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lastRenderedPageBreak/>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lang w:val="en-SE"/>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lang w:val="en-SE"/>
              </w:rPr>
            </w:pPr>
            <w:r>
              <w:rPr>
                <w:rFonts w:ascii="Arial" w:hAnsi="Arial" w:cs="Arial"/>
                <w:lang w:val="en-US"/>
              </w:rPr>
              <w:t>I</w:t>
            </w:r>
            <w:r>
              <w:rPr>
                <w:rFonts w:ascii="Arial" w:hAnsi="Arial" w:cs="Arial"/>
                <w:lang w:val="en-SE"/>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5" w:name="_Hlk132340696"/>
      <w:r w:rsidRPr="003B74DC">
        <w:rPr>
          <w:rFonts w:ascii="Calibri" w:hAnsi="Calibri" w:cs="Calibri"/>
          <w:sz w:val="22"/>
          <w:lang w:val="en-US"/>
        </w:rPr>
        <w:t>the first slot where at least one PSSCH with ACK/NACK HARQ-ACK enabled is transmitted</w:t>
      </w:r>
      <w:bookmarkEnd w:id="25"/>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w:t>
            </w:r>
            <w:r w:rsidRPr="00E42D85">
              <w:rPr>
                <w:lang w:eastAsia="ko-KR"/>
              </w:rPr>
              <w:lastRenderedPageBreak/>
              <w:t>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lastRenderedPageBreak/>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rPr>
                <w:lang w:val="en-SE"/>
              </w:rPr>
              <w:t>The first slot seems enough. There is no need to introduce optimizations w</w:t>
            </w:r>
            <w:proofErr w:type="spellStart"/>
            <w:r w:rsidR="009B6E25">
              <w:rPr>
                <w:lang w:val="en-US"/>
              </w:rPr>
              <w:t>ith</w:t>
            </w:r>
            <w:proofErr w:type="spellEnd"/>
            <w:r w:rsidR="009B6E25">
              <w:rPr>
                <w:lang w:val="en-US"/>
              </w:rPr>
              <w:t xml:space="preserve"> respect to</w:t>
            </w:r>
            <w:r>
              <w:rPr>
                <w:lang w:val="en-SE"/>
              </w:rPr>
              <w:t xml:space="preserve"> NR-U.</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lastRenderedPageBreak/>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rPr>
                <w:lang w:val="en-SE"/>
              </w:rPr>
              <w:t>The use of SL transmissions without HARQ-ACK should be avoided except for S-SSB</w:t>
            </w:r>
            <w:r w:rsidR="00336641">
              <w:rPr>
                <w:lang w:val="en-US"/>
              </w:rPr>
              <w:t>,</w:t>
            </w:r>
            <w:r>
              <w:rPr>
                <w:lang w:val="en-SE"/>
              </w:rPr>
              <w:t xml:space="preserve"> etc.</w:t>
            </w: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F579D3" w14:paraId="716B16A0" w14:textId="77777777" w:rsidTr="00FC22CB">
        <w:tc>
          <w:tcPr>
            <w:tcW w:w="1555" w:type="dxa"/>
          </w:tcPr>
          <w:p w14:paraId="338238E2" w14:textId="77777777" w:rsidR="00F579D3" w:rsidRDefault="00F579D3" w:rsidP="00F579D3">
            <w:pPr>
              <w:pStyle w:val="0Maintext"/>
              <w:spacing w:after="0" w:afterAutospacing="0"/>
              <w:ind w:firstLine="0"/>
            </w:pPr>
          </w:p>
        </w:tc>
        <w:tc>
          <w:tcPr>
            <w:tcW w:w="8079" w:type="dxa"/>
          </w:tcPr>
          <w:p w14:paraId="428B3488" w14:textId="77777777" w:rsidR="00F579D3" w:rsidRDefault="00F579D3" w:rsidP="00F579D3">
            <w:pPr>
              <w:pStyle w:val="0Maintext"/>
              <w:spacing w:after="0" w:afterAutospacing="0"/>
              <w:ind w:firstLine="0"/>
            </w:pPr>
          </w:p>
        </w:tc>
      </w:tr>
      <w:tr w:rsidR="00F579D3" w14:paraId="35C0D4BD" w14:textId="77777777" w:rsidTr="00FC22CB">
        <w:tc>
          <w:tcPr>
            <w:tcW w:w="1555" w:type="dxa"/>
          </w:tcPr>
          <w:p w14:paraId="344FF46F" w14:textId="77777777" w:rsidR="00F579D3" w:rsidRDefault="00F579D3" w:rsidP="00F579D3">
            <w:pPr>
              <w:pStyle w:val="0Maintext"/>
              <w:spacing w:after="0" w:afterAutospacing="0"/>
              <w:ind w:firstLine="0"/>
            </w:pPr>
          </w:p>
        </w:tc>
        <w:tc>
          <w:tcPr>
            <w:tcW w:w="8079" w:type="dxa"/>
          </w:tcPr>
          <w:p w14:paraId="7755E861" w14:textId="77777777" w:rsidR="00F579D3" w:rsidRDefault="00F579D3" w:rsidP="00F579D3">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CA12C5" w14:paraId="064F2B6C" w14:textId="77777777" w:rsidTr="007B6C30">
        <w:tc>
          <w:tcPr>
            <w:tcW w:w="1555" w:type="dxa"/>
          </w:tcPr>
          <w:p w14:paraId="54851140" w14:textId="77777777" w:rsidR="00CA12C5" w:rsidRDefault="00CA12C5" w:rsidP="00CA12C5">
            <w:pPr>
              <w:pStyle w:val="0Maintext"/>
              <w:spacing w:after="0" w:afterAutospacing="0"/>
              <w:ind w:firstLine="0"/>
            </w:pPr>
          </w:p>
        </w:tc>
        <w:tc>
          <w:tcPr>
            <w:tcW w:w="992" w:type="dxa"/>
          </w:tcPr>
          <w:p w14:paraId="0FF39FD1" w14:textId="77777777" w:rsidR="00CA12C5" w:rsidRDefault="00CA12C5" w:rsidP="00CA12C5">
            <w:pPr>
              <w:pStyle w:val="0Maintext"/>
              <w:spacing w:after="0" w:afterAutospacing="0"/>
              <w:ind w:firstLine="0"/>
            </w:pPr>
          </w:p>
        </w:tc>
        <w:tc>
          <w:tcPr>
            <w:tcW w:w="7087" w:type="dxa"/>
          </w:tcPr>
          <w:p w14:paraId="1046C70E" w14:textId="77777777" w:rsidR="00CA12C5" w:rsidRDefault="00CA12C5" w:rsidP="00CA12C5">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lastRenderedPageBreak/>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26" w:name="_Hlk128588531"/>
            <w:r>
              <w:rPr>
                <w:rFonts w:ascii="Times New Roman" w:hAnsi="Times New Roman"/>
                <w:szCs w:val="20"/>
              </w:rPr>
              <w:t>When the responding UE uses the shared COT for its transmission has an equal or smaller CAPC value than the CAPC value indicated in a shared COT information</w:t>
            </w:r>
            <w:bookmarkEnd w:id="26"/>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lastRenderedPageBreak/>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lastRenderedPageBreak/>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lastRenderedPageBreak/>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ED75F6" w14:paraId="0F1CE2C3" w14:textId="77777777" w:rsidTr="00F579D3">
        <w:tc>
          <w:tcPr>
            <w:tcW w:w="1555" w:type="dxa"/>
          </w:tcPr>
          <w:p w14:paraId="48114769" w14:textId="77777777" w:rsidR="00ED75F6" w:rsidRDefault="00ED75F6" w:rsidP="00ED75F6">
            <w:pPr>
              <w:pStyle w:val="0Maintext"/>
              <w:spacing w:after="0" w:afterAutospacing="0"/>
              <w:ind w:firstLine="0"/>
            </w:pPr>
          </w:p>
        </w:tc>
        <w:tc>
          <w:tcPr>
            <w:tcW w:w="1417" w:type="dxa"/>
          </w:tcPr>
          <w:p w14:paraId="59ED700B" w14:textId="77777777" w:rsidR="00ED75F6" w:rsidRDefault="00ED75F6" w:rsidP="00ED75F6">
            <w:pPr>
              <w:pStyle w:val="0Maintext"/>
              <w:spacing w:after="0" w:afterAutospacing="0"/>
              <w:ind w:firstLine="0"/>
            </w:pPr>
          </w:p>
        </w:tc>
        <w:tc>
          <w:tcPr>
            <w:tcW w:w="6662" w:type="dxa"/>
          </w:tcPr>
          <w:p w14:paraId="04F03B3A" w14:textId="77777777" w:rsidR="00ED75F6" w:rsidRDefault="00ED75F6" w:rsidP="00ED75F6">
            <w:pPr>
              <w:pStyle w:val="0Maintext"/>
              <w:spacing w:after="0" w:afterAutospacing="0"/>
              <w:ind w:firstLine="0"/>
            </w:pP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rPr>
                <w:lang w:val="en-SE"/>
              </w:rPr>
              <w:t>For Option A, it is clear that the same R</w:t>
            </w:r>
            <w:proofErr w:type="spellStart"/>
            <w:r w:rsidR="009B6BA4">
              <w:rPr>
                <w:lang w:val="en-US"/>
              </w:rPr>
              <w:t>el</w:t>
            </w:r>
            <w:proofErr w:type="spellEnd"/>
            <w:r w:rsidR="009B6BA4">
              <w:rPr>
                <w:lang w:val="en-US"/>
              </w:rPr>
              <w:t>-</w:t>
            </w:r>
            <w:r>
              <w:rPr>
                <w:lang w:val="en-SE"/>
              </w:rPr>
              <w:t>16 procedure for RSRP calculation cannot be used as it consists of multiple RSRP values.</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w:t>
      </w:r>
      <w:proofErr w:type="gramStart"/>
      <w:r w:rsidR="00E35A16">
        <w:rPr>
          <w:rFonts w:ascii="Calibri" w:hAnsi="Calibri" w:cs="Calibri"/>
          <w:sz w:val="22"/>
          <w:lang w:val="en-US" w:eastAsia="x-none"/>
        </w:rPr>
        <w:t>is able to</w:t>
      </w:r>
      <w:proofErr w:type="gramEnd"/>
      <w:r w:rsidR="00E35A16">
        <w:rPr>
          <w:rFonts w:ascii="Calibri" w:hAnsi="Calibri" w:cs="Calibri"/>
          <w:sz w:val="22"/>
          <w:lang w:val="en-US" w:eastAsia="x-none"/>
        </w:rPr>
        <w:t xml:space="preserve">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w:t>
      </w:r>
      <w:proofErr w:type="gramStart"/>
      <w:r>
        <w:rPr>
          <w:rFonts w:ascii="Calibri" w:hAnsi="Calibri" w:cs="Calibri"/>
          <w:sz w:val="22"/>
          <w:lang w:val="en-US" w:eastAsia="x-none"/>
        </w:rPr>
        <w:t>is able to</w:t>
      </w:r>
      <w:proofErr w:type="gramEnd"/>
      <w:r>
        <w:rPr>
          <w:rFonts w:ascii="Calibri" w:hAnsi="Calibri" w:cs="Calibri"/>
          <w:sz w:val="22"/>
          <w:lang w:val="en-US" w:eastAsia="x-none"/>
        </w:rPr>
        <w:t xml:space="preserve">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lastRenderedPageBreak/>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rPr>
                <w:lang w:val="en-SE"/>
              </w:rPr>
            </w:pPr>
            <w:r>
              <w:rPr>
                <w:lang w:val="en-SE"/>
              </w:rPr>
              <w:t>We think that:</w:t>
            </w:r>
          </w:p>
          <w:p w14:paraId="722A1B1E" w14:textId="77777777" w:rsidR="008E522B" w:rsidRDefault="008E522B" w:rsidP="008E522B">
            <w:pPr>
              <w:pStyle w:val="0Maintext"/>
              <w:numPr>
                <w:ilvl w:val="0"/>
                <w:numId w:val="44"/>
              </w:numPr>
              <w:spacing w:after="0" w:afterAutospacing="0"/>
              <w:rPr>
                <w:lang w:val="en-SE"/>
              </w:rPr>
            </w:pPr>
            <w:r>
              <w:rPr>
                <w:lang w:val="en-SE"/>
              </w:rP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rPr>
                <w:lang w:val="en-SE"/>
              </w:rPr>
            </w:pPr>
            <w:r w:rsidRPr="008E522B">
              <w:rPr>
                <w:lang w:val="en-SE"/>
              </w:rPr>
              <w:t>The GP should be respected when the UE intends to finish a transmission in one slot. That should give some chance to other UEs to clear LBT.</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rPr>
                <w:lang w:val="en-SE"/>
              </w:rPr>
              <w:t>There is no concern, but it may be good to explicitly agree that “</w:t>
            </w:r>
            <w:r w:rsidRPr="00C71AA2">
              <w:rPr>
                <w:lang w:val="en-SE"/>
              </w:rPr>
              <w:t>The LBT failure situation is regarded as equivalent to the resource (re)selection trigger by the re-evaluation or pre-emption of the resources according to the existing (Rel-16/17) procedures</w:t>
            </w:r>
            <w:r>
              <w:rPr>
                <w:lang w:val="en-SE"/>
              </w:rPr>
              <w:t>” and indicate it to RAN2.</w:t>
            </w:r>
          </w:p>
        </w:tc>
      </w:tr>
      <w:tr w:rsidR="00DE2743" w14:paraId="2CA08B1F" w14:textId="77777777" w:rsidTr="00F579D3">
        <w:tc>
          <w:tcPr>
            <w:tcW w:w="1555" w:type="dxa"/>
          </w:tcPr>
          <w:p w14:paraId="2FEBF4F4" w14:textId="77777777" w:rsidR="00DE2743" w:rsidRDefault="00DE2743" w:rsidP="00DE2743">
            <w:pPr>
              <w:pStyle w:val="0Maintext"/>
              <w:spacing w:after="0" w:afterAutospacing="0"/>
              <w:ind w:firstLine="0"/>
            </w:pPr>
          </w:p>
        </w:tc>
        <w:tc>
          <w:tcPr>
            <w:tcW w:w="8076" w:type="dxa"/>
          </w:tcPr>
          <w:p w14:paraId="0A20EFEA" w14:textId="77777777" w:rsidR="00DE2743" w:rsidRDefault="00DE2743" w:rsidP="00DE2743">
            <w:pPr>
              <w:pStyle w:val="0Maintext"/>
              <w:spacing w:after="0" w:afterAutospacing="0"/>
              <w:ind w:firstLine="0"/>
            </w:pPr>
          </w:p>
        </w:tc>
      </w:tr>
      <w:tr w:rsidR="00DE2743" w14:paraId="36AD5F91" w14:textId="77777777" w:rsidTr="00F579D3">
        <w:tc>
          <w:tcPr>
            <w:tcW w:w="1555" w:type="dxa"/>
          </w:tcPr>
          <w:p w14:paraId="2605F70F" w14:textId="77777777" w:rsidR="00DE2743" w:rsidRDefault="00DE2743" w:rsidP="00DE2743">
            <w:pPr>
              <w:pStyle w:val="0Maintext"/>
              <w:spacing w:after="0" w:afterAutospacing="0"/>
              <w:ind w:firstLine="0"/>
            </w:pPr>
          </w:p>
        </w:tc>
        <w:tc>
          <w:tcPr>
            <w:tcW w:w="8076" w:type="dxa"/>
          </w:tcPr>
          <w:p w14:paraId="4DE3C946" w14:textId="77777777" w:rsidR="00DE2743" w:rsidRDefault="00DE2743" w:rsidP="00DE2743">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w:t>
      </w:r>
      <w:r w:rsidRPr="0018284E">
        <w:rPr>
          <w:color w:val="000000" w:themeColor="text1"/>
        </w:rPr>
        <w:lastRenderedPageBreak/>
        <w:t>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lastRenderedPageBreak/>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CA12C5" w14:paraId="244F2537" w14:textId="77777777" w:rsidTr="00F579D3">
        <w:tc>
          <w:tcPr>
            <w:tcW w:w="1555" w:type="dxa"/>
          </w:tcPr>
          <w:p w14:paraId="1D2A3CDD" w14:textId="77777777" w:rsidR="00CA12C5" w:rsidRDefault="00CA12C5" w:rsidP="00CA12C5">
            <w:pPr>
              <w:pStyle w:val="0Maintext"/>
              <w:spacing w:after="0" w:afterAutospacing="0"/>
              <w:ind w:firstLine="0"/>
            </w:pPr>
          </w:p>
        </w:tc>
        <w:tc>
          <w:tcPr>
            <w:tcW w:w="8076" w:type="dxa"/>
          </w:tcPr>
          <w:p w14:paraId="786DB895" w14:textId="77777777" w:rsidR="00CA12C5" w:rsidRDefault="00CA12C5" w:rsidP="00CA12C5">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27" w:name="_Hlk132635540"/>
      <w:r w:rsidRPr="00CE1F38">
        <w:rPr>
          <w:rFonts w:asciiTheme="minorHAnsi" w:hAnsiTheme="minorHAnsi" w:cstheme="minorHAnsi"/>
          <w:sz w:val="22"/>
          <w:szCs w:val="28"/>
        </w:rPr>
        <w:t>shall be equal to or less than 50</w:t>
      </w:r>
      <w:bookmarkEnd w:id="27"/>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28"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28"/>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w:lastRenderedPageBreak/>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lastRenderedPageBreak/>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lastRenderedPageBreak/>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w:t>
      </w:r>
      <w:r w:rsidRPr="002230C3">
        <w:rPr>
          <w:rFonts w:asciiTheme="minorHAnsi" w:hAnsiTheme="minorHAnsi" w:cstheme="minorHAnsi"/>
          <w:color w:val="000000"/>
          <w:sz w:val="22"/>
        </w:rPr>
        <w:lastRenderedPageBreak/>
        <w:t xml:space="preserve">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lastRenderedPageBreak/>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lastRenderedPageBreak/>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lastRenderedPageBreak/>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lastRenderedPageBreak/>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29" w:name="_Toc118727818"/>
    </w:p>
    <w:bookmarkEnd w:id="29"/>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lastRenderedPageBreak/>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lastRenderedPageBreak/>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TB</w:t>
      </w:r>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0" w:name="_Toc111113878"/>
      <w:bookmarkStart w:id="31" w:name="_Toc115451911"/>
      <w:r w:rsidRPr="005715A8">
        <w:rPr>
          <w:rFonts w:asciiTheme="minorHAnsi" w:hAnsiTheme="minorHAnsi" w:cstheme="minorHAnsi"/>
          <w:color w:val="000000" w:themeColor="text1"/>
          <w:sz w:val="22"/>
          <w:szCs w:val="22"/>
        </w:rPr>
        <w:lastRenderedPageBreak/>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2"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32"/>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33"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33"/>
    </w:p>
    <w:bookmarkEnd w:id="30"/>
    <w:bookmarkEnd w:id="31"/>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regarding</w:t>
      </w:r>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lastRenderedPageBreak/>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lastRenderedPageBreak/>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Discussion on channel access mechanism for sidelink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t>Sidelink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Discussion on channel access mechanism for sidelink-unlicensed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t>CableLabs</w:t>
      </w:r>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Discussion of channel access mechanism for sidelink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NR Sidelink Unlicensed Channel Access Mechanisms</w:t>
      </w:r>
      <w:r w:rsidR="00CB2AAE" w:rsidRPr="00D26A16">
        <w:tab/>
      </w:r>
      <w:bookmarkStart w:id="34" w:name="_Hlk132305463"/>
      <w:r w:rsidR="00CB2AAE" w:rsidRPr="00D26A16">
        <w:t xml:space="preserve">Fraunhofer </w:t>
      </w:r>
      <w:bookmarkEnd w:id="34"/>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DE2743"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0"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1"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2"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3"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4"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lastRenderedPageBreak/>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lastRenderedPageBreak/>
        <w:t>It is up to each company to use either Option 1 or 2 or Option 3 or mixed of them</w:t>
      </w:r>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how to determine a SL UE is a target receiver</w:t>
      </w:r>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lastRenderedPageBreak/>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ListParagraph"/>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lastRenderedPageBreak/>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2565" w14:textId="77777777" w:rsidR="00113F51" w:rsidRDefault="00113F51">
      <w:r>
        <w:separator/>
      </w:r>
    </w:p>
  </w:endnote>
  <w:endnote w:type="continuationSeparator" w:id="0">
    <w:p w14:paraId="3A27B586" w14:textId="77777777" w:rsidR="00113F51" w:rsidRDefault="0011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GothicE"/>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5A7C" w14:textId="77777777" w:rsidR="00113F51" w:rsidRDefault="00113F51">
      <w:r>
        <w:separator/>
      </w:r>
    </w:p>
  </w:footnote>
  <w:footnote w:type="continuationSeparator" w:id="0">
    <w:p w14:paraId="36E317D2" w14:textId="77777777" w:rsidR="00113F51" w:rsidRDefault="0011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4"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0"/>
  </w:num>
  <w:num w:numId="3" w16cid:durableId="649360841">
    <w:abstractNumId w:val="42"/>
  </w:num>
  <w:num w:numId="4" w16cid:durableId="1846433917">
    <w:abstractNumId w:val="41"/>
  </w:num>
  <w:num w:numId="5" w16cid:durableId="1338776699">
    <w:abstractNumId w:val="37"/>
  </w:num>
  <w:num w:numId="6" w16cid:durableId="918825719">
    <w:abstractNumId w:val="27"/>
  </w:num>
  <w:num w:numId="7" w16cid:durableId="1998529048">
    <w:abstractNumId w:val="12"/>
  </w:num>
  <w:num w:numId="8" w16cid:durableId="2119518310">
    <w:abstractNumId w:val="45"/>
  </w:num>
  <w:num w:numId="9" w16cid:durableId="737822676">
    <w:abstractNumId w:val="18"/>
  </w:num>
  <w:num w:numId="10" w16cid:durableId="1392969184">
    <w:abstractNumId w:val="38"/>
  </w:num>
  <w:num w:numId="11" w16cid:durableId="253243651">
    <w:abstractNumId w:val="25"/>
  </w:num>
  <w:num w:numId="12" w16cid:durableId="1763985560">
    <w:abstractNumId w:val="4"/>
  </w:num>
  <w:num w:numId="13" w16cid:durableId="1075011450">
    <w:abstractNumId w:val="19"/>
  </w:num>
  <w:num w:numId="14" w16cid:durableId="1606687511">
    <w:abstractNumId w:val="16"/>
  </w:num>
  <w:num w:numId="15" w16cid:durableId="1186821469">
    <w:abstractNumId w:val="2"/>
  </w:num>
  <w:num w:numId="16" w16cid:durableId="282926636">
    <w:abstractNumId w:val="5"/>
  </w:num>
  <w:num w:numId="17" w16cid:durableId="354113316">
    <w:abstractNumId w:val="28"/>
  </w:num>
  <w:num w:numId="18" w16cid:durableId="238829859">
    <w:abstractNumId w:val="9"/>
  </w:num>
  <w:num w:numId="19" w16cid:durableId="958149588">
    <w:abstractNumId w:val="23"/>
  </w:num>
  <w:num w:numId="20" w16cid:durableId="302932712">
    <w:abstractNumId w:val="22"/>
  </w:num>
  <w:num w:numId="21" w16cid:durableId="821771736">
    <w:abstractNumId w:val="17"/>
  </w:num>
  <w:num w:numId="22" w16cid:durableId="1720127878">
    <w:abstractNumId w:val="15"/>
  </w:num>
  <w:num w:numId="23" w16cid:durableId="1940215351">
    <w:abstractNumId w:val="10"/>
  </w:num>
  <w:num w:numId="24" w16cid:durableId="770585517">
    <w:abstractNumId w:val="21"/>
  </w:num>
  <w:num w:numId="25" w16cid:durableId="2023312380">
    <w:abstractNumId w:val="33"/>
  </w:num>
  <w:num w:numId="26" w16cid:durableId="115175089">
    <w:abstractNumId w:val="34"/>
  </w:num>
  <w:num w:numId="27" w16cid:durableId="372732473">
    <w:abstractNumId w:val="40"/>
  </w:num>
  <w:num w:numId="28" w16cid:durableId="85352287">
    <w:abstractNumId w:val="6"/>
  </w:num>
  <w:num w:numId="29" w16cid:durableId="1297495155">
    <w:abstractNumId w:val="26"/>
  </w:num>
  <w:num w:numId="30" w16cid:durableId="1451314040">
    <w:abstractNumId w:val="44"/>
  </w:num>
  <w:num w:numId="31" w16cid:durableId="1564951611">
    <w:abstractNumId w:val="43"/>
  </w:num>
  <w:num w:numId="32" w16cid:durableId="1988314871">
    <w:abstractNumId w:val="14"/>
  </w:num>
  <w:num w:numId="33" w16cid:durableId="1827432609">
    <w:abstractNumId w:val="24"/>
  </w:num>
  <w:num w:numId="34" w16cid:durableId="1312440311">
    <w:abstractNumId w:val="35"/>
  </w:num>
  <w:num w:numId="35" w16cid:durableId="533201549">
    <w:abstractNumId w:val="29"/>
  </w:num>
  <w:num w:numId="36" w16cid:durableId="1830095714">
    <w:abstractNumId w:val="31"/>
  </w:num>
  <w:num w:numId="37" w16cid:durableId="1123815153">
    <w:abstractNumId w:val="39"/>
  </w:num>
  <w:num w:numId="38" w16cid:durableId="1382946813">
    <w:abstractNumId w:val="20"/>
  </w:num>
  <w:num w:numId="39" w16cid:durableId="656498542">
    <w:abstractNumId w:val="32"/>
  </w:num>
  <w:num w:numId="40" w16cid:durableId="59333302">
    <w:abstractNumId w:val="8"/>
  </w:num>
  <w:num w:numId="41" w16cid:durableId="1187720841">
    <w:abstractNumId w:val="7"/>
  </w:num>
  <w:num w:numId="42" w16cid:durableId="2037467407">
    <w:abstractNumId w:val="11"/>
  </w:num>
  <w:num w:numId="43" w16cid:durableId="1583678958">
    <w:abstractNumId w:val="13"/>
  </w:num>
  <w:num w:numId="44" w16cid:durableId="1610045782">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urfulListAccent1"/>
    <w:uiPriority w:val="34"/>
    <w:locked/>
    <w:rsid w:val="00480C6A"/>
    <w:rPr>
      <w:rFonts w:eastAsia="MS Gothic"/>
      <w:sz w:val="24"/>
      <w:szCs w:val="24"/>
      <w:lang w:val="en-GB" w:eastAsia="en-US"/>
    </w:rPr>
  </w:style>
  <w:style w:type="table" w:styleId="Colou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 w:type="character" w:styleId="UnresolvedMention">
    <w:name w:val="Unresolved Mention"/>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16" Type="http://schemas.openxmlformats.org/officeDocument/2006/relationships/hyperlink" Target="file:///C:\3GPP\RAN1_Meetings\Tdocs\2023\R1-2302486.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ratheesh.kumar.mungara@ericsson.com" TargetMode="External"/><Relationship Id="rId75"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Tao.chen@mediatek.com" TargetMode="Externa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image" Target="media/image2.png"/><Relationship Id="rId7" Type="http://schemas.openxmlformats.org/officeDocument/2006/relationships/styles" Target="styles.xml"/><Relationship Id="rId71" Type="http://schemas.openxmlformats.org/officeDocument/2006/relationships/hyperlink" Target="mailto:ricardo.blasco@ericsson.com" TargetMode="External"/><Relationship Id="rId2" Type="http://schemas.openxmlformats.org/officeDocument/2006/relationships/customXml" Target="../customXml/item1.xml"/><Relationship Id="rId29" Type="http://schemas.openxmlformats.org/officeDocument/2006/relationships/hyperlink" Target="file:///C:\3GPP\RAN1_Meetings\Tdocs\2023\R1-23031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40</TotalTime>
  <Pages>68</Pages>
  <Words>30843</Words>
  <Characters>175806</Characters>
  <Application>Microsoft Office Word</Application>
  <DocSecurity>0</DocSecurity>
  <Lines>1465</Lines>
  <Paragraphs>412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206237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Ratheesh Kumar Mungara</cp:lastModifiedBy>
  <cp:revision>38</cp:revision>
  <cp:lastPrinted>2021-09-11T08:34:00Z</cp:lastPrinted>
  <dcterms:created xsi:type="dcterms:W3CDTF">2023-04-17T19:07:00Z</dcterms:created>
  <dcterms:modified xsi:type="dcterms:W3CDTF">2023-04-17T20:44:00Z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