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7418177"/>
    <w:p w14:paraId="399FA16A" w14:textId="77777777" w:rsidR="00A23602" w:rsidRDefault="00CF7ED7">
      <w:pPr>
        <w:pStyle w:val="Header"/>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Header"/>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Header"/>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Heading1"/>
      </w:pPr>
      <w:r>
        <w:t>1 Introduction</w:t>
      </w:r>
    </w:p>
    <w:p w14:paraId="539EA63B" w14:textId="77777777" w:rsidR="00A23602" w:rsidRDefault="00A23602">
      <w:pPr>
        <w:rPr>
          <w:rFonts w:eastAsia="等线"/>
        </w:rPr>
      </w:pPr>
      <w:bookmarkStart w:id="2" w:name="_Hlk510705081"/>
    </w:p>
    <w:p w14:paraId="085C1681" w14:textId="77777777" w:rsidR="00A23602" w:rsidRDefault="00CF7ED7">
      <w:pPr>
        <w:rPr>
          <w:rFonts w:eastAsia="等线"/>
        </w:rPr>
      </w:pPr>
      <w:r>
        <w:rPr>
          <w:rFonts w:eastAsia="等线"/>
        </w:rPr>
        <w:t>This document provides the summary of the following email discussion:</w:t>
      </w:r>
    </w:p>
    <w:p w14:paraId="4FD80A03" w14:textId="77777777" w:rsidR="00A23602" w:rsidRDefault="00CF7ED7">
      <w:pPr>
        <w:rPr>
          <w:rFonts w:ascii="Times" w:eastAsia="Batang" w:hAnsi="Times"/>
        </w:rPr>
      </w:pPr>
      <w:r>
        <w:rPr>
          <w:rFonts w:ascii="Times" w:eastAsia="Batang" w:hAnsi="Times"/>
          <w:iCs/>
        </w:rPr>
        <w:t xml:space="preserve">[112bis-e-R18-SL-05] Email discussion on RAN2 LS on comparison of SL-RSRP and SD-RSRP measurements in </w:t>
      </w:r>
      <w:hyperlink r:id="rId14" w:history="1">
        <w:r>
          <w:rPr>
            <w:rStyle w:val="Hyperlink"/>
            <w:rFonts w:ascii="Times" w:eastAsia="Batang" w:hAnsi="Times"/>
          </w:rPr>
          <w:t>R1-2302280</w:t>
        </w:r>
      </w:hyperlink>
      <w:r>
        <w:rPr>
          <w:rFonts w:ascii="Times" w:eastAsia="Batang" w:hAnsi="Times"/>
        </w:rPr>
        <w:t xml:space="preserve"> by April 26 – Torsten (Nokia)</w:t>
      </w:r>
    </w:p>
    <w:p w14:paraId="2E04E2F1" w14:textId="77777777" w:rsidR="00A23602" w:rsidRDefault="00A23602">
      <w:pPr>
        <w:rPr>
          <w:rFonts w:eastAsia="等线"/>
        </w:rPr>
      </w:pPr>
    </w:p>
    <w:p w14:paraId="0C8306D4" w14:textId="77777777" w:rsidR="00A23602" w:rsidRDefault="00A23602">
      <w:pPr>
        <w:rPr>
          <w:rFonts w:eastAsia="等线"/>
        </w:rPr>
      </w:pPr>
    </w:p>
    <w:p w14:paraId="19A9AD3D" w14:textId="77777777" w:rsidR="00A23602" w:rsidRDefault="00CF7ED7">
      <w:pPr>
        <w:pStyle w:val="Heading1"/>
      </w:pPr>
      <w:r>
        <w:t>2 Background</w:t>
      </w:r>
    </w:p>
    <w:p w14:paraId="1D67B5CF" w14:textId="77777777" w:rsidR="00A23602" w:rsidRDefault="00CF7ED7">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等线"/>
        </w:rPr>
      </w:pPr>
    </w:p>
    <w:p w14:paraId="5147253B" w14:textId="77777777" w:rsidR="00A23602" w:rsidRDefault="00CF7ED7">
      <w:r>
        <w:t>RAN2 discussed introducing the following measurement event:</w:t>
      </w:r>
    </w:p>
    <w:tbl>
      <w:tblPr>
        <w:tblStyle w:val="TableGrid"/>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ListParagraph"/>
        <w:numPr>
          <w:ilvl w:val="0"/>
          <w:numId w:val="7"/>
        </w:numPr>
        <w:ind w:firstLine="440"/>
      </w:pPr>
      <w:r>
        <w:t>SD-RSRP (RSRP measurement on broadcast PC5 link used for discovery messages)</w:t>
      </w:r>
    </w:p>
    <w:p w14:paraId="4F74741D" w14:textId="77777777" w:rsidR="00A23602" w:rsidRDefault="00CF7ED7">
      <w:pPr>
        <w:pStyle w:val="ListParagraph"/>
        <w:numPr>
          <w:ilvl w:val="0"/>
          <w:numId w:val="7"/>
        </w:numPr>
        <w:ind w:firstLine="440"/>
      </w:pPr>
      <w:r>
        <w:t>SL-RSRP (RSRP measurement on unicast PC5 link)</w:t>
      </w:r>
    </w:p>
    <w:p w14:paraId="41976ECD" w14:textId="77777777" w:rsidR="00A23602" w:rsidRDefault="00A23602">
      <w:pPr>
        <w:rPr>
          <w:rFonts w:eastAsia="等线"/>
        </w:rPr>
      </w:pPr>
    </w:p>
    <w:p w14:paraId="69828862" w14:textId="77777777" w:rsidR="00A23602" w:rsidRDefault="00CF7ED7">
      <w:pPr>
        <w:pStyle w:val="Heading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Heading2"/>
      </w:pPr>
      <w:bookmarkStart w:id="5" w:name="Obs96447"/>
      <w:bookmarkStart w:id="6" w:name="Obs10919"/>
      <w:bookmarkEnd w:id="4"/>
      <w:r>
        <w:lastRenderedPageBreak/>
        <w:t>Round 1</w:t>
      </w:r>
    </w:p>
    <w:p w14:paraId="7D74B55D" w14:textId="77777777" w:rsidR="00A23602" w:rsidRDefault="00CF7ED7">
      <w:pPr>
        <w:pStyle w:val="Heading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t xml:space="preserve">If yes, </w:t>
      </w:r>
      <w:r>
        <w:rPr>
          <w:b/>
          <w:iCs/>
        </w:rPr>
        <w:t>which of the following</w:t>
      </w:r>
      <w:r>
        <w:rPr>
          <w:bCs/>
          <w:iCs/>
        </w:rPr>
        <w:t xml:space="preserve"> should be included in RAN1’s reply to RAN2?</w:t>
      </w:r>
    </w:p>
    <w:p w14:paraId="0CC5C465" w14:textId="77777777" w:rsidR="00A23602" w:rsidRDefault="00CF7ED7">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ListParagraph"/>
        <w:numPr>
          <w:ilvl w:val="0"/>
          <w:numId w:val="8"/>
        </w:numPr>
        <w:ind w:firstLine="440"/>
        <w:rPr>
          <w:bCs/>
          <w:iCs/>
        </w:rPr>
      </w:pPr>
      <w:r>
        <w:rPr>
          <w:bCs/>
        </w:rPr>
        <w:t>Transmission of discovery messages can take place in dedicated discovery pools; these may be configured differently, e.g. with respect to power control settings, from the pool(s) on which SL-RSRP is measured.</w:t>
      </w:r>
    </w:p>
    <w:p w14:paraId="0B8693C9" w14:textId="77777777" w:rsidR="00A23602" w:rsidRDefault="00CF7ED7">
      <w:pPr>
        <w:pStyle w:val="ListParagraph"/>
        <w:numPr>
          <w:ilvl w:val="0"/>
          <w:numId w:val="8"/>
        </w:numPr>
        <w:ind w:firstLine="440"/>
        <w:rPr>
          <w:bCs/>
          <w:iCs/>
        </w:rPr>
      </w:pPr>
      <w:r>
        <w:rPr>
          <w:bCs/>
        </w:rPr>
        <w:t>A TX UE may apply different beamforming to unicast and broadcast transmissions</w:t>
      </w:r>
    </w:p>
    <w:p w14:paraId="44E02B55" w14:textId="77777777" w:rsidR="00A23602" w:rsidRDefault="00CF7ED7">
      <w:pPr>
        <w:pStyle w:val="ListParagraph"/>
        <w:numPr>
          <w:ilvl w:val="0"/>
          <w:numId w:val="8"/>
        </w:numPr>
        <w:ind w:firstLine="440"/>
        <w:rPr>
          <w:bCs/>
          <w:iCs/>
        </w:rPr>
      </w:pPr>
      <w:r>
        <w:rPr>
          <w:bCs/>
        </w:rPr>
        <w:t>Any others?</w:t>
      </w:r>
    </w:p>
    <w:p w14:paraId="66EB4740" w14:textId="77777777" w:rsidR="00A23602" w:rsidRDefault="00CF7ED7">
      <w:pPr>
        <w:pStyle w:val="Heading4"/>
        <w:ind w:left="284"/>
        <w:rPr>
          <w:b/>
          <w:bCs/>
        </w:rPr>
      </w:pPr>
      <w:r>
        <w:rPr>
          <w:b/>
        </w:rPr>
        <w:t>Company views for Q1</w:t>
      </w:r>
    </w:p>
    <w:p w14:paraId="6B194740" w14:textId="77777777" w:rsidR="00A23602" w:rsidRDefault="00A23602">
      <w:pPr>
        <w:rPr>
          <w:b/>
          <w:iCs/>
        </w:rPr>
      </w:pPr>
    </w:p>
    <w:tbl>
      <w:tblPr>
        <w:tblStyle w:val="TableGrid"/>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(1,2,3,4,..)?</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It would be helpful for RAN2 to know why and when the direct comparison between SL-RSRP and SD-RSRP is not meaningful, so as to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uawei, HiSilicon</w:t>
            </w:r>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t xml:space="preserve">On #4, TX beamforming is not specified in Rel-16/17 </w:t>
            </w:r>
            <w:r>
              <w:rPr>
                <w:bCs/>
                <w:iCs/>
              </w:rPr>
              <w:lastRenderedPageBreak/>
              <w:t>NR SL, and is out of scope to be considered.</w:t>
            </w:r>
          </w:p>
        </w:tc>
      </w:tr>
      <w:tr w:rsidR="00A23602" w14:paraId="5EAC8074" w14:textId="77777777">
        <w:tc>
          <w:tcPr>
            <w:tcW w:w="1244" w:type="dxa"/>
          </w:tcPr>
          <w:p w14:paraId="03AB27BE" w14:textId="77777777" w:rsidR="00A23602" w:rsidRDefault="00CF7ED7">
            <w:pPr>
              <w:rPr>
                <w:b/>
                <w:iCs/>
              </w:rPr>
            </w:pPr>
            <w:r>
              <w:lastRenderedPageBreak/>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Apple/Huawei/HiSi/NEC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Prefer none, but if issues are included, then all.</w:t>
            </w:r>
          </w:p>
        </w:tc>
        <w:tc>
          <w:tcPr>
            <w:tcW w:w="5098" w:type="dxa"/>
          </w:tcPr>
          <w:p w14:paraId="6E44D95B" w14:textId="77777777" w:rsidR="00A23602" w:rsidRDefault="00CF7ED7">
            <w:pPr>
              <w:rPr>
                <w:bCs/>
                <w:iCs/>
              </w:rPr>
            </w:pPr>
            <w:r>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r>
              <w:rPr>
                <w:bCs/>
                <w:iCs/>
              </w:rPr>
              <w:t>InterDigital</w:t>
            </w:r>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For 1, the network can determine the sidelink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For 3, the network is aware of the difference in power control settings between the different pools</w:t>
            </w:r>
          </w:p>
          <w:p w14:paraId="67233A1B" w14:textId="77777777" w:rsidR="00A23602" w:rsidRDefault="00CF7ED7">
            <w:pPr>
              <w:rPr>
                <w:bCs/>
                <w:iCs/>
              </w:rPr>
            </w:pPr>
            <w:r>
              <w:rPr>
                <w:bCs/>
                <w:iCs/>
              </w:rPr>
              <w:t>For 4, this is relevant only to FR2</w:t>
            </w:r>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23602" w14:paraId="2DFA319D" w14:textId="77777777">
        <w:tc>
          <w:tcPr>
            <w:tcW w:w="1244" w:type="dxa"/>
          </w:tcPr>
          <w:p w14:paraId="24874784" w14:textId="77777777" w:rsidR="00A23602" w:rsidRDefault="00CF7ED7">
            <w:pPr>
              <w:rPr>
                <w:bCs/>
                <w:iCs/>
              </w:rPr>
            </w:pPr>
            <w:r>
              <w:rPr>
                <w:bCs/>
                <w:iCs/>
              </w:rPr>
              <w:lastRenderedPageBreak/>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Heading4"/>
        <w:ind w:left="284"/>
        <w:rPr>
          <w:b/>
          <w:bCs/>
        </w:rPr>
      </w:pPr>
      <w:r>
        <w:rPr>
          <w:b/>
        </w:rPr>
        <w:t>Summary for Q1</w:t>
      </w:r>
    </w:p>
    <w:p w14:paraId="2CEF14C4" w14:textId="77777777" w:rsidR="00A23602" w:rsidRDefault="00CF7ED7">
      <w:r>
        <w:t>All but one companies can accept informing RAN2 about issues 1, 2, 3. InterDigital acknowledges the existence of the issues 1-3, but thinks that the network can mitigate the issues by proper offset configuration.</w:t>
      </w:r>
    </w:p>
    <w:p w14:paraId="6AFC69C9" w14:textId="77777777" w:rsidR="00A23602" w:rsidRDefault="00CF7ED7">
      <w:r>
        <w:t>Regarding issue 4 (different beamforming), there is no consensus. The objections are that it has not been specified and/or that it is relevant only to FR2. Nonetheless, the issue could still be relevant if a UE applies different 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Heading3"/>
        <w:rPr>
          <w:b/>
          <w:bCs w:val="0"/>
        </w:rPr>
      </w:pPr>
      <w:r>
        <w:rPr>
          <w:b/>
          <w:bCs w:val="0"/>
        </w:rPr>
        <w:t>Q2</w:t>
      </w:r>
    </w:p>
    <w:p w14:paraId="0476E59D" w14:textId="77777777" w:rsidR="00A23602" w:rsidRDefault="00CF7ED7">
      <w:pPr>
        <w:rPr>
          <w:bCs/>
          <w:iCs/>
        </w:rPr>
      </w:pPr>
      <w:r>
        <w:rPr>
          <w:bCs/>
          <w:iCs/>
        </w:rPr>
        <w:t>Q2: To explicitly answer RAN2’s question</w:t>
      </w:r>
    </w:p>
    <w:p w14:paraId="60535B53" w14:textId="77777777" w:rsidR="00A23602" w:rsidRDefault="00CF7ED7">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78E36E31" w14:textId="77777777" w:rsidR="00A23602" w:rsidRDefault="00CF7ED7">
      <w:pPr>
        <w:pStyle w:val="ListParagraph"/>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14:paraId="48075559" w14:textId="77777777" w:rsidR="00A23602" w:rsidRDefault="00CF7ED7">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5C62016F" w14:textId="77777777" w:rsidR="00A23602" w:rsidRDefault="00CF7ED7">
      <w:pPr>
        <w:pStyle w:val="ListParagraph"/>
        <w:numPr>
          <w:ilvl w:val="0"/>
          <w:numId w:val="9"/>
        </w:numPr>
        <w:ind w:firstLine="440"/>
        <w:rPr>
          <w:bCs/>
          <w:iCs/>
        </w:rPr>
      </w:pPr>
      <w:r>
        <w:rPr>
          <w:bCs/>
          <w:iCs/>
        </w:rPr>
        <w:t>Alt4: Request further information from RAN2. If so, which exact information?</w:t>
      </w:r>
    </w:p>
    <w:p w14:paraId="36DDF1D1" w14:textId="77777777" w:rsidR="00A23602" w:rsidRDefault="00CF7ED7">
      <w:pPr>
        <w:pStyle w:val="ListParagraph"/>
        <w:numPr>
          <w:ilvl w:val="0"/>
          <w:numId w:val="9"/>
        </w:numPr>
        <w:ind w:firstLine="440"/>
        <w:rPr>
          <w:bCs/>
          <w:iCs/>
        </w:rPr>
      </w:pPr>
      <w:r>
        <w:rPr>
          <w:bCs/>
          <w:iCs/>
        </w:rPr>
        <w:t>Alt5: RAN1 does not explicitly answer RAN2’s question.</w:t>
      </w:r>
    </w:p>
    <w:p w14:paraId="7B92A761" w14:textId="77777777" w:rsidR="00A23602" w:rsidRDefault="00CF7ED7">
      <w:pPr>
        <w:pStyle w:val="ListParagraph"/>
        <w:numPr>
          <w:ilvl w:val="0"/>
          <w:numId w:val="9"/>
        </w:numPr>
        <w:ind w:firstLine="440"/>
        <w:rPr>
          <w:bCs/>
          <w:iCs/>
        </w:rPr>
      </w:pPr>
      <w:r>
        <w:rPr>
          <w:bCs/>
          <w:iCs/>
        </w:rPr>
        <w:t>Alt6: Any others?</w:t>
      </w:r>
    </w:p>
    <w:p w14:paraId="442C26E1" w14:textId="77777777" w:rsidR="00A23602" w:rsidRDefault="00CF7ED7">
      <w:pPr>
        <w:pStyle w:val="Heading4"/>
        <w:ind w:left="284"/>
        <w:rPr>
          <w:b/>
          <w:bCs/>
        </w:rPr>
      </w:pPr>
      <w:r>
        <w:rPr>
          <w:b/>
        </w:rPr>
        <w:t>Company views for Q2</w:t>
      </w:r>
    </w:p>
    <w:tbl>
      <w:tblPr>
        <w:tblStyle w:val="TableGrid"/>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Technically speaking, all the factors listed in Q1 may be addressed in some ways (although may be not very typical). For example, at least from RAN1 perspective, the operator can disable SL OLPC 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w:t>
            </w:r>
            <w:r>
              <w:rPr>
                <w:iCs/>
              </w:rPr>
              <w:lastRenderedPageBreak/>
              <w:t>considerations on these issues.</w:t>
            </w:r>
          </w:p>
          <w:p w14:paraId="2D16EA62" w14:textId="77777777" w:rsidR="00A23602" w:rsidRDefault="00CF7ED7">
            <w:pPr>
              <w:rPr>
                <w:iCs/>
              </w:rPr>
            </w:pPr>
            <w:r>
              <w:rPr>
                <w:iCs/>
              </w:rPr>
              <w:t>Therefore, we think it is reasonable to provide the issue list observed by RAN1 (as in Q1), and leave the decision to RAN2.</w:t>
            </w:r>
          </w:p>
        </w:tc>
      </w:tr>
      <w:tr w:rsidR="00A23602" w14:paraId="0B3DF671" w14:textId="77777777">
        <w:tc>
          <w:tcPr>
            <w:tcW w:w="1239" w:type="dxa"/>
          </w:tcPr>
          <w:p w14:paraId="72765CBF" w14:textId="77777777" w:rsidR="00A23602" w:rsidRDefault="00CF7ED7">
            <w:pPr>
              <w:rPr>
                <w:bCs/>
                <w:iCs/>
              </w:rPr>
            </w:pPr>
            <w:r>
              <w:rPr>
                <w:bCs/>
                <w:iCs/>
              </w:rPr>
              <w:lastRenderedPageBreak/>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uawei, HiSilicon</w:t>
            </w:r>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RAN1. </w:t>
            </w:r>
          </w:p>
        </w:tc>
      </w:tr>
      <w:tr w:rsidR="00A23602" w14:paraId="4D181D3D" w14:textId="77777777">
        <w:tc>
          <w:tcPr>
            <w:tcW w:w="1239" w:type="dxa"/>
          </w:tcPr>
          <w:p w14:paraId="5F7F1C28" w14:textId="77777777" w:rsidR="00A23602" w:rsidRDefault="00CF7ED7">
            <w:pPr>
              <w:rPr>
                <w:iCs/>
              </w:rPr>
            </w:pPr>
            <w:r>
              <w:rPr>
                <w:rFonts w:hint="eastAsia"/>
                <w:iCs/>
              </w:rPr>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r>
              <w:rPr>
                <w:bCs/>
                <w:iCs/>
              </w:rPr>
              <w:t>InterDigital</w:t>
            </w:r>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factors 1, 2, 3 in Q1. We can tell RAN2 that comparison is possible as long as the network configures an appropriate offset for event Z2. </w:t>
            </w:r>
          </w:p>
          <w:p w14:paraId="2B8DD58F" w14:textId="77777777" w:rsidR="00A23602" w:rsidRDefault="00CF7ED7">
            <w:pPr>
              <w:rPr>
                <w:bCs/>
                <w:iCs/>
              </w:rPr>
            </w:pPr>
            <w:r>
              <w:rPr>
                <w:bCs/>
                <w:iCs/>
              </w:rPr>
              <w:t xml:space="preserve">Alt2 can be acceptable as long as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Heading4"/>
        <w:ind w:left="284"/>
        <w:rPr>
          <w:b/>
          <w:bCs/>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rPr>
        <w:t>Summary for Q2</w:t>
      </w:r>
    </w:p>
    <w:tbl>
      <w:tblPr>
        <w:tblStyle w:val="TableGrid"/>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lastRenderedPageBreak/>
              <w:t>Alt 2</w:t>
            </w:r>
          </w:p>
        </w:tc>
        <w:tc>
          <w:tcPr>
            <w:tcW w:w="3599" w:type="dxa"/>
          </w:tcPr>
          <w:p w14:paraId="083DA7B7" w14:textId="77777777" w:rsidR="00A23602" w:rsidRDefault="00CF7ED7">
            <w:r>
              <w:t>vivo(with comment), Huawei/HiSilicon, NEC, Xiaomi, InterDigital,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NEC, Xiaomi, InterDigital</w:t>
            </w:r>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Huawei/HiSilicon</w:t>
            </w:r>
          </w:p>
        </w:tc>
        <w:tc>
          <w:tcPr>
            <w:tcW w:w="2966" w:type="dxa"/>
          </w:tcPr>
          <w:p w14:paraId="6066E8B8" w14:textId="77777777" w:rsidR="00A23602" w:rsidRDefault="00CF7ED7">
            <w:r>
              <w:t>1</w:t>
            </w:r>
          </w:p>
        </w:tc>
      </w:tr>
    </w:tbl>
    <w:p w14:paraId="3F64D309" w14:textId="77777777" w:rsidR="00A23602" w:rsidRDefault="00CF7ED7">
      <w:pPr>
        <w:pStyle w:val="Heading2"/>
      </w:pPr>
      <w:r>
        <w:t>Round 2</w:t>
      </w:r>
    </w:p>
    <w:p w14:paraId="1A00E247" w14:textId="77777777" w:rsidR="00A23602" w:rsidRDefault="00CF7ED7">
      <w:pPr>
        <w:pStyle w:val="Heading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14:paraId="7F29843F"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6F80E5E3"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14:paraId="3F003631" w14:textId="77777777" w:rsidR="00A23602" w:rsidRDefault="00CF7ED7">
      <w:pPr>
        <w:pStyle w:val="Heading4"/>
        <w:ind w:left="284"/>
        <w:rPr>
          <w:b/>
          <w:bCs/>
        </w:rPr>
      </w:pPr>
      <w:r>
        <w:rPr>
          <w:b/>
        </w:rPr>
        <w:t>Company views for Q1</w:t>
      </w:r>
    </w:p>
    <w:tbl>
      <w:tblPr>
        <w:tblStyle w:val="TableGrid"/>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ZTE, Sanechips</w:t>
            </w:r>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sidelink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60" w:type="dxa"/>
          </w:tcPr>
          <w:p w14:paraId="53A28AF9" w14:textId="23582439" w:rsidR="00A23602" w:rsidRPr="00D01B46" w:rsidRDefault="00D01B46">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73" w:type="dxa"/>
          </w:tcPr>
          <w:p w14:paraId="1DBA639A" w14:textId="32934FFD" w:rsidR="00A23602" w:rsidRPr="00D01B46" w:rsidRDefault="00D01B46">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e think that these factors are already known to RAN2, and there is no need to inform RAN2 of them.</w:t>
            </w:r>
          </w:p>
        </w:tc>
      </w:tr>
      <w:tr w:rsidR="003702F0" w14:paraId="4EBFAF6B" w14:textId="77777777">
        <w:tc>
          <w:tcPr>
            <w:tcW w:w="1696" w:type="dxa"/>
          </w:tcPr>
          <w:p w14:paraId="17AD348B" w14:textId="5731D682" w:rsidR="003702F0" w:rsidRDefault="003702F0" w:rsidP="003702F0">
            <w:pPr>
              <w:rPr>
                <w:rFonts w:asciiTheme="minorBidi" w:hAnsiTheme="minorBidi"/>
              </w:rPr>
            </w:pPr>
            <w:r>
              <w:rPr>
                <w:rFonts w:asciiTheme="minorBidi" w:hAnsiTheme="minorBidi"/>
              </w:rPr>
              <w:t>Qualcomm</w:t>
            </w:r>
          </w:p>
        </w:tc>
        <w:tc>
          <w:tcPr>
            <w:tcW w:w="1560" w:type="dxa"/>
          </w:tcPr>
          <w:p w14:paraId="6AC58825" w14:textId="2DFF21FA" w:rsidR="003702F0" w:rsidRDefault="003702F0" w:rsidP="003702F0">
            <w:pPr>
              <w:rPr>
                <w:rFonts w:asciiTheme="minorBidi" w:hAnsiTheme="minorBidi"/>
              </w:rPr>
            </w:pPr>
            <w:r>
              <w:rPr>
                <w:rFonts w:asciiTheme="minorBidi" w:hAnsiTheme="minorBidi"/>
              </w:rPr>
              <w:t>Please see comments</w:t>
            </w:r>
          </w:p>
        </w:tc>
        <w:tc>
          <w:tcPr>
            <w:tcW w:w="6373" w:type="dxa"/>
          </w:tcPr>
          <w:p w14:paraId="2FC74B1D" w14:textId="77777777" w:rsidR="003702F0" w:rsidRDefault="003702F0" w:rsidP="003702F0">
            <w:pPr>
              <w:rPr>
                <w:rFonts w:asciiTheme="minorBidi" w:hAnsiTheme="minorBidi"/>
              </w:rPr>
            </w:pPr>
            <w:r>
              <w:rPr>
                <w:rFonts w:asciiTheme="minorBidi" w:hAnsiTheme="minorBidi"/>
              </w:rPr>
              <w:t>Our first preference is to only include the reply for Q2.</w:t>
            </w:r>
          </w:p>
          <w:p w14:paraId="0B996278" w14:textId="77777777" w:rsidR="003702F0" w:rsidRDefault="003702F0" w:rsidP="003702F0">
            <w:pPr>
              <w:rPr>
                <w:rFonts w:asciiTheme="minorBidi" w:hAnsiTheme="minorBidi"/>
              </w:rPr>
            </w:pPr>
            <w:r>
              <w:rPr>
                <w:rFonts w:asciiTheme="minorBidi" w:hAnsiTheme="minorBidi"/>
              </w:rPr>
              <w:t xml:space="preserve">There’s a typo and Rel-17 and should be Rel-18. SL CA is scheduled to start in Q3 at the latest and it will impact transmission power. The unknown element is the exact effect. </w:t>
            </w:r>
            <w:r>
              <w:rPr>
                <w:rFonts w:asciiTheme="minorBidi" w:hAnsiTheme="minorBidi"/>
              </w:rPr>
              <w:lastRenderedPageBreak/>
              <w:t>It is important to include it so that RAN2 is aware is that there are upcoming changes to power control.</w:t>
            </w:r>
          </w:p>
          <w:p w14:paraId="16633B49" w14:textId="77777777" w:rsidR="003702F0" w:rsidRDefault="003702F0" w:rsidP="003702F0">
            <w:pPr>
              <w:rPr>
                <w:rFonts w:asciiTheme="minorBidi" w:hAnsiTheme="minorBidi"/>
              </w:rPr>
            </w:pPr>
            <w:r>
              <w:rPr>
                <w:rFonts w:asciiTheme="minorBidi" w:hAnsiTheme="minorBidi"/>
              </w:rPr>
              <w:t>We think #1 needs to include that neither the L3-filtered SL-RSRP measurement, nor the estimated pathloss are reported to network. Hence, the network lacks the information necessary to estimate the effect SL-PL based OLPC.</w:t>
            </w:r>
          </w:p>
          <w:p w14:paraId="3704D081" w14:textId="77E62101" w:rsidR="003702F0" w:rsidRDefault="003702F0" w:rsidP="003702F0">
            <w:pPr>
              <w:rPr>
                <w:rFonts w:asciiTheme="minorBidi" w:hAnsiTheme="minorBidi"/>
              </w:rPr>
            </w:pPr>
            <w:r>
              <w:rPr>
                <w:rFonts w:asciiTheme="minorBidi" w:hAnsiTheme="minorBidi"/>
              </w:rPr>
              <w:t>It is important to directly answer RAN2’s question so that they can resume their work. The list of issues on its own is insufficient and we do not think it should be included without a direct reply to Q2.</w:t>
            </w:r>
          </w:p>
        </w:tc>
      </w:tr>
      <w:tr w:rsidR="00A23602" w14:paraId="58EDCC60" w14:textId="77777777">
        <w:tc>
          <w:tcPr>
            <w:tcW w:w="1696" w:type="dxa"/>
          </w:tcPr>
          <w:p w14:paraId="2AB96B72" w14:textId="79BEF49A" w:rsidR="00A23602" w:rsidRDefault="00643011">
            <w:pPr>
              <w:rPr>
                <w:rFonts w:asciiTheme="minorBidi" w:hAnsiTheme="minorBidi"/>
              </w:rPr>
            </w:pPr>
            <w:r>
              <w:rPr>
                <w:rFonts w:asciiTheme="minorBidi" w:hAnsiTheme="minorBidi"/>
              </w:rPr>
              <w:lastRenderedPageBreak/>
              <w:t>vivo</w:t>
            </w:r>
          </w:p>
        </w:tc>
        <w:tc>
          <w:tcPr>
            <w:tcW w:w="1560" w:type="dxa"/>
          </w:tcPr>
          <w:p w14:paraId="265BCA82" w14:textId="15EE3EEC" w:rsidR="00A23602" w:rsidRDefault="00643011">
            <w:pPr>
              <w:rPr>
                <w:rFonts w:asciiTheme="minorBidi" w:hAnsiTheme="minorBidi"/>
              </w:rPr>
            </w:pPr>
            <w:r>
              <w:rPr>
                <w:rFonts w:asciiTheme="minorBidi" w:hAnsiTheme="minorBidi"/>
              </w:rPr>
              <w:t>Yes for 1/2/3</w:t>
            </w:r>
          </w:p>
        </w:tc>
        <w:tc>
          <w:tcPr>
            <w:tcW w:w="6373" w:type="dxa"/>
          </w:tcPr>
          <w:p w14:paraId="2A74ABC1" w14:textId="4711773E" w:rsidR="00A23602" w:rsidRDefault="00643011" w:rsidP="00643011">
            <w:pPr>
              <w:rPr>
                <w:rFonts w:asciiTheme="minorBidi" w:hAnsiTheme="minorBidi"/>
              </w:rPr>
            </w:pPr>
            <w:r>
              <w:rPr>
                <w:rFonts w:asciiTheme="minorBidi" w:hAnsiTheme="minorBidi"/>
              </w:rPr>
              <w:t>Both FR2 and CA are new features being discussed in Rel-18. We are not sure the issue related to CA is added but to beamforming is removed. Considering that the design on both FR2 and CA have not yet been completed, we are OK to not include both of them.</w:t>
            </w:r>
          </w:p>
        </w:tc>
      </w:tr>
      <w:tr w:rsidR="00E740AF" w14:paraId="6C1674DE" w14:textId="77777777">
        <w:tc>
          <w:tcPr>
            <w:tcW w:w="1696" w:type="dxa"/>
          </w:tcPr>
          <w:p w14:paraId="35C660BB" w14:textId="47FD4687" w:rsidR="00E740AF" w:rsidRDefault="00E740AF" w:rsidP="00E740AF">
            <w:pPr>
              <w:rPr>
                <w:rFonts w:asciiTheme="minorBidi" w:hAnsiTheme="minorBidi"/>
              </w:rPr>
            </w:pPr>
            <w:r>
              <w:rPr>
                <w:rFonts w:asciiTheme="minorBidi" w:hAnsiTheme="minorBidi"/>
              </w:rPr>
              <w:t>Huawei, HiSilicon</w:t>
            </w:r>
          </w:p>
        </w:tc>
        <w:tc>
          <w:tcPr>
            <w:tcW w:w="1560" w:type="dxa"/>
          </w:tcPr>
          <w:p w14:paraId="1679C851" w14:textId="5A877BFD" w:rsidR="00E740AF" w:rsidRDefault="00E740AF" w:rsidP="00E740AF">
            <w:pPr>
              <w:rPr>
                <w:rFonts w:asciiTheme="minorBidi" w:hAnsiTheme="minorBidi"/>
              </w:rPr>
            </w:pPr>
            <w:r>
              <w:rPr>
                <w:rFonts w:asciiTheme="minorBidi" w:hAnsiTheme="minorBidi"/>
              </w:rPr>
              <w:t>Remove 4</w:t>
            </w:r>
            <w:r w:rsidRPr="00AE1FB6">
              <w:rPr>
                <w:rFonts w:asciiTheme="minorBidi" w:hAnsiTheme="minorBidi"/>
                <w:vertAlign w:val="superscript"/>
              </w:rPr>
              <w:t>th</w:t>
            </w:r>
            <w:r>
              <w:rPr>
                <w:rFonts w:asciiTheme="minorBidi" w:hAnsiTheme="minorBidi"/>
              </w:rPr>
              <w:t xml:space="preserve">  bullet </w:t>
            </w:r>
          </w:p>
        </w:tc>
        <w:tc>
          <w:tcPr>
            <w:tcW w:w="6373" w:type="dxa"/>
          </w:tcPr>
          <w:p w14:paraId="1AAC75AD" w14:textId="77777777" w:rsidR="00E740AF" w:rsidRDefault="00E740AF" w:rsidP="00E740AF">
            <w:pPr>
              <w:rPr>
                <w:rFonts w:asciiTheme="minorBidi" w:hAnsiTheme="minorBidi"/>
              </w:rPr>
            </w:pPr>
            <w:r>
              <w:rPr>
                <w:rFonts w:asciiTheme="minorBidi" w:hAnsiTheme="minorBidi"/>
              </w:rPr>
              <w:t>The 4</w:t>
            </w:r>
            <w:r w:rsidRPr="00AE1FB6">
              <w:rPr>
                <w:rFonts w:asciiTheme="minorBidi" w:hAnsiTheme="minorBidi"/>
                <w:vertAlign w:val="superscript"/>
              </w:rPr>
              <w:t>th</w:t>
            </w:r>
            <w:r>
              <w:rPr>
                <w:rFonts w:asciiTheme="minorBidi" w:hAnsiTheme="minorBidi"/>
              </w:rPr>
              <w:t xml:space="preserve"> bullet</w:t>
            </w:r>
            <w:r>
              <w:rPr>
                <w:rFonts w:asciiTheme="minorBidi" w:hAnsiTheme="minorBidi" w:hint="eastAsia"/>
              </w:rPr>
              <w:t>,</w:t>
            </w:r>
            <w:r>
              <w:rPr>
                <w:rFonts w:asciiTheme="minorBidi" w:hAnsiTheme="minorBidi"/>
              </w:rPr>
              <w:t xml:space="preserve"> as per RAN plenary guidance, is not yet triggered for normative discussion in RAN WGs in Rel-18. We should not assume any technical impact regarding potential future work.</w:t>
            </w:r>
          </w:p>
          <w:p w14:paraId="590691DB" w14:textId="652B1C60" w:rsidR="00E740AF" w:rsidRDefault="00E740AF" w:rsidP="00E740AF">
            <w:pPr>
              <w:rPr>
                <w:rFonts w:asciiTheme="minorBidi" w:hAnsiTheme="minorBidi"/>
              </w:rPr>
            </w:pPr>
            <w:r>
              <w:rPr>
                <w:rFonts w:asciiTheme="minorBidi" w:hAnsiTheme="minorBidi"/>
              </w:rPr>
              <w:t>We are fine with the proposal if 4</w:t>
            </w:r>
            <w:r w:rsidRPr="00E91F89">
              <w:rPr>
                <w:rFonts w:asciiTheme="minorBidi" w:hAnsiTheme="minorBidi"/>
                <w:vertAlign w:val="superscript"/>
              </w:rPr>
              <w:t>th</w:t>
            </w:r>
            <w:r>
              <w:rPr>
                <w:rFonts w:asciiTheme="minorBidi" w:hAnsiTheme="minorBidi"/>
              </w:rPr>
              <w:t xml:space="preserve"> bullet is removed.</w:t>
            </w:r>
          </w:p>
        </w:tc>
      </w:tr>
      <w:tr w:rsidR="008217C6" w14:paraId="247F1B38" w14:textId="77777777">
        <w:tc>
          <w:tcPr>
            <w:tcW w:w="1696" w:type="dxa"/>
          </w:tcPr>
          <w:p w14:paraId="587B24A1" w14:textId="77777777" w:rsidR="008217C6" w:rsidRDefault="008217C6" w:rsidP="00E740AF">
            <w:pPr>
              <w:rPr>
                <w:rFonts w:asciiTheme="minorBidi" w:hAnsiTheme="minorBidi"/>
              </w:rPr>
            </w:pPr>
          </w:p>
        </w:tc>
        <w:tc>
          <w:tcPr>
            <w:tcW w:w="1560" w:type="dxa"/>
          </w:tcPr>
          <w:p w14:paraId="0739281B" w14:textId="77777777" w:rsidR="008217C6" w:rsidRDefault="008217C6" w:rsidP="00E740AF">
            <w:pPr>
              <w:rPr>
                <w:rFonts w:asciiTheme="minorBidi" w:hAnsiTheme="minorBidi"/>
              </w:rPr>
            </w:pPr>
          </w:p>
        </w:tc>
        <w:tc>
          <w:tcPr>
            <w:tcW w:w="6373" w:type="dxa"/>
          </w:tcPr>
          <w:p w14:paraId="36C451B3" w14:textId="77777777" w:rsidR="008217C6" w:rsidRDefault="008217C6" w:rsidP="00E740AF">
            <w:pPr>
              <w:rPr>
                <w:rFonts w:asciiTheme="minorBidi" w:hAnsiTheme="minorBidi"/>
              </w:rPr>
            </w:pP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Heading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Heading4"/>
        <w:ind w:left="284"/>
        <w:rPr>
          <w:b/>
          <w:bCs/>
        </w:rPr>
      </w:pPr>
      <w:r>
        <w:rPr>
          <w:b/>
        </w:rPr>
        <w:t>Company views for Q2</w:t>
      </w:r>
    </w:p>
    <w:tbl>
      <w:tblPr>
        <w:tblStyle w:val="TableGrid"/>
        <w:tblW w:w="0" w:type="auto"/>
        <w:tblLook w:val="04A0" w:firstRow="1" w:lastRow="0" w:firstColumn="1" w:lastColumn="0" w:noHBand="0" w:noVBand="1"/>
      </w:tblPr>
      <w:tblGrid>
        <w:gridCol w:w="1721"/>
        <w:gridCol w:w="1557"/>
        <w:gridCol w:w="6351"/>
      </w:tblGrid>
      <w:tr w:rsidR="00A23602" w14:paraId="185DB9A2" w14:textId="77777777" w:rsidTr="00C96DB8">
        <w:tc>
          <w:tcPr>
            <w:tcW w:w="1721"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57"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51"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rsidTr="00C96DB8">
        <w:tc>
          <w:tcPr>
            <w:tcW w:w="1721" w:type="dxa"/>
          </w:tcPr>
          <w:p w14:paraId="5EA741E8" w14:textId="77777777" w:rsidR="00A23602" w:rsidRDefault="00CF7ED7">
            <w:pPr>
              <w:rPr>
                <w:rFonts w:asciiTheme="minorBidi" w:hAnsiTheme="minorBidi"/>
              </w:rPr>
            </w:pPr>
            <w:r>
              <w:rPr>
                <w:rFonts w:asciiTheme="minorBidi" w:hAnsiTheme="minorBidi"/>
              </w:rPr>
              <w:t>Intel</w:t>
            </w:r>
          </w:p>
        </w:tc>
        <w:tc>
          <w:tcPr>
            <w:tcW w:w="1557" w:type="dxa"/>
          </w:tcPr>
          <w:p w14:paraId="51985B1D" w14:textId="77777777" w:rsidR="00A23602" w:rsidRDefault="00CF7ED7">
            <w:pPr>
              <w:rPr>
                <w:rFonts w:asciiTheme="minorBidi" w:hAnsiTheme="minorBidi"/>
              </w:rPr>
            </w:pPr>
            <w:r>
              <w:rPr>
                <w:rFonts w:asciiTheme="minorBidi" w:hAnsiTheme="minorBidi"/>
              </w:rPr>
              <w:t>No</w:t>
            </w:r>
          </w:p>
        </w:tc>
        <w:tc>
          <w:tcPr>
            <w:tcW w:w="6351" w:type="dxa"/>
          </w:tcPr>
          <w:p w14:paraId="5CEC4EB6" w14:textId="77777777" w:rsidR="00A23602" w:rsidRDefault="00CF7ED7">
            <w:pPr>
              <w:rPr>
                <w:rFonts w:asciiTheme="minorBidi" w:hAnsiTheme="minorBidi"/>
              </w:rPr>
            </w:pPr>
            <w:r>
              <w:rPr>
                <w:rFonts w:asciiTheme="minorBidi" w:hAnsiTheme="minorBidi"/>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rsidR="00A23602" w14:paraId="78B7EA1D" w14:textId="77777777" w:rsidTr="00C96DB8">
        <w:tc>
          <w:tcPr>
            <w:tcW w:w="1721" w:type="dxa"/>
          </w:tcPr>
          <w:p w14:paraId="0B2D61CA" w14:textId="77777777" w:rsidR="00A23602" w:rsidRDefault="00CF7ED7">
            <w:pPr>
              <w:rPr>
                <w:rFonts w:asciiTheme="minorBidi" w:hAnsiTheme="minorBidi"/>
              </w:rPr>
            </w:pPr>
            <w:r>
              <w:rPr>
                <w:rFonts w:asciiTheme="minorBidi" w:hAnsiTheme="minorBidi" w:hint="eastAsia"/>
              </w:rPr>
              <w:t>ZTE,Sanechips</w:t>
            </w:r>
          </w:p>
        </w:tc>
        <w:tc>
          <w:tcPr>
            <w:tcW w:w="1557" w:type="dxa"/>
          </w:tcPr>
          <w:p w14:paraId="670D46A4" w14:textId="77777777" w:rsidR="00A23602" w:rsidRDefault="00CF7ED7">
            <w:pPr>
              <w:rPr>
                <w:rFonts w:asciiTheme="minorBidi" w:hAnsiTheme="minorBidi"/>
              </w:rPr>
            </w:pPr>
            <w:r>
              <w:rPr>
                <w:rFonts w:asciiTheme="minorBidi" w:hAnsiTheme="minorBidi" w:hint="eastAsia"/>
              </w:rPr>
              <w:t>NO</w:t>
            </w:r>
          </w:p>
        </w:tc>
        <w:tc>
          <w:tcPr>
            <w:tcW w:w="6351" w:type="dxa"/>
          </w:tcPr>
          <w:p w14:paraId="035BEDA1" w14:textId="77777777" w:rsidR="00A23602" w:rsidRDefault="00CF7ED7">
            <w:pPr>
              <w:rPr>
                <w:rFonts w:asciiTheme="minorBidi" w:hAnsiTheme="minorBidi"/>
              </w:rPr>
            </w:pPr>
            <w:r>
              <w:rPr>
                <w:rFonts w:asciiTheme="minorBidi" w:hAnsiTheme="minorBidi" w:hint="eastAsia"/>
              </w:rPr>
              <w:t xml:space="preserve">First of all, our understanding is that we can directly judge in RAN1 that the answer to the question is no, but as a compromise, we can accept additionally sending the issues to </w:t>
            </w:r>
            <w:r>
              <w:rPr>
                <w:rFonts w:asciiTheme="minorBidi" w:hAnsiTheme="minorBidi" w:hint="eastAsia"/>
              </w:rPr>
              <w:lastRenderedPageBreak/>
              <w:t>RAN2 to make it clear why RAN1</w:t>
            </w:r>
            <w:r>
              <w:rPr>
                <w:rFonts w:asciiTheme="minorBidi" w:hAnsiTheme="minorBidi"/>
              </w:rPr>
              <w:t>’</w:t>
            </w:r>
            <w:r>
              <w:rPr>
                <w:rFonts w:asciiTheme="minorBidi" w:hAnsiTheme="minorBidi" w:hint="eastAsia"/>
              </w:rPr>
              <w:t>s answer is No. The logic is that, even for the first issue, under BC, the pathloss for sidelink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rsidTr="00C96DB8">
        <w:tc>
          <w:tcPr>
            <w:tcW w:w="1721" w:type="dxa"/>
          </w:tcPr>
          <w:p w14:paraId="429D5651" w14:textId="77777777" w:rsidR="00A23602" w:rsidRDefault="00C26AED">
            <w:pPr>
              <w:rPr>
                <w:rFonts w:asciiTheme="minorBidi" w:hAnsiTheme="minorBidi"/>
              </w:rPr>
            </w:pPr>
            <w:r>
              <w:rPr>
                <w:rFonts w:asciiTheme="minorBidi" w:hAnsiTheme="minorBidi" w:hint="eastAsia"/>
              </w:rPr>
              <w:lastRenderedPageBreak/>
              <w:t>O</w:t>
            </w:r>
            <w:r>
              <w:rPr>
                <w:rFonts w:asciiTheme="minorBidi" w:hAnsiTheme="minorBidi"/>
              </w:rPr>
              <w:t>PPO</w:t>
            </w:r>
          </w:p>
        </w:tc>
        <w:tc>
          <w:tcPr>
            <w:tcW w:w="1557"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4926ECB8" w14:textId="77777777"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which is a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rsidTr="00C96DB8">
        <w:tc>
          <w:tcPr>
            <w:tcW w:w="1721" w:type="dxa"/>
          </w:tcPr>
          <w:p w14:paraId="395BCB3B" w14:textId="1A3D4005" w:rsidR="00A23602" w:rsidRPr="008F6F21" w:rsidRDefault="008F6F21">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57" w:type="dxa"/>
          </w:tcPr>
          <w:p w14:paraId="11905680" w14:textId="049165D0" w:rsidR="00A23602" w:rsidRPr="008F6F21" w:rsidRDefault="008F6F21">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51" w:type="dxa"/>
          </w:tcPr>
          <w:p w14:paraId="69532B96" w14:textId="10DF06F2" w:rsidR="00A23602" w:rsidRPr="008F6F21" w:rsidRDefault="008F6F21">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 xml:space="preserve">e think that RAN1’s answer should be “No” when considering the factors mentioned in Q1. In addition, it can be also said that the final decision of adopting </w:t>
            </w:r>
            <w:r w:rsidRPr="008F6F21">
              <w:rPr>
                <w:rFonts w:asciiTheme="minorBidi" w:eastAsia="Malgun Gothic" w:hAnsiTheme="minorBidi"/>
              </w:rPr>
              <w:t>the comparison of SL-RSRP and SD-RSRP measurement used for the purposes of triggering a measurement report</w:t>
            </w:r>
            <w:r>
              <w:rPr>
                <w:rFonts w:asciiTheme="minorBidi" w:eastAsia="Malgun Gothic" w:hAnsiTheme="minorBidi"/>
              </w:rPr>
              <w:t xml:space="preserve"> is up to RAN2</w:t>
            </w:r>
            <w:r w:rsidR="00B75E3E">
              <w:rPr>
                <w:rFonts w:asciiTheme="minorBidi" w:eastAsia="Malgun Gothic" w:hAnsiTheme="minorBidi"/>
              </w:rPr>
              <w:t>.</w:t>
            </w:r>
          </w:p>
        </w:tc>
      </w:tr>
      <w:tr w:rsidR="00C96DB8" w14:paraId="76A2A9F2" w14:textId="77777777" w:rsidTr="00C96DB8">
        <w:tc>
          <w:tcPr>
            <w:tcW w:w="1721" w:type="dxa"/>
          </w:tcPr>
          <w:p w14:paraId="68DC5737" w14:textId="0BB45F16" w:rsidR="00C96DB8" w:rsidRDefault="00C96DB8" w:rsidP="00C96DB8">
            <w:pPr>
              <w:rPr>
                <w:rFonts w:asciiTheme="minorBidi" w:hAnsiTheme="minorBidi"/>
              </w:rPr>
            </w:pPr>
            <w:r>
              <w:rPr>
                <w:rFonts w:asciiTheme="minorBidi" w:hAnsiTheme="minorBidi"/>
              </w:rPr>
              <w:t>Qualcomm</w:t>
            </w:r>
          </w:p>
        </w:tc>
        <w:tc>
          <w:tcPr>
            <w:tcW w:w="1557" w:type="dxa"/>
          </w:tcPr>
          <w:p w14:paraId="680ABAE9" w14:textId="21B08D2F" w:rsidR="00C96DB8" w:rsidRDefault="00C96DB8" w:rsidP="00C96DB8">
            <w:pPr>
              <w:rPr>
                <w:rFonts w:asciiTheme="minorBidi" w:hAnsiTheme="minorBidi"/>
              </w:rPr>
            </w:pPr>
            <w:r>
              <w:rPr>
                <w:rFonts w:asciiTheme="minorBidi" w:hAnsiTheme="minorBidi"/>
              </w:rPr>
              <w:t>No</w:t>
            </w:r>
          </w:p>
        </w:tc>
        <w:tc>
          <w:tcPr>
            <w:tcW w:w="6351" w:type="dxa"/>
          </w:tcPr>
          <w:p w14:paraId="7EB165FD" w14:textId="1A5B8CE0" w:rsidR="00C96DB8" w:rsidRDefault="00C96DB8" w:rsidP="00C96DB8">
            <w:pPr>
              <w:rPr>
                <w:rFonts w:asciiTheme="minorBidi" w:hAnsiTheme="minorBidi"/>
              </w:rPr>
            </w:pPr>
            <w:r>
              <w:rPr>
                <w:rFonts w:asciiTheme="minorBidi" w:hAnsiTheme="minorBidi"/>
              </w:rPr>
              <w:t xml:space="preserve">With agree with </w:t>
            </w:r>
            <w:r w:rsidR="00E82081">
              <w:rPr>
                <w:rFonts w:asciiTheme="minorBidi" w:hAnsiTheme="minorBidi"/>
              </w:rPr>
              <w:t xml:space="preserve">the </w:t>
            </w:r>
            <w:r>
              <w:rPr>
                <w:rFonts w:asciiTheme="minorBidi" w:hAnsiTheme="minorBidi"/>
              </w:rPr>
              <w:t>other views that the answer to RAN2 should be a “no” to directly reply to the yes/no question from RAN2. The list of issues does not address how the network could become aware of which mechanisms affected the measurements.</w:t>
            </w:r>
          </w:p>
        </w:tc>
      </w:tr>
      <w:tr w:rsidR="00A23602" w14:paraId="2396E988" w14:textId="77777777" w:rsidTr="00C96DB8">
        <w:tc>
          <w:tcPr>
            <w:tcW w:w="1721" w:type="dxa"/>
          </w:tcPr>
          <w:p w14:paraId="595E9FAD" w14:textId="59DC3028" w:rsidR="00A23602" w:rsidRDefault="00643011">
            <w:pPr>
              <w:rPr>
                <w:rFonts w:asciiTheme="minorBidi" w:hAnsiTheme="minorBidi"/>
              </w:rPr>
            </w:pPr>
            <w:r>
              <w:rPr>
                <w:rFonts w:asciiTheme="minorBidi" w:hAnsiTheme="minorBidi"/>
              </w:rPr>
              <w:t>vivo</w:t>
            </w:r>
          </w:p>
        </w:tc>
        <w:tc>
          <w:tcPr>
            <w:tcW w:w="1557" w:type="dxa"/>
          </w:tcPr>
          <w:p w14:paraId="1E2085F1" w14:textId="1C6FE139" w:rsidR="00A23602" w:rsidRDefault="00643011">
            <w:pPr>
              <w:rPr>
                <w:rFonts w:asciiTheme="minorBidi" w:hAnsiTheme="minorBidi"/>
              </w:rPr>
            </w:pPr>
            <w:r>
              <w:rPr>
                <w:rFonts w:asciiTheme="minorBidi" w:hAnsiTheme="minorBidi"/>
              </w:rPr>
              <w:t>OK with comment</w:t>
            </w:r>
          </w:p>
        </w:tc>
        <w:tc>
          <w:tcPr>
            <w:tcW w:w="6351" w:type="dxa"/>
          </w:tcPr>
          <w:p w14:paraId="2D2DA392" w14:textId="4805E652" w:rsidR="00A23602" w:rsidRDefault="00643011">
            <w:pPr>
              <w:rPr>
                <w:rFonts w:asciiTheme="minorBidi" w:hAnsiTheme="minorBidi"/>
              </w:rPr>
            </w:pPr>
            <w:r>
              <w:rPr>
                <w:rFonts w:asciiTheme="minorBidi" w:hAnsiTheme="minorBidi"/>
              </w:rPr>
              <w:t>We can accept this current proposal. But based on companies’ comments, i</w:t>
            </w:r>
            <w:r w:rsidR="000E34EA">
              <w:rPr>
                <w:rFonts w:asciiTheme="minorBidi" w:hAnsiTheme="minorBidi"/>
              </w:rPr>
              <w:t>s</w:t>
            </w:r>
            <w:r>
              <w:rPr>
                <w:rFonts w:asciiTheme="minorBidi" w:hAnsiTheme="minorBidi"/>
              </w:rPr>
              <w:t xml:space="preserve"> i</w:t>
            </w:r>
            <w:r w:rsidR="000E34EA">
              <w:rPr>
                <w:rFonts w:asciiTheme="minorBidi" w:hAnsiTheme="minorBidi"/>
              </w:rPr>
              <w:t>t</w:t>
            </w:r>
            <w:r>
              <w:rPr>
                <w:rFonts w:asciiTheme="minorBidi" w:hAnsiTheme="minorBidi"/>
              </w:rPr>
              <w:t xml:space="preserve"> more acceptable to reply to RAN2 in </w:t>
            </w:r>
            <w:r w:rsidR="000E34EA">
              <w:rPr>
                <w:rFonts w:asciiTheme="minorBidi" w:hAnsiTheme="minorBidi"/>
              </w:rPr>
              <w:t>the other</w:t>
            </w:r>
            <w:r>
              <w:rPr>
                <w:rFonts w:asciiTheme="minorBidi" w:hAnsiTheme="minorBidi"/>
              </w:rPr>
              <w:t xml:space="preserve"> way around</w:t>
            </w:r>
            <w:r w:rsidR="000E34EA">
              <w:rPr>
                <w:rFonts w:asciiTheme="minorBidi" w:hAnsiTheme="minorBidi"/>
              </w:rPr>
              <w:t>? For example:</w:t>
            </w:r>
          </w:p>
          <w:p w14:paraId="6CEB7071" w14:textId="3108935A" w:rsidR="00643011" w:rsidRDefault="00643011" w:rsidP="000E34EA">
            <w:pPr>
              <w:ind w:left="284"/>
              <w:rPr>
                <w:rFonts w:asciiTheme="minorBidi" w:hAnsiTheme="minorBidi"/>
              </w:rPr>
            </w:pPr>
            <w:r>
              <w:rPr>
                <w:rFonts w:asciiTheme="minorBidi" w:hAnsiTheme="minorBidi"/>
                <w:b/>
                <w:bCs/>
              </w:rPr>
              <w:t>RAN1 replies to RAN2 that comparison of SL-RSRP and SD-RSRP measurement cannot be used unless the above outlined issues can be addressed by RAN2.</w:t>
            </w:r>
          </w:p>
          <w:p w14:paraId="60BF3D13" w14:textId="4A670303" w:rsidR="00643011" w:rsidRDefault="00643011">
            <w:pPr>
              <w:rPr>
                <w:rFonts w:asciiTheme="minorBidi" w:hAnsiTheme="minorBidi"/>
              </w:rPr>
            </w:pPr>
          </w:p>
        </w:tc>
      </w:tr>
      <w:tr w:rsidR="00A97F58" w14:paraId="4B44D295" w14:textId="77777777" w:rsidTr="00C96DB8">
        <w:tc>
          <w:tcPr>
            <w:tcW w:w="1721" w:type="dxa"/>
          </w:tcPr>
          <w:p w14:paraId="6F89C1E6" w14:textId="36A4CD83" w:rsidR="00A97F58" w:rsidRDefault="00A97F58" w:rsidP="00A97F58">
            <w:pPr>
              <w:rPr>
                <w:rFonts w:asciiTheme="minorBidi" w:hAnsiTheme="minorBidi"/>
              </w:rPr>
            </w:pPr>
            <w:r>
              <w:rPr>
                <w:rFonts w:asciiTheme="minorBidi" w:hAnsiTheme="minorBidi" w:hint="eastAsia"/>
              </w:rPr>
              <w:t>H</w:t>
            </w:r>
            <w:r>
              <w:rPr>
                <w:rFonts w:asciiTheme="minorBidi" w:hAnsiTheme="minorBidi"/>
              </w:rPr>
              <w:t>uawei, HiSilicon</w:t>
            </w:r>
          </w:p>
        </w:tc>
        <w:tc>
          <w:tcPr>
            <w:tcW w:w="1557" w:type="dxa"/>
          </w:tcPr>
          <w:p w14:paraId="12E076F0" w14:textId="6B6CF2B4" w:rsidR="00A97F58" w:rsidRDefault="00A97F58" w:rsidP="00A97F58">
            <w:pPr>
              <w:rPr>
                <w:rFonts w:asciiTheme="minorBidi" w:hAnsiTheme="minorBidi"/>
              </w:rPr>
            </w:pPr>
            <w:r>
              <w:rPr>
                <w:rFonts w:asciiTheme="minorBidi" w:hAnsiTheme="minorBidi" w:hint="eastAsia"/>
              </w:rPr>
              <w:t>Y</w:t>
            </w:r>
            <w:r>
              <w:rPr>
                <w:rFonts w:asciiTheme="minorBidi" w:hAnsiTheme="minorBidi"/>
              </w:rPr>
              <w:t>es</w:t>
            </w:r>
          </w:p>
        </w:tc>
        <w:tc>
          <w:tcPr>
            <w:tcW w:w="6351" w:type="dxa"/>
          </w:tcPr>
          <w:p w14:paraId="4DA7D49B" w14:textId="77777777" w:rsidR="00A97F58" w:rsidRDefault="00A97F58" w:rsidP="00A97F58">
            <w:pPr>
              <w:rPr>
                <w:rFonts w:asciiTheme="minorBidi" w:hAnsiTheme="minorBidi"/>
              </w:rPr>
            </w:pPr>
            <w:r>
              <w:rPr>
                <w:rFonts w:asciiTheme="minorBidi" w:hAnsiTheme="minorBidi"/>
              </w:rPr>
              <w:t xml:space="preserve">RAN1 should not simply deny the feasibility without detailed study and discussion on this issue which is originated from a RAN2 WI. </w:t>
            </w:r>
          </w:p>
          <w:p w14:paraId="3A9429D5" w14:textId="77777777" w:rsidR="00A97F58" w:rsidRDefault="00A97F58" w:rsidP="00A97F58">
            <w:pPr>
              <w:rPr>
                <w:rFonts w:asciiTheme="minorBidi" w:hAnsiTheme="minorBidi"/>
              </w:rPr>
            </w:pPr>
            <w:r>
              <w:rPr>
                <w:rFonts w:asciiTheme="minorBidi" w:hAnsiTheme="minorBidi"/>
              </w:rPr>
              <w:t xml:space="preserve">Instead, with RAN1 providing the information in Q1, whether there is solution to compensate difference between two measurements should be up to RAN2. </w:t>
            </w:r>
          </w:p>
          <w:p w14:paraId="61159CF4" w14:textId="77777777" w:rsidR="00A97F58" w:rsidRDefault="00A97F58" w:rsidP="00A97F58">
            <w:pPr>
              <w:rPr>
                <w:rFonts w:asciiTheme="minorBidi" w:hAnsiTheme="minorBidi"/>
              </w:rPr>
            </w:pPr>
            <w:r>
              <w:rPr>
                <w:rFonts w:asciiTheme="minorBidi" w:hAnsiTheme="minorBidi"/>
              </w:rPr>
              <w:t>As a compromise, we suggest the followings:</w:t>
            </w:r>
          </w:p>
          <w:p w14:paraId="483F9BB2" w14:textId="15332EE9" w:rsidR="00A97F58" w:rsidRDefault="00A97F58" w:rsidP="00A97F58">
            <w:pPr>
              <w:rPr>
                <w:rFonts w:asciiTheme="minorBidi" w:hAnsiTheme="minorBidi"/>
              </w:rPr>
            </w:pPr>
            <w:r>
              <w:rPr>
                <w:rFonts w:asciiTheme="minorBidi" w:hAnsiTheme="minorBidi"/>
              </w:rPr>
              <w:t>“</w:t>
            </w:r>
            <w:r>
              <w:rPr>
                <w:rFonts w:asciiTheme="minorBidi" w:hAnsiTheme="minorBidi"/>
                <w:b/>
                <w:bCs/>
              </w:rPr>
              <w:t xml:space="preserve">Proposal 2: RAN1 replies to RAN2 that </w:t>
            </w:r>
            <w:r w:rsidRPr="00E91F89">
              <w:rPr>
                <w:rFonts w:asciiTheme="minorBidi" w:hAnsiTheme="minorBidi"/>
                <w:b/>
                <w:bCs/>
                <w:color w:val="FF0000"/>
              </w:rPr>
              <w:t xml:space="preserve">whether </w:t>
            </w:r>
            <w:r>
              <w:rPr>
                <w:rFonts w:asciiTheme="minorBidi" w:hAnsiTheme="minorBidi"/>
                <w:b/>
                <w:bCs/>
              </w:rPr>
              <w:t xml:space="preserve">comparison of SL-RSRP and SD-RSRP measurement can be used for the purposes of triggering a measurement report </w:t>
            </w:r>
            <w:r w:rsidRPr="00E91F89">
              <w:rPr>
                <w:rFonts w:asciiTheme="minorBidi" w:hAnsiTheme="minorBidi"/>
                <w:b/>
                <w:bCs/>
                <w:strike/>
                <w:color w:val="FF0000"/>
              </w:rPr>
              <w:t>if</w:t>
            </w:r>
            <w:r w:rsidRPr="00E91F89">
              <w:rPr>
                <w:rFonts w:asciiTheme="minorBidi" w:hAnsiTheme="minorBidi"/>
                <w:b/>
                <w:bCs/>
                <w:color w:val="FF0000"/>
              </w:rPr>
              <w:t xml:space="preserve"> is up to </w:t>
            </w:r>
            <w:r>
              <w:rPr>
                <w:rFonts w:asciiTheme="minorBidi" w:hAnsiTheme="minorBidi"/>
                <w:b/>
                <w:bCs/>
              </w:rPr>
              <w:t xml:space="preserve">RAN2 </w:t>
            </w:r>
            <w:r w:rsidRPr="00E91F89">
              <w:rPr>
                <w:rFonts w:asciiTheme="minorBidi" w:hAnsiTheme="minorBidi"/>
                <w:b/>
                <w:bCs/>
                <w:strike/>
                <w:color w:val="FF0000"/>
              </w:rPr>
              <w:t>can address</w:t>
            </w:r>
            <w:r w:rsidRPr="00E91F89">
              <w:rPr>
                <w:rFonts w:asciiTheme="minorBidi" w:hAnsiTheme="minorBidi"/>
                <w:b/>
                <w:bCs/>
                <w:color w:val="FF0000"/>
              </w:rPr>
              <w:t xml:space="preserve"> by taking into account </w:t>
            </w:r>
            <w:r>
              <w:rPr>
                <w:rFonts w:asciiTheme="minorBidi" w:hAnsiTheme="minorBidi"/>
                <w:b/>
                <w:bCs/>
              </w:rPr>
              <w:t>the issues outlined by RAN1.</w:t>
            </w:r>
            <w:r>
              <w:rPr>
                <w:rFonts w:asciiTheme="minorBidi" w:hAnsiTheme="minorBidi"/>
              </w:rPr>
              <w:t>”</w:t>
            </w:r>
          </w:p>
        </w:tc>
      </w:tr>
      <w:tr w:rsidR="00A97F58" w14:paraId="6187466E" w14:textId="77777777" w:rsidTr="00C96DB8">
        <w:tc>
          <w:tcPr>
            <w:tcW w:w="1721" w:type="dxa"/>
          </w:tcPr>
          <w:p w14:paraId="02C7686A" w14:textId="77777777" w:rsidR="00A97F58" w:rsidRDefault="00A97F58" w:rsidP="00A97F58">
            <w:pPr>
              <w:rPr>
                <w:rFonts w:asciiTheme="minorBidi" w:hAnsiTheme="minorBidi" w:hint="eastAsia"/>
              </w:rPr>
            </w:pPr>
            <w:bookmarkStart w:id="16" w:name="_GoBack"/>
            <w:bookmarkEnd w:id="16"/>
          </w:p>
        </w:tc>
        <w:tc>
          <w:tcPr>
            <w:tcW w:w="1557" w:type="dxa"/>
          </w:tcPr>
          <w:p w14:paraId="36FD4C60" w14:textId="77777777" w:rsidR="00A97F58" w:rsidRDefault="00A97F58" w:rsidP="00A97F58">
            <w:pPr>
              <w:rPr>
                <w:rFonts w:asciiTheme="minorBidi" w:hAnsiTheme="minorBidi" w:hint="eastAsia"/>
              </w:rPr>
            </w:pPr>
          </w:p>
        </w:tc>
        <w:tc>
          <w:tcPr>
            <w:tcW w:w="6351" w:type="dxa"/>
          </w:tcPr>
          <w:p w14:paraId="2E67DC9D" w14:textId="77777777" w:rsidR="00A97F58" w:rsidRDefault="00A97F58" w:rsidP="00A97F58">
            <w:pPr>
              <w:rPr>
                <w:rFonts w:asciiTheme="minorBidi" w:hAnsiTheme="minorBidi"/>
              </w:rPr>
            </w:pP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Heading1"/>
      </w:pPr>
      <w:r>
        <w:lastRenderedPageBreak/>
        <w:t>4 Proposals</w:t>
      </w:r>
    </w:p>
    <w:p w14:paraId="4B8CB49F" w14:textId="77777777" w:rsidR="00A23602" w:rsidRDefault="00CF7ED7">
      <w:pPr>
        <w:pStyle w:val="Heading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least ] </w:t>
      </w:r>
      <w:r>
        <w:rPr>
          <w:rFonts w:asciiTheme="minorBidi" w:hAnsiTheme="minorBidi"/>
          <w:b/>
          <w:bCs/>
        </w:rPr>
        <w:t>the following issues</w:t>
      </w:r>
    </w:p>
    <w:p w14:paraId="6AE06BD1"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7B31A040"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Heading1"/>
      </w:pPr>
      <w:r>
        <w:t>5 Company views expressed in contributions</w:t>
      </w:r>
    </w:p>
    <w:p w14:paraId="38D6A41B" w14:textId="77777777" w:rsidR="00A23602" w:rsidRDefault="00CF7ED7">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FD1473">
            <w:hyperlink r:id="rId15" w:history="1">
              <w:r w:rsidR="00CF7ED7">
                <w:rPr>
                  <w:rStyle w:val="Hyperlink"/>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FD1473">
            <w:hyperlink r:id="rId16" w:history="1">
              <w:r w:rsidR="00CF7ED7">
                <w:rPr>
                  <w:rStyle w:val="Hyperlink"/>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 xml:space="preserve">From RAN1’s perspective, it is not supported for the comparison of </w:t>
            </w:r>
            <w:r>
              <w:rPr>
                <w:rFonts w:ascii="Arial" w:hAnsi="Arial" w:cs="Arial"/>
                <w:bCs/>
              </w:rPr>
              <w:lastRenderedPageBreak/>
              <w:t>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FD1473">
            <w:hyperlink r:id="rId17" w:history="1">
              <w:r w:rsidR="00CF7ED7">
                <w:rPr>
                  <w:rStyle w:val="Hyperlink"/>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FD1473">
            <w:hyperlink r:id="rId18" w:history="1">
              <w:r w:rsidR="00CF7ED7">
                <w:rPr>
                  <w:rStyle w:val="Hyperlink"/>
                </w:rPr>
                <w:t>R1-2302824</w:t>
              </w:r>
            </w:hyperlink>
          </w:p>
        </w:tc>
        <w:tc>
          <w:tcPr>
            <w:tcW w:w="1272" w:type="dxa"/>
          </w:tcPr>
          <w:p w14:paraId="21097AAF" w14:textId="77777777" w:rsidR="00A23602" w:rsidRDefault="00CF7ED7">
            <w:r>
              <w:t>InterDigital, Inc.</w:t>
            </w:r>
          </w:p>
        </w:tc>
        <w:tc>
          <w:tcPr>
            <w:tcW w:w="6983" w:type="dxa"/>
          </w:tcPr>
          <w:p w14:paraId="03B44533" w14:textId="77777777" w:rsidR="00A23602" w:rsidRDefault="00CF7ED7">
            <w:pPr>
              <w:pStyle w:val="B1"/>
              <w:ind w:left="0" w:firstLine="0"/>
              <w:rPr>
                <w:i/>
                <w:iCs/>
              </w:rPr>
            </w:pPr>
            <w:r>
              <w:rPr>
                <w:i/>
                <w:iCs/>
              </w:rPr>
              <w:t>From RAN1 perspective:</w:t>
            </w:r>
          </w:p>
          <w:p w14:paraId="35CF5CCA" w14:textId="77777777" w:rsidR="00A23602" w:rsidRDefault="00CF7ED7">
            <w:pPr>
              <w:pStyle w:val="B1"/>
              <w:numPr>
                <w:ilvl w:val="0"/>
                <w:numId w:val="12"/>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A23602" w14:paraId="74522050" w14:textId="77777777">
        <w:tc>
          <w:tcPr>
            <w:tcW w:w="1374" w:type="dxa"/>
          </w:tcPr>
          <w:p w14:paraId="6B7EFFB7" w14:textId="77777777" w:rsidR="00A23602" w:rsidRDefault="00FD1473">
            <w:hyperlink r:id="rId19" w:history="1">
              <w:r w:rsidR="00CF7ED7">
                <w:rPr>
                  <w:rStyle w:val="Hyperlink"/>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FD1473">
            <w:hyperlink r:id="rId20" w:history="1">
              <w:r w:rsidR="00CF7ED7">
                <w:rPr>
                  <w:rStyle w:val="Hyperlink"/>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FD1473">
            <w:hyperlink r:id="rId21" w:history="1">
              <w:r w:rsidR="00CF7ED7">
                <w:rPr>
                  <w:rStyle w:val="Hyperlink"/>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FD1473">
            <w:hyperlink r:id="rId22" w:history="1">
              <w:r w:rsidR="00CF7ED7">
                <w:rPr>
                  <w:rStyle w:val="Hyperlink"/>
                </w:rPr>
                <w:t>R1-2303396</w:t>
              </w:r>
            </w:hyperlink>
          </w:p>
        </w:tc>
        <w:tc>
          <w:tcPr>
            <w:tcW w:w="1272" w:type="dxa"/>
          </w:tcPr>
          <w:p w14:paraId="05BFC452" w14:textId="77777777" w:rsidR="00A23602" w:rsidRDefault="00CF7ED7">
            <w:r>
              <w:t>ZTE, Sanechips</w:t>
            </w:r>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w:t>
            </w:r>
            <w:r>
              <w:lastRenderedPageBreak/>
              <w:t xml:space="preserve">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FD1473">
            <w:hyperlink r:id="rId23" w:history="1">
              <w:r w:rsidR="00CF7ED7">
                <w:rPr>
                  <w:rStyle w:val="Hyperlink"/>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No, the comparison of SL-RSRP and SD-RSRP measurements cannot be used for the purpose of triggering a measurement report.</w:t>
            </w:r>
          </w:p>
        </w:tc>
      </w:tr>
      <w:tr w:rsidR="00A23602" w14:paraId="119F5096" w14:textId="77777777">
        <w:tc>
          <w:tcPr>
            <w:tcW w:w="1374" w:type="dxa"/>
          </w:tcPr>
          <w:p w14:paraId="630D598E" w14:textId="77777777" w:rsidR="00A23602" w:rsidRDefault="00CF7ED7">
            <w:r>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A23602" w14:paraId="2929AD98" w14:textId="77777777">
        <w:tc>
          <w:tcPr>
            <w:tcW w:w="1374" w:type="dxa"/>
          </w:tcPr>
          <w:p w14:paraId="27E3355A" w14:textId="77777777" w:rsidR="00A23602" w:rsidRDefault="00FD1473">
            <w:hyperlink r:id="rId24" w:history="1">
              <w:r w:rsidR="00CF7ED7">
                <w:rPr>
                  <w:rStyle w:val="Hyperlink"/>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FD1473">
            <w:hyperlink r:id="rId25" w:history="1">
              <w:r w:rsidR="00CF7ED7">
                <w:rPr>
                  <w:rStyle w:val="Hyperlink"/>
                </w:rPr>
                <w:t>R1-2303857</w:t>
              </w:r>
            </w:hyperlink>
          </w:p>
        </w:tc>
        <w:tc>
          <w:tcPr>
            <w:tcW w:w="1272" w:type="dxa"/>
          </w:tcPr>
          <w:p w14:paraId="685B9A02" w14:textId="77777777" w:rsidR="00A23602" w:rsidRDefault="00CF7ED7">
            <w:r>
              <w:t>Huawei, HiSilicon</w:t>
            </w:r>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FD1473">
            <w:hyperlink r:id="rId26" w:history="1">
              <w:r w:rsidR="00CF7ED7">
                <w:rPr>
                  <w:rStyle w:val="Hyperlink"/>
                </w:rPr>
                <w:t>R1-2303874</w:t>
              </w:r>
            </w:hyperlink>
          </w:p>
        </w:tc>
        <w:tc>
          <w:tcPr>
            <w:tcW w:w="1272" w:type="dxa"/>
          </w:tcPr>
          <w:p w14:paraId="22BEB674" w14:textId="77777777" w:rsidR="00A23602" w:rsidRDefault="00CF7ED7">
            <w:r>
              <w:t>Nokia, Nokia Shanghai Bell</w:t>
            </w:r>
          </w:p>
        </w:tc>
        <w:tc>
          <w:tcPr>
            <w:tcW w:w="6983" w:type="dxa"/>
          </w:tcPr>
          <w:p w14:paraId="096A4860" w14:textId="77777777" w:rsidR="00A23602" w:rsidRDefault="00CF7ED7">
            <w:pPr>
              <w:spacing w:beforeLines="50" w:before="120" w:after="120"/>
            </w:pPr>
            <w:r>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Heading2"/>
      </w:pPr>
      <w:r>
        <w:lastRenderedPageBreak/>
        <w:t>Conclusions in discussion tdocs</w:t>
      </w:r>
    </w:p>
    <w:p w14:paraId="1CA02B5E" w14:textId="77777777" w:rsidR="00A23602" w:rsidRDefault="00CF7ED7">
      <w:r>
        <w:t>This section lists only proposals and observations for discussion tdocs; proposed replies from draft LSs are summarized in the previous section.</w:t>
      </w:r>
    </w:p>
    <w:p w14:paraId="47AC7476" w14:textId="77777777" w:rsidR="00A23602" w:rsidRDefault="00FD1473">
      <w:pPr>
        <w:pStyle w:val="Heading3"/>
      </w:pPr>
      <w:hyperlink r:id="rId27" w:history="1">
        <w:r w:rsidR="00CF7ED7">
          <w:rPr>
            <w:rStyle w:val="Hyperlink"/>
          </w:rPr>
          <w:t>R1-2302525</w:t>
        </w:r>
      </w:hyperlink>
      <w:r w:rsidR="00CF7ED7">
        <w:t xml:space="preserve"> OPPO</w:t>
      </w:r>
    </w:p>
    <w:p w14:paraId="3DFCBF5D" w14:textId="77777777" w:rsidR="00A23602" w:rsidRDefault="00CF7ED7">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24462D3A" w14:textId="77777777" w:rsidR="00A23602" w:rsidRDefault="00CF7ED7">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341C6C3" w14:textId="77777777" w:rsidR="00A23602" w:rsidRDefault="00FD1473">
      <w:pPr>
        <w:pStyle w:val="Heading3"/>
      </w:pPr>
      <w:hyperlink r:id="rId28" w:history="1">
        <w:r w:rsidR="00CF7ED7">
          <w:rPr>
            <w:rStyle w:val="Hyperlink"/>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ListParagraph"/>
        <w:numPr>
          <w:ilvl w:val="0"/>
          <w:numId w:val="13"/>
        </w:numPr>
        <w:spacing w:line="276" w:lineRule="auto"/>
        <w:ind w:firstLine="44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30ADC62" w14:textId="77777777" w:rsidR="00A23602" w:rsidRDefault="00A23602">
      <w:pPr>
        <w:pStyle w:val="ListParagraph"/>
        <w:spacing w:line="276" w:lineRule="auto"/>
        <w:ind w:firstLine="44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Considering the issues highlighted in Observation 1, and without any further details, RAN1 considers comparison between SL-RSRP and SD-RSRP measurement as unfeasible</w:t>
      </w:r>
    </w:p>
    <w:p w14:paraId="1A5B036F" w14:textId="77777777" w:rsidR="00A23602" w:rsidRDefault="00A23602"/>
    <w:p w14:paraId="309F829B" w14:textId="77777777" w:rsidR="00A23602" w:rsidRDefault="00FD1473">
      <w:pPr>
        <w:pStyle w:val="Heading3"/>
      </w:pPr>
      <w:hyperlink r:id="rId29" w:history="1">
        <w:r w:rsidR="00CF7ED7">
          <w:rPr>
            <w:rStyle w:val="Hyperlink"/>
          </w:rPr>
          <w:t>R1-2302824</w:t>
        </w:r>
      </w:hyperlink>
      <w:r w:rsidR="00CF7ED7">
        <w:t xml:space="preserve"> InterDigital,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lastRenderedPageBreak/>
        <w:t>if the target relay UE is in RRC_IDLE/RRC_INACTIVE, comparison can be performed within an error range that is known to the network because the network can configure the range of possible Uu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FD1473">
      <w:pPr>
        <w:pStyle w:val="Heading3"/>
      </w:pPr>
      <w:hyperlink r:id="rId30" w:history="1">
        <w:r w:rsidR="00CF7ED7">
          <w:rPr>
            <w:rStyle w:val="Hyperlink"/>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FD1473">
      <w:pPr>
        <w:pStyle w:val="Heading3"/>
      </w:pPr>
      <w:hyperlink r:id="rId31" w:history="1">
        <w:r w:rsidR="00CF7ED7">
          <w:rPr>
            <w:rStyle w:val="Hyperlink"/>
          </w:rPr>
          <w:t>R1-2303322</w:t>
        </w:r>
      </w:hyperlink>
      <w:r w:rsidR="00CF7ED7">
        <w:t xml:space="preserve"> Ericsson</w:t>
      </w:r>
    </w:p>
    <w:p w14:paraId="2717BC2D" w14:textId="77777777" w:rsidR="00A23602" w:rsidRDefault="00CF7ED7">
      <w:pPr>
        <w:pStyle w:val="BodyText"/>
      </w:pPr>
      <w:r>
        <w:t>Based on the discussion in the previous sections we propose the following:</w:t>
      </w:r>
    </w:p>
    <w:p w14:paraId="549AD3ED" w14:textId="77777777" w:rsidR="00A23602" w:rsidRDefault="00CF7ED7">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FD1473">
      <w:pPr>
        <w:pStyle w:val="Heading3"/>
      </w:pPr>
      <w:hyperlink r:id="rId32" w:history="1">
        <w:r w:rsidR="00CF7ED7">
          <w:rPr>
            <w:rStyle w:val="Hyperlink"/>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CommentText"/>
        <w:spacing w:beforeLines="50" w:before="120" w:afterLines="50" w:after="120" w:line="276" w:lineRule="auto"/>
        <w:rPr>
          <w:rFonts w:eastAsia="宋体"/>
          <w:b/>
          <w:bCs/>
        </w:rPr>
      </w:pPr>
      <w:r>
        <w:rPr>
          <w:b/>
          <w:bCs/>
        </w:rPr>
        <w:t>Proposal 1: For the comparison of SL-RSRP and SD-RSRP measurement, reply RAN2 as follows:</w:t>
      </w:r>
    </w:p>
    <w:p w14:paraId="04415AD1" w14:textId="77777777" w:rsidR="00A23602" w:rsidRDefault="00CF7ED7">
      <w:pPr>
        <w:pStyle w:val="Header"/>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FD1473">
      <w:pPr>
        <w:pStyle w:val="Heading3"/>
      </w:pPr>
      <w:hyperlink r:id="rId33" w:history="1">
        <w:r w:rsidR="00CF7ED7">
          <w:rPr>
            <w:rStyle w:val="Hyperlink"/>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1FBECF3" w14:textId="77777777" w:rsidR="00A23602" w:rsidRDefault="00CF7ED7">
      <w:pPr>
        <w:rPr>
          <w:bCs/>
        </w:rPr>
      </w:pPr>
      <w:r>
        <w:rPr>
          <w:b/>
          <w:i/>
        </w:rPr>
        <w:t>Observation 2:</w:t>
      </w:r>
      <w:r>
        <w:rPr>
          <w:i/>
        </w:rPr>
        <w:t xml:space="preserve"> A UE’s Uu link pathloss is independent of this UE’s sidelink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3C13452" w14:textId="77777777" w:rsidR="00A23602" w:rsidRDefault="00FD1473">
      <w:pPr>
        <w:pStyle w:val="Heading3"/>
      </w:pPr>
      <w:hyperlink r:id="rId34" w:history="1">
        <w:r w:rsidR="00CF7ED7">
          <w:rPr>
            <w:rStyle w:val="Hyperlink"/>
          </w:rPr>
          <w:t>R1-2303857</w:t>
        </w:r>
      </w:hyperlink>
      <w:r w:rsidR="00CF7ED7">
        <w:t xml:space="preserve"> Huawei, HiSilicon</w:t>
      </w:r>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Header"/>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FD1473">
      <w:pPr>
        <w:pStyle w:val="Heading3"/>
      </w:pPr>
      <w:hyperlink r:id="rId35" w:history="1">
        <w:r w:rsidR="00CF7ED7">
          <w:rPr>
            <w:rStyle w:val="Hyperlink"/>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t>Observation 2: For CBR-based power control (if configured), transmit power may depend on priority. Priority 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Heading1"/>
        <w:tabs>
          <w:tab w:val="clear" w:pos="432"/>
        </w:tabs>
        <w:ind w:left="0" w:firstLine="0"/>
      </w:pPr>
      <w:r>
        <w:t>References</w:t>
      </w:r>
    </w:p>
    <w:bookmarkStart w:id="17" w:name="_Ref127552299"/>
    <w:p w14:paraId="7E576DE7" w14:textId="77777777" w:rsidR="00A23602" w:rsidRDefault="00CF7ED7">
      <w:pPr>
        <w:pStyle w:val="ListParagraph"/>
        <w:numPr>
          <w:ilvl w:val="0"/>
          <w:numId w:val="16"/>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7"/>
    </w:p>
    <w:p w14:paraId="7B203FBC" w14:textId="77777777" w:rsidR="00A23602" w:rsidRDefault="00A23602">
      <w:pPr>
        <w:pStyle w:val="ListParagraph"/>
        <w:numPr>
          <w:ilvl w:val="0"/>
          <w:numId w:val="16"/>
        </w:numPr>
        <w:ind w:firstLine="440"/>
        <w:rPr>
          <w:szCs w:val="20"/>
        </w:rPr>
      </w:pPr>
    </w:p>
    <w:sectPr w:rsidR="00A236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25E92" w14:textId="77777777" w:rsidR="00FD1473" w:rsidRDefault="00FD1473" w:rsidP="00643011">
      <w:pPr>
        <w:spacing w:after="0" w:line="240" w:lineRule="auto"/>
      </w:pPr>
      <w:r>
        <w:separator/>
      </w:r>
    </w:p>
  </w:endnote>
  <w:endnote w:type="continuationSeparator" w:id="0">
    <w:p w14:paraId="69352893" w14:textId="77777777" w:rsidR="00FD1473" w:rsidRDefault="00FD1473" w:rsidP="0064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73BCE" w14:textId="77777777" w:rsidR="00FD1473" w:rsidRDefault="00FD1473" w:rsidP="00643011">
      <w:pPr>
        <w:spacing w:after="0" w:line="240" w:lineRule="auto"/>
      </w:pPr>
      <w:r>
        <w:separator/>
      </w:r>
    </w:p>
  </w:footnote>
  <w:footnote w:type="continuationSeparator" w:id="0">
    <w:p w14:paraId="3BDAAF6A" w14:textId="77777777" w:rsidR="00FD1473" w:rsidRDefault="00FD1473" w:rsidP="00643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E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2F0"/>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011"/>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17FE"/>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17C6"/>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97F58"/>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39B"/>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DB8"/>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0AF"/>
    <w:rsid w:val="00E7458E"/>
    <w:rsid w:val="00E74F5D"/>
    <w:rsid w:val="00E76034"/>
    <w:rsid w:val="00E77AC0"/>
    <w:rsid w:val="00E80440"/>
    <w:rsid w:val="00E817E0"/>
    <w:rsid w:val="00E81F17"/>
    <w:rsid w:val="00E82081"/>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85"/>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1473"/>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AF"/>
    <w:pPr>
      <w:spacing w:after="160" w:line="259" w:lineRule="auto"/>
    </w:pPr>
    <w:rPr>
      <w:rFonts w:asciiTheme="minorHAnsi" w:eastAsiaTheme="minorEastAsia" w:hAnsiTheme="minorHAnsi" w:cstheme="minorBidi"/>
      <w:sz w:val="22"/>
      <w:szCs w:val="22"/>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黑体"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黑体" w:hAnsi="Arial"/>
      <w:sz w:val="24"/>
      <w:szCs w:val="24"/>
    </w:rPr>
  </w:style>
  <w:style w:type="paragraph" w:styleId="Heading3">
    <w:name w:val="heading 3"/>
    <w:basedOn w:val="Normal"/>
    <w:next w:val="Normal"/>
    <w:qFormat/>
    <w:pPr>
      <w:keepNext/>
      <w:keepLines/>
      <w:tabs>
        <w:tab w:val="left" w:pos="720"/>
      </w:tabs>
      <w:spacing w:before="260" w:after="260" w:line="416" w:lineRule="auto"/>
      <w:ind w:left="720" w:hanging="720"/>
      <w:outlineLvl w:val="2"/>
    </w:pPr>
    <w:rPr>
      <w:rFonts w:eastAsia="黑体"/>
      <w:bCs/>
      <w:sz w:val="24"/>
      <w:szCs w:val="32"/>
    </w:rPr>
  </w:style>
  <w:style w:type="paragraph" w:styleId="Heading4">
    <w:name w:val="heading 4"/>
    <w:basedOn w:val="Normal"/>
    <w:next w:val="Normal"/>
    <w:link w:val="Heading4Char"/>
    <w:uiPriority w:val="9"/>
    <w:unhideWhenUsed/>
    <w:qFormat/>
    <w:rsid w:val="00E740AF"/>
    <w:pPr>
      <w:pBdr>
        <w:top w:val="dotted" w:sz="6" w:space="2" w:color="5B9BD5" w:themeColor="accent1"/>
      </w:pBdr>
      <w:spacing w:before="200" w:after="0" w:line="276" w:lineRule="auto"/>
      <w:outlineLvl w:val="3"/>
    </w:pPr>
    <w:rPr>
      <w:color w:val="2E74B5" w:themeColor="accent1" w:themeShade="BF"/>
      <w:spacing w:val="10"/>
    </w:rPr>
  </w:style>
  <w:style w:type="paragraph" w:styleId="Heading5">
    <w:name w:val="heading 5"/>
    <w:basedOn w:val="Heading4"/>
    <w:next w:val="Normal"/>
    <w:qFormat/>
    <w:pPr>
      <w:ind w:left="3600"/>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740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40A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qFormat/>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Cs w:val="20"/>
    </w:r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黑体" w:hAnsi="Arial"/>
      <w:b/>
      <w:sz w:val="32"/>
      <w:szCs w:val="32"/>
      <w:lang w:eastAsia="zh-CN"/>
    </w:rPr>
  </w:style>
  <w:style w:type="character" w:customStyle="1" w:styleId="Heading2Char">
    <w:name w:val="Heading 2 Char"/>
    <w:basedOn w:val="DefaultParagraphFont"/>
    <w:link w:val="Heading2"/>
    <w:qFormat/>
    <w:rPr>
      <w:rFonts w:ascii="Arial" w:eastAsia="黑体"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Normal"/>
    <w:qFormat/>
    <w:pPr>
      <w:numPr>
        <w:numId w:val="1"/>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2"/>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Normal"/>
    <w:qFormat/>
    <w:pPr>
      <w:numPr>
        <w:numId w:val="4"/>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5"/>
      </w:numPr>
    </w:pPr>
    <w:rPr>
      <w:rFonts w:ascii="Times" w:eastAsia="Batang" w:hAnsi="Times"/>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qFormat/>
    <w:pPr>
      <w:keepLines/>
      <w:numPr>
        <w:ilvl w:val="8"/>
        <w:numId w:val="6"/>
      </w:numPr>
      <w:spacing w:beforeLines="100"/>
      <w:ind w:left="1089" w:hanging="369"/>
      <w:jc w:val="center"/>
    </w:pPr>
    <w:rPr>
      <w:rFonts w:ascii="Arial" w:hAnsi="Arial"/>
      <w:sz w:val="18"/>
      <w:szCs w:val="18"/>
    </w:rPr>
  </w:style>
  <w:style w:type="paragraph" w:customStyle="1" w:styleId="a1">
    <w:name w:val="表格文本"/>
    <w:qFormat/>
    <w:pPr>
      <w:tabs>
        <w:tab w:val="decimal" w:pos="0"/>
      </w:tabs>
    </w:pPr>
    <w:rPr>
      <w:rFonts w:ascii="Arial" w:hAnsi="Arial"/>
      <w:sz w:val="21"/>
      <w:szCs w:val="21"/>
    </w:rPr>
  </w:style>
  <w:style w:type="paragraph" w:customStyle="1" w:styleId="a2">
    <w:name w:val="表头文本"/>
    <w:qFormat/>
    <w:pPr>
      <w:jc w:val="center"/>
    </w:pPr>
    <w:rPr>
      <w:rFonts w:ascii="Arial" w:hAnsi="Arial"/>
      <w:b/>
      <w:sz w:val="21"/>
      <w:szCs w:val="21"/>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6"/>
      </w:numPr>
      <w:spacing w:afterLines="100"/>
      <w:ind w:left="1089" w:hanging="369"/>
      <w:jc w:val="center"/>
    </w:pPr>
    <w:rPr>
      <w:rFonts w:ascii="Arial"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黑体"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黑体" w:hAnsi="Arial"/>
      <w:sz w:val="18"/>
    </w:rPr>
  </w:style>
  <w:style w:type="paragraph" w:customStyle="1" w:styleId="a8">
    <w:name w:val="注示文本"/>
    <w:basedOn w:val="Normal"/>
    <w:qFormat/>
    <w:pPr>
      <w:pBdr>
        <w:bottom w:val="single" w:sz="4" w:space="1" w:color="000000"/>
      </w:pBdr>
      <w:ind w:firstLine="360"/>
    </w:pPr>
    <w:rPr>
      <w:rFonts w:ascii="Arial" w:eastAsia="楷体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character" w:customStyle="1" w:styleId="BalloonTextChar">
    <w:name w:val="Balloon Text Char"/>
    <w:basedOn w:val="DefaultParagraphFont"/>
    <w:link w:val="BalloonText"/>
    <w:qFormat/>
    <w:rPr>
      <w:rFonts w:ascii="Times New Roman" w:hAnsi="Times New Roman"/>
      <w:snapToGrid w:val="0"/>
      <w:sz w:val="18"/>
      <w:szCs w:val="18"/>
      <w:lang w:eastAsia="zh-CN"/>
    </w:rPr>
  </w:style>
  <w:style w:type="character" w:customStyle="1" w:styleId="Heading4Char">
    <w:name w:val="Heading 4 Char"/>
    <w:basedOn w:val="DefaultParagraphFont"/>
    <w:link w:val="Heading4"/>
    <w:uiPriority w:val="9"/>
    <w:rsid w:val="00E740AF"/>
    <w:rPr>
      <w:rFonts w:asciiTheme="minorHAnsi" w:eastAsiaTheme="minorEastAsia" w:hAnsiTheme="minorHAnsi" w:cstheme="minorBidi"/>
      <w:color w:val="2E74B5" w:themeColor="accent1" w:themeShade="BF"/>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C0A6AEC2-4789-4E7D-AD39-BD430751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4812</Words>
  <Characters>27432</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2023-04-24T06:20:00Z</dcterms:created>
  <dcterms:modified xsi:type="dcterms:W3CDTF">2023-04-24T06:30:00Z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1682316820</vt:lpwstr>
  </property>
</Properties>
</file>