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64"/>
              <w:gridCol w:w="558"/>
              <w:gridCol w:w="3291"/>
              <w:gridCol w:w="3637"/>
              <w:gridCol w:w="524"/>
              <w:gridCol w:w="561"/>
              <w:gridCol w:w="222"/>
              <w:gridCol w:w="3985"/>
              <w:gridCol w:w="836"/>
              <w:gridCol w:w="494"/>
              <w:gridCol w:w="494"/>
              <w:gridCol w:w="494"/>
              <w:gridCol w:w="2906"/>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 ,’without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hint="eastAsia"/>
                <w:szCs w:val="22"/>
                <w:lang w:eastAsia="zh-CN"/>
              </w:rPr>
              <w:t>C</w:t>
            </w:r>
            <w:r w:rsidRPr="00B1150D">
              <w:rPr>
                <w:rFonts w:eastAsiaTheme="minorEastAsia" w:cs="Batang"/>
                <w:szCs w:val="22"/>
                <w:lang w:eastAsia="zh-CN"/>
              </w:rPr>
              <w:t xml:space="preserve">omponnets: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for Option B-1-1, with following comopnents:</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 xml:space="preserve">bout the Type, same as the Type defined for FG 6-1a “bwp-WithoutRestriction”,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7: Following should be included in the “Note” colomn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for Option B-1-2, with following comopnents:</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IoDT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interruption time and corresponding UE behevaior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Proposal 10:  Following should be included in the “Note” colomn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The interruption time and corresponding UE behevaior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The interruption time and corresponding UE behevaior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r w:rsidRPr="004C3C27">
              <w:rPr>
                <w:lang w:eastAsia="zh-CN"/>
              </w:rPr>
              <w:t>bwp-WithoutRestriction</w:t>
            </w:r>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r>
                    <w:rPr>
                      <w:b/>
                      <w:i/>
                    </w:rPr>
                    <w:t>bwp-WithoutRestriction</w:t>
                  </w:r>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“bwp-WithoutRestriction” refers to CD-SSB</w:t>
            </w:r>
            <w:r>
              <w:rPr>
                <w:lang w:eastAsia="zh-CN"/>
              </w:rPr>
              <w:t xml:space="preserve"> only since the UE capability </w:t>
            </w:r>
            <w:r w:rsidRPr="00223370">
              <w:rPr>
                <w:lang w:eastAsia="zh-CN"/>
              </w:rPr>
              <w:t>“bwp-WithoutRestriction”</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“bwp-WithoutRestriction” refers to both CD-SSB and NCD-SSB.</w:t>
            </w:r>
            <w:r>
              <w:rPr>
                <w:lang w:eastAsia="zh-CN"/>
              </w:rPr>
              <w:t xml:space="preserve"> Then in this case, RedCap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r w:rsidRPr="00223370">
              <w:rPr>
                <w:lang w:eastAsia="zh-CN"/>
              </w:rPr>
              <w:t>bwp-WithoutRestriction</w:t>
            </w:r>
            <w:r>
              <w:rPr>
                <w:lang w:eastAsia="zh-CN"/>
              </w:rPr>
              <w:t>: CD-SSB/NCD-SSB has to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r w:rsidRPr="00223370">
              <w:rPr>
                <w:lang w:eastAsia="zh-CN"/>
              </w:rPr>
              <w:t>bwp-WithoutRestriction</w:t>
            </w:r>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r w:rsidRPr="00BF7252">
              <w:rPr>
                <w:i/>
                <w:lang w:eastAsia="zh-CN"/>
              </w:rPr>
              <w:t>bwp-WithoutRestriction</w:t>
            </w:r>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“bwp-WithoutRestriction”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“bwp-WithoutRestriction”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r w:rsidRPr="00223370">
                    <w:rPr>
                      <w:b/>
                      <w:bCs/>
                      <w:i/>
                      <w:iCs/>
                      <w:sz w:val="16"/>
                    </w:rPr>
                    <w:t>maxNumberCSI-RS-BFD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r w:rsidRPr="00223370">
                    <w:rPr>
                      <w:rFonts w:cs="Arial"/>
                      <w:b/>
                      <w:bCs/>
                      <w:i/>
                      <w:iCs/>
                      <w:sz w:val="16"/>
                    </w:rPr>
                    <w:lastRenderedPageBreak/>
                    <w:t>csi-RS-RLM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23370">
                    <w:rPr>
                      <w:rFonts w:eastAsia="MS PGothic" w:cs="Arial"/>
                      <w:i/>
                      <w:sz w:val="16"/>
                    </w:rPr>
                    <w:t>maxNumberResource-CSI-RS-RLM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r w:rsidRPr="00223370">
                    <w:rPr>
                      <w:b/>
                      <w:i/>
                      <w:sz w:val="16"/>
                    </w:rPr>
                    <w:t>beamManagementSSB-CSI-RS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maxNumberSSB-CSI-RS-ResourceOneTx</w:t>
                  </w:r>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maxNumberCSI-RS-ResourceTwoTx</w:t>
                  </w:r>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supportedCSI-RS-Density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maxNumberAperiodicCSI-RS-Resource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r w:rsidRPr="00230E76">
              <w:rPr>
                <w:i/>
                <w:iCs/>
                <w:lang w:eastAsia="zh-CN"/>
              </w:rPr>
              <w:t>bwp-WithoutRestriction</w:t>
            </w:r>
            <w:r>
              <w:rPr>
                <w:iCs/>
                <w:lang w:eastAsia="zh-CN"/>
              </w:rPr>
              <w:t xml:space="preserve">, the new UE capability for option B-1-1 can be a per UE capability since the existing </w:t>
            </w:r>
            <w:r w:rsidRPr="00230E76">
              <w:rPr>
                <w:i/>
                <w:iCs/>
                <w:lang w:eastAsia="zh-CN"/>
              </w:rPr>
              <w:t>bwp-WithoutRestriction</w:t>
            </w:r>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r>
                    <w:rPr>
                      <w:b/>
                      <w:i/>
                    </w:rPr>
                    <w:t>bwp-WithoutRestriction</w:t>
                  </w:r>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Support of RedCap early indication based on Msg1, MsgA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UE shall support option (C) NCD-SSB (subject to IoDT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Support of BM/RLM/BFD based on NCD-SSB within active BWP for non-RedCap UEs</w:t>
                  </w:r>
                </w:p>
                <w:p w14:paraId="21B8D68D"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IoDT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a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r w:rsidRPr="006A6CF0">
              <w:rPr>
                <w:rFonts w:eastAsia="MS Mincho" w:cs="Batang"/>
                <w:i/>
                <w:iCs/>
                <w:sz w:val="21"/>
                <w:szCs w:val="21"/>
              </w:rPr>
              <w:t>bwp-WithoutRestriction</w:t>
            </w:r>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4D1CEF">
                    <w:rPr>
                      <w:rFonts w:eastAsia="SimSun"/>
                      <w:strike/>
                      <w:color w:val="FF0000"/>
                    </w:rPr>
                    <w:t>T</w:t>
                  </w:r>
                  <w:r w:rsidRPr="004D1CEF">
                    <w:rPr>
                      <w:rFonts w:eastAsia="SimSun"/>
                    </w:rPr>
                    <w:t xml:space="preserve">he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r w:rsidRPr="004D1CEF">
                    <w:rPr>
                      <w:rFonts w:eastAsia="SimSun"/>
                      <w:i/>
                    </w:rPr>
                    <w:t>RadioLinkMonitoringRS</w:t>
                  </w:r>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r w:rsidRPr="00C72477">
                    <w:rPr>
                      <w:rFonts w:eastAsia="SimSun"/>
                      <w:i/>
                    </w:rPr>
                    <w:t>rlf-TimersAndConstants</w:t>
                  </w:r>
                  <w:r w:rsidRPr="00C72477">
                    <w:rPr>
                      <w:rFonts w:eastAsia="SimSun"/>
                    </w:rPr>
                    <w:t xml:space="preserve"> is provided by higher layers and is not set to release, the downlink radio link quality of the PSCell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C72477">
                    <w:rPr>
                      <w:rFonts w:eastAsia="SimSun"/>
                      <w:strike/>
                      <w:color w:val="FF0000"/>
                    </w:rPr>
                    <w:t>T</w:t>
                  </w:r>
                  <w:r w:rsidRPr="00C72477">
                    <w:rPr>
                      <w:rFonts w:eastAsia="SimSun"/>
                    </w:rPr>
                    <w:t xml:space="preserve">he </w:t>
                  </w:r>
                  <w:r w:rsidRPr="00C72477">
                    <w:rPr>
                      <w:rFonts w:eastAsia="SimSun"/>
                      <w:lang w:eastAsia="ko-KR"/>
                    </w:rPr>
                    <w:t xml:space="preserve">UE is not required to monitor the downlink radio link quality in DL BWPs other than the active DL BWP on the </w:t>
                  </w:r>
                  <w:r w:rsidRPr="00C72477">
                    <w:rPr>
                      <w:rFonts w:eastAsia="SimSun"/>
                      <w:lang w:eastAsia="zh-CN"/>
                    </w:rPr>
                    <w:t>PSCell.</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r w:rsidRPr="006A6CF0">
              <w:rPr>
                <w:rFonts w:eastAsia="MS Mincho" w:cs="Batang"/>
                <w:i/>
                <w:iCs/>
                <w:sz w:val="21"/>
                <w:szCs w:val="21"/>
              </w:rPr>
              <w:t>bwp-WithoutRestriction</w:t>
            </w:r>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Capability-bwo-wor-c</w:t>
                  </w:r>
                  <w:r>
                    <w:rPr>
                      <w:color w:val="FF0000"/>
                      <w:u w:val="single"/>
                    </w:rPr>
                    <w:t xml:space="preserve"> (subject to IoDT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n the corresponding UE feature descrition.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[NonCellDefiningSSB] under BWP-DownlinkDedicated</w:t>
                  </w:r>
                  <w:r w:rsidRPr="3F8420A5">
                    <w:rPr>
                      <w:color w:val="FF0000"/>
                      <w:u w:val="single"/>
                    </w:rPr>
                    <w:t xml:space="preserve">. </w:t>
                  </w:r>
                  <w:r>
                    <w:rPr>
                      <w:color w:val="FF0000"/>
                      <w:u w:val="single"/>
                    </w:rPr>
                    <w:t xml:space="preserve">If the UE is configured with NCD-SSB by [NonCellDefiningSSB]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r w:rsidRPr="0069146A">
                    <w:rPr>
                      <w:rFonts w:eastAsia="SimSun"/>
                      <w:i/>
                      <w:iCs/>
                      <w:color w:val="FF0000"/>
                      <w:u w:val="single"/>
                      <w:lang w:eastAsia="zh-CN"/>
                    </w:rPr>
                    <w:t>NonCellDefiningSSB</w:t>
                  </w:r>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BWP-DownlinkDedicated</w:t>
                  </w:r>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r w:rsidRPr="00594317">
                    <w:rPr>
                      <w:rFonts w:eastAsia="SimSun"/>
                      <w:i/>
                      <w:iCs/>
                      <w:color w:val="FF0000"/>
                      <w:u w:val="single"/>
                    </w:rPr>
                    <w:t>NonCellDefiningSSB</w:t>
                  </w:r>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properties, if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r w:rsidRPr="000D05B4">
                    <w:rPr>
                      <w:rFonts w:eastAsia="SimSun"/>
                      <w:i/>
                      <w:color w:val="FF0000"/>
                      <w:u w:val="single"/>
                    </w:rPr>
                    <w:t>NonCellDefiningSSB</w:t>
                  </w:r>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r w:rsidRPr="000D05B4">
                    <w:rPr>
                      <w:rFonts w:eastAsia="SimSun"/>
                      <w:i/>
                      <w:color w:val="FF0000"/>
                      <w:u w:val="single"/>
                    </w:rPr>
                    <w:t>ssb-PositionsInBurst</w:t>
                  </w:r>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r w:rsidRPr="000D05B4">
                    <w:rPr>
                      <w:rFonts w:eastAsia="SimSun"/>
                      <w:i/>
                      <w:color w:val="FF0000"/>
                      <w:u w:val="single"/>
                    </w:rPr>
                    <w:t>ServingCellConfigCommon</w:t>
                  </w:r>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r w:rsidRPr="000D05B4">
                    <w:rPr>
                      <w:rFonts w:eastAsia="SimSun"/>
                      <w:i/>
                      <w:iCs/>
                      <w:color w:val="FF0000"/>
                      <w:u w:val="single"/>
                      <w:lang w:eastAsia="en-GB"/>
                    </w:rPr>
                    <w:t>NonCellDefiningSSB</w:t>
                  </w:r>
                  <w:r w:rsidRPr="001D3D1F">
                    <w:rPr>
                      <w:rFonts w:eastAsia="SimSun"/>
                      <w:color w:val="FF0000"/>
                      <w:u w:val="single"/>
                      <w:lang w:eastAsia="en-GB"/>
                    </w:rPr>
                    <w:t>]</w:t>
                  </w:r>
                  <w:r w:rsidRPr="000D05B4">
                    <w:rPr>
                      <w:rFonts w:eastAsia="SimSun"/>
                      <w:color w:val="FF0000"/>
                      <w:u w:val="single"/>
                      <w:lang w:eastAsia="en-GB"/>
                    </w:rPr>
                    <w:t>, if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r w:rsidRPr="000D05B4">
                    <w:rPr>
                      <w:rFonts w:eastAsia="SimSun"/>
                      <w:i/>
                      <w:iCs/>
                      <w:color w:val="FF0000"/>
                      <w:u w:val="single"/>
                      <w:lang w:val="x-none" w:eastAsia="en-GB"/>
                    </w:rPr>
                    <w:t>NonCellDefiningSSB</w:t>
                  </w:r>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The UE shall be allowed to use SSB outside the active DL BWP with interruptions only if there is no CSI-RS, no NCD SSB and no CD SSB configured for RLM/BM/BFD in the active BWP of the corresponding carrier(s). The UE supporting this feature shall indicate support of FG x-2 (subject to IoDT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Indicates support of BM/RLM/BFD based on NCD-SSB in the active DL BWP that is configured by [NonCellDefiningSSB] under BWP-DownlinkDedicated. If the UE is configured with NCD-SSB by [NonCellDefiningSSB]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For Option B-1-1, a new UE capability signalling to report the support of BM/RLM/BFD based on SSB outside the active BWP without interruption is necessary. It is not necessary to define separate capabilities for BM, RLM and BFD. SSB-based BFD (FG2-31, maxNumberSSB-BFD) is mandatory with capability signalling for FR2 and optional with capability signalling for FR1, and SSB-based BM (FG2-24, beamManagementSSB-CSI-RS) is also mandatory with capability signalling. Therefore, BFD/BM based on SSB outside the active BWP can be supported if the UE supports SSB-based BFD/BM and the new capability. The reporting type could be per band (same as bwp-WithoutRestriction).</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Proposal 1: Introduce a new UE capability signalling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For Option C, a new UE capability signalling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Proposal 2: Introduce a new UE capability signalling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signalling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Proposal 3: Introduce a new UE capability signalling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also support BM/RLM/BFD based on NCD-SSB within the active BWP (subject to IoDT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non-RedCap UEs are supposed to be optional (obviously, except for CA) for RedCap UEs, unless explicitly stated as not applicable. Thus, if this UE feature is not stated as non-applicable for RedCap, then gNB expects that the support of NCD-SSB from a UE should be aligned – i.e. for RedCap, UE should support both this FG and FG 28-1. So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signalling can be saved. Another consideration is the potential IoDT. This can be futher discussed whether needs to be taken into account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Per-band report might be preferable for IoDT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Rules/conditions applicability and corresponding UE behavior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ListParagraph"/>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ListParagraph"/>
              <w:numPr>
                <w:ilvl w:val="2"/>
                <w:numId w:val="19"/>
              </w:numPr>
              <w:jc w:val="left"/>
              <w:rPr>
                <w:rFonts w:eastAsia="SimSun"/>
              </w:rPr>
            </w:pPr>
            <w:r>
              <w:rPr>
                <w:rFonts w:eastAsia="SimSun"/>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ListParagraph"/>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SimSun"/>
              </w:rPr>
            </w:pPr>
            <w:r w:rsidRPr="00634344">
              <w:rPr>
                <w:rFonts w:eastAsia="SimSun"/>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On FG6-1a, it was found in the past discussion that companies have different views (e.g., whether support of CSI-RS based RLM/BM/BFD is required, etc). It should not be a good idea to use such FG6-1a as the prerequisite of new feature.</w:t>
            </w:r>
          </w:p>
          <w:p w14:paraId="572E469F" w14:textId="77777777" w:rsidR="00222356" w:rsidRPr="005517FE"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4FAADA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6FA6DA42" w14:textId="77777777" w:rsidR="00222356" w:rsidRPr="00222356" w:rsidRDefault="00222356" w:rsidP="00222356">
            <w:pPr>
              <w:jc w:val="left"/>
              <w:rPr>
                <w:rFonts w:eastAsia="SimSun"/>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ListParagraph"/>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[This FG is not applicable to RedCap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DengXian"/>
                <w:lang w:eastAsia="zh-CN"/>
              </w:rPr>
            </w:pPr>
            <w:r>
              <w:rPr>
                <w:rFonts w:eastAsia="DengXian"/>
                <w:lang w:eastAsia="zh-CN"/>
              </w:rPr>
              <w:t xml:space="preserve">On the component, since the new FG 53-1 is one workable FG to replace FG6-1a, we propose to add </w:t>
            </w:r>
            <w:r w:rsidR="0012297C">
              <w:rPr>
                <w:rFonts w:eastAsia="DengXian"/>
                <w:lang w:eastAsia="zh-CN"/>
              </w:rPr>
              <w:t>following</w:t>
            </w:r>
            <w:r>
              <w:rPr>
                <w:rFonts w:eastAsia="DengXian"/>
                <w:lang w:eastAsia="zh-CN"/>
              </w:rPr>
              <w:t xml:space="preserve"> component from FG6-1a </w:t>
            </w:r>
          </w:p>
          <w:p w14:paraId="6A5A8BF9" w14:textId="77777777" w:rsidR="0012297C" w:rsidRDefault="005F5CC1" w:rsidP="0012297C">
            <w:pPr>
              <w:pStyle w:val="ListParagraph"/>
              <w:numPr>
                <w:ilvl w:val="0"/>
                <w:numId w:val="38"/>
              </w:numPr>
              <w:jc w:val="left"/>
              <w:rPr>
                <w:rFonts w:eastAsia="DengXian"/>
                <w:lang w:eastAsia="zh-CN"/>
              </w:rPr>
            </w:pPr>
            <w:r w:rsidRPr="005F5CC1">
              <w:rPr>
                <w:rFonts w:eastAsia="DengXian"/>
                <w:lang w:eastAsia="zh-CN"/>
              </w:rPr>
              <w:t xml:space="preserve"> “</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DengXian"/>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[This FG is not applicable to RedCap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applicable to RedCap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0383B0A9" w14:textId="77777777" w:rsidR="0097096D" w:rsidRDefault="0097096D" w:rsidP="0097096D">
            <w:pPr>
              <w:jc w:val="left"/>
              <w:rPr>
                <w:rFonts w:eastAsia="DengXian"/>
                <w:lang w:eastAsia="zh-CN"/>
              </w:rPr>
            </w:pPr>
          </w:p>
          <w:p w14:paraId="6E1CEF3A"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671267DF"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4827D41E"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ListParagraph"/>
              <w:numPr>
                <w:ilvl w:val="0"/>
                <w:numId w:val="43"/>
              </w:numPr>
              <w:jc w:val="left"/>
              <w:rPr>
                <w:rFonts w:eastAsia="DengXian"/>
                <w:i/>
                <w:lang w:eastAsia="zh-CN"/>
              </w:rPr>
            </w:pPr>
            <w:r w:rsidRPr="00A51154">
              <w:rPr>
                <w:rFonts w:eastAsia="DengXian"/>
                <w:i/>
                <w:lang w:eastAsia="zh-CN"/>
              </w:rPr>
              <w:t>BW of UE-specific RRC configured BWP may not include BW of the CORESET#0 (if CORESET#0 is present) and SSB for PCell/PSCell (if configured) and BW of the UE-specific RRC configured BWP may not include SSB for Scell</w:t>
            </w:r>
          </w:p>
          <w:p w14:paraId="3C97C41F" w14:textId="77777777" w:rsidR="0097096D" w:rsidRDefault="0097096D" w:rsidP="0097096D">
            <w:pPr>
              <w:jc w:val="left"/>
              <w:rPr>
                <w:rFonts w:eastAsia="DengXian"/>
                <w:lang w:eastAsia="zh-CN"/>
              </w:rPr>
            </w:pPr>
          </w:p>
          <w:p w14:paraId="254B9D00"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DengXian"/>
                <w:lang w:eastAsia="zh-CN"/>
              </w:rPr>
            </w:pPr>
          </w:p>
          <w:p w14:paraId="2AD3BA78" w14:textId="10C0588C"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Huawei</w:t>
            </w:r>
            <w:r>
              <w:rPr>
                <w:rStyle w:val="normaltextrun"/>
                <w:rFonts w:eastAsia="DengXian"/>
                <w:sz w:val="20"/>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ListParagraph"/>
              <w:numPr>
                <w:ilvl w:val="0"/>
                <w:numId w:val="46"/>
              </w:numPr>
              <w:jc w:val="left"/>
              <w:rPr>
                <w:rFonts w:eastAsia="DengXian"/>
                <w:lang w:eastAsia="zh-CN"/>
              </w:rPr>
            </w:pPr>
            <w:r>
              <w:rPr>
                <w:rFonts w:eastAsia="DengXian"/>
                <w:lang w:eastAsia="zh-CN"/>
              </w:rPr>
              <w:t>Also do not see the need of 2</w:t>
            </w:r>
            <w:r w:rsidRPr="00ED167B">
              <w:rPr>
                <w:rFonts w:eastAsia="DengXian"/>
                <w:vertAlign w:val="superscript"/>
                <w:lang w:eastAsia="zh-CN"/>
              </w:rPr>
              <w:t>nd</w:t>
            </w:r>
            <w:r>
              <w:rPr>
                <w:rFonts w:eastAsia="DengXian"/>
                <w:lang w:eastAsia="zh-CN"/>
              </w:rPr>
              <w:t xml:space="preserve"> component.</w:t>
            </w:r>
          </w:p>
          <w:p w14:paraId="15940B90"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Ok with 6-1a as pre-requisite. </w:t>
            </w:r>
          </w:p>
          <w:p w14:paraId="76DB0FB2"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ListParagraph"/>
              <w:numPr>
                <w:ilvl w:val="0"/>
                <w:numId w:val="46"/>
              </w:numPr>
              <w:jc w:val="left"/>
              <w:rPr>
                <w:rFonts w:eastAsia="DengXian"/>
                <w:lang w:eastAsia="zh-CN"/>
              </w:rPr>
            </w:pPr>
            <w:r>
              <w:rPr>
                <w:rFonts w:eastAsia="DengXian" w:hint="eastAsia"/>
                <w:lang w:eastAsia="zh-CN"/>
              </w:rPr>
              <w:t>A</w:t>
            </w:r>
            <w:r>
              <w:rPr>
                <w:rFonts w:eastAsia="DengXian"/>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our proposal is to define candidate values of a BW range/size for UE to report. We think compared to the absolute location of SSB (e.g. below or above an active BWP), it is the distance from SSB to the current frequency location of a UE’s active BWP that matters more. Therefore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ListParagraph"/>
              <w:numPr>
                <w:ilvl w:val="0"/>
                <w:numId w:val="40"/>
              </w:numPr>
              <w:jc w:val="left"/>
              <w:rPr>
                <w:rFonts w:eastAsia="DengXian"/>
                <w:lang w:eastAsia="zh-CN"/>
              </w:rPr>
            </w:pPr>
            <w:r w:rsidRPr="00ED167B">
              <w:rPr>
                <w:rFonts w:eastAsiaTheme="minorEastAsia" w:cs="Arial"/>
                <w:b/>
                <w:i/>
                <w:lang w:eastAsia="zh-CN"/>
              </w:rPr>
              <w:t>Candidate values can be (a subset of) current UE channel BWs</w:t>
            </w:r>
          </w:p>
        </w:tc>
      </w:tr>
      <w:tr w:rsidR="00CB1972" w14:paraId="7DE56924" w14:textId="77777777" w:rsidTr="000F7586">
        <w:tc>
          <w:tcPr>
            <w:tcW w:w="1818" w:type="dxa"/>
            <w:tcBorders>
              <w:top w:val="single" w:sz="4" w:space="0" w:color="auto"/>
              <w:left w:val="single" w:sz="4" w:space="0" w:color="auto"/>
              <w:bottom w:val="single" w:sz="4" w:space="0" w:color="auto"/>
              <w:right w:val="single" w:sz="4" w:space="0" w:color="auto"/>
            </w:tcBorders>
          </w:tcPr>
          <w:p w14:paraId="2797FC26" w14:textId="3502F561" w:rsidR="00CB1972" w:rsidRDefault="00CB1972" w:rsidP="00CB1972">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D8C4D73" w14:textId="77777777" w:rsidR="00CB1972" w:rsidRDefault="00CB1972" w:rsidP="00CB1972">
            <w:pPr>
              <w:numPr>
                <w:ilvl w:val="0"/>
                <w:numId w:val="47"/>
              </w:numPr>
              <w:jc w:val="left"/>
              <w:rPr>
                <w:rFonts w:eastAsia="DengXian"/>
                <w:lang w:eastAsia="zh-CN"/>
              </w:rPr>
            </w:pPr>
            <w:r>
              <w:rPr>
                <w:rFonts w:eastAsia="DengXian"/>
                <w:lang w:eastAsia="zh-CN"/>
              </w:rPr>
              <w:t xml:space="preserve">Suggest removing component 2. </w:t>
            </w:r>
          </w:p>
          <w:p w14:paraId="1A840BFF" w14:textId="77777777" w:rsidR="00CB1972" w:rsidRDefault="00CB1972" w:rsidP="00CB1972">
            <w:pPr>
              <w:numPr>
                <w:ilvl w:val="0"/>
                <w:numId w:val="47"/>
              </w:numPr>
              <w:jc w:val="left"/>
              <w:rPr>
                <w:rFonts w:eastAsia="DengXian"/>
                <w:lang w:eastAsia="zh-CN"/>
              </w:rPr>
            </w:pPr>
            <w:r>
              <w:rPr>
                <w:rFonts w:eastAsia="DengXian"/>
                <w:lang w:eastAsia="zh-CN"/>
              </w:rPr>
              <w:t>Suggest removing FG 6-1a as pre-requisite and instead copying the component from FG 6-1a as suggested by ZTE.</w:t>
            </w:r>
          </w:p>
          <w:p w14:paraId="56CCF998" w14:textId="77777777" w:rsidR="00CB1972" w:rsidRDefault="00CB1972" w:rsidP="00CB1972">
            <w:pPr>
              <w:numPr>
                <w:ilvl w:val="0"/>
                <w:numId w:val="47"/>
              </w:numPr>
              <w:jc w:val="left"/>
              <w:rPr>
                <w:rFonts w:eastAsia="DengXian"/>
                <w:lang w:eastAsia="zh-CN"/>
              </w:rPr>
            </w:pPr>
            <w:r>
              <w:rPr>
                <w:rFonts w:eastAsia="DengXian"/>
                <w:lang w:eastAsia="zh-CN"/>
              </w:rPr>
              <w:t>Suggest removing the note related to RAN4.</w:t>
            </w:r>
          </w:p>
          <w:p w14:paraId="48DDE960" w14:textId="77777777" w:rsidR="00CB1972" w:rsidRDefault="00CB1972" w:rsidP="00CB1972">
            <w:pPr>
              <w:numPr>
                <w:ilvl w:val="0"/>
                <w:numId w:val="47"/>
              </w:numPr>
              <w:jc w:val="left"/>
              <w:rPr>
                <w:rFonts w:eastAsia="DengXian"/>
                <w:lang w:eastAsia="zh-CN"/>
              </w:rPr>
            </w:pPr>
            <w:r>
              <w:rPr>
                <w:rFonts w:eastAsia="DengXian"/>
                <w:lang w:eastAsia="zh-CN"/>
              </w:rPr>
              <w:t>Agree with the note about non-applicability to RedCap UEs.</w:t>
            </w:r>
          </w:p>
          <w:p w14:paraId="0CB103A4" w14:textId="1DD9D570" w:rsidR="00CB1972" w:rsidRPr="00CB1972" w:rsidRDefault="00CB1972" w:rsidP="00CB1972">
            <w:pPr>
              <w:numPr>
                <w:ilvl w:val="0"/>
                <w:numId w:val="47"/>
              </w:numPr>
              <w:jc w:val="left"/>
              <w:rPr>
                <w:rFonts w:eastAsia="DengXian"/>
                <w:lang w:eastAsia="zh-CN"/>
              </w:rPr>
            </w:pPr>
            <w:r w:rsidRPr="00CB1972">
              <w:rPr>
                <w:rFonts w:eastAsia="DengXian"/>
                <w:lang w:eastAsia="zh-CN"/>
              </w:rPr>
              <w:t>OK to keep the note [</w:t>
            </w:r>
            <w:r w:rsidRPr="00CB1972">
              <w:rPr>
                <w:rFonts w:eastAsia="Yu Mincho"/>
                <w:highlight w:val="yellow"/>
                <w:lang w:eastAsia="ja-JP"/>
              </w:rPr>
              <w:t>UE indicates at most one of FG 53-1 and FG 53-2</w:t>
            </w:r>
            <w:r w:rsidRPr="00CB1972">
              <w:rPr>
                <w:rFonts w:eastAsia="DengXian"/>
                <w:lang w:eastAsia="zh-CN"/>
              </w:rPr>
              <w:t>] or it could be captured in the signalling structure – this aspect could be left up to RAN2.</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53. NR_BWP_wor</w:t>
            </w:r>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The interruption time and corresponding UE behavior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[This FG is not applicable to RedCap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394A9426" w14:textId="4900000C"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w:t>
            </w:r>
            <w:r w:rsidR="007C2D95">
              <w:rPr>
                <w:rFonts w:eastAsiaTheme="minorEastAsia"/>
                <w:lang w:eastAsia="ja-JP"/>
              </w:rPr>
              <w:t>e</w:t>
            </w:r>
            <w:r>
              <w:rPr>
                <w:rFonts w:eastAsiaTheme="minorEastAsia"/>
                <w:lang w:eastAsia="ja-JP"/>
              </w:rPr>
              <w:t>s.</w:t>
            </w:r>
          </w:p>
          <w:p w14:paraId="3FE0189D" w14:textId="77777777" w:rsidR="00222356" w:rsidRPr="00222356" w:rsidRDefault="00222356" w:rsidP="00222356">
            <w:pPr>
              <w:jc w:val="left"/>
              <w:rPr>
                <w:rFonts w:eastAsia="SimSun"/>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lastRenderedPageBreak/>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DengXian"/>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ListParagraph"/>
              <w:numPr>
                <w:ilvl w:val="0"/>
                <w:numId w:val="38"/>
              </w:numPr>
              <w:jc w:val="left"/>
              <w:rPr>
                <w:rFonts w:eastAsia="DengXian"/>
                <w:lang w:eastAsia="zh-CN"/>
              </w:rPr>
            </w:pPr>
            <w:r w:rsidRPr="005F5CC1">
              <w:rPr>
                <w:rFonts w:eastAsia="DengXian"/>
                <w:lang w:eastAsia="zh-CN"/>
              </w:rPr>
              <w:t>“</w:t>
            </w:r>
            <w:r w:rsidRPr="005F5CC1">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r w:rsidRPr="005F5CC1">
              <w:rPr>
                <w:rFonts w:eastAsia="DengXian"/>
                <w:lang w:eastAsia="zh-CN"/>
              </w:rPr>
              <w:t>”</w:t>
            </w:r>
          </w:p>
          <w:p w14:paraId="70D3A083" w14:textId="6B2F1ADA" w:rsidR="00DB60EA" w:rsidRPr="006961AC" w:rsidRDefault="006961AC" w:rsidP="006961AC">
            <w:pPr>
              <w:jc w:val="left"/>
              <w:rPr>
                <w:rFonts w:eastAsiaTheme="minorEastAsia"/>
                <w:lang w:eastAsia="ja-JP"/>
              </w:rPr>
            </w:pPr>
            <w:r>
              <w:rPr>
                <w:rFonts w:eastAsia="DengXian" w:hint="eastAsia"/>
                <w:lang w:eastAsia="zh-CN"/>
              </w:rPr>
              <w:t>O</w:t>
            </w:r>
            <w:r>
              <w:rPr>
                <w:rFonts w:eastAsia="DengXian"/>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DengXian"/>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DengXian" w:hint="eastAsia"/>
                <w:lang w:eastAsia="zh-CN"/>
              </w:rPr>
              <w:t>:</w:t>
            </w:r>
            <w:r w:rsidR="002C0839">
              <w:rPr>
                <w:rFonts w:eastAsia="DengXian"/>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DengXian"/>
                <w:lang w:eastAsia="zh-CN"/>
              </w:rPr>
              <w:t xml:space="preserve">: Same </w:t>
            </w:r>
            <w:r>
              <w:rPr>
                <w:rFonts w:eastAsia="DengXian"/>
                <w:lang w:eastAsia="zh-CN"/>
              </w:rPr>
              <w:t xml:space="preserve">as for FG53-1, we prefer </w:t>
            </w:r>
            <w:r w:rsidR="00243577">
              <w:rPr>
                <w:rFonts w:eastAsia="DengXian"/>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[This FG is not applicable to RedCap Ues.]</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2613F33C" w14:textId="77777777" w:rsidR="0097096D" w:rsidRDefault="0097096D" w:rsidP="0097096D">
            <w:pPr>
              <w:jc w:val="left"/>
              <w:rPr>
                <w:rFonts w:eastAsia="DengXian"/>
                <w:lang w:eastAsia="zh-CN"/>
              </w:rPr>
            </w:pPr>
          </w:p>
          <w:p w14:paraId="66670575"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19495058"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2C9BF698"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ListParagraph"/>
              <w:numPr>
                <w:ilvl w:val="0"/>
                <w:numId w:val="44"/>
              </w:numPr>
              <w:jc w:val="left"/>
              <w:rPr>
                <w:rFonts w:eastAsia="DengXian"/>
                <w:i/>
                <w:lang w:eastAsia="zh-CN"/>
              </w:rPr>
            </w:pPr>
            <w:r w:rsidRPr="00A51154">
              <w:rPr>
                <w:rFonts w:eastAsia="DengXian"/>
                <w:i/>
                <w:lang w:eastAsia="zh-CN"/>
              </w:rPr>
              <w:t>BW of UE-specific RRC configured BWP may not include BW of the CORESET#0 (if CORESET#0 is present) and SSB for PCell/PSCell (if configured) and BW of the UE-specific RRC configured BWP may not include SSB for Scell</w:t>
            </w:r>
          </w:p>
          <w:p w14:paraId="729D3AC9" w14:textId="77777777" w:rsidR="0097096D" w:rsidRDefault="0097096D" w:rsidP="0097096D">
            <w:pPr>
              <w:jc w:val="left"/>
              <w:rPr>
                <w:rFonts w:eastAsia="DengXian"/>
                <w:lang w:eastAsia="zh-CN"/>
              </w:rPr>
            </w:pPr>
          </w:p>
          <w:p w14:paraId="14E5356C"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DengXian"/>
                <w:lang w:eastAsia="zh-CN"/>
              </w:rPr>
            </w:pPr>
          </w:p>
          <w:p w14:paraId="6E2E43E3" w14:textId="69105160" w:rsidR="0097096D" w:rsidRDefault="0097096D" w:rsidP="0097096D">
            <w:pPr>
              <w:jc w:val="left"/>
              <w:rPr>
                <w:rFonts w:eastAsiaTheme="minorEastAsia"/>
                <w:lang w:eastAsia="ja-JP"/>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6D2363" w14:paraId="56D526C9" w14:textId="77777777" w:rsidTr="00F82940">
        <w:tc>
          <w:tcPr>
            <w:tcW w:w="1818" w:type="dxa"/>
            <w:tcBorders>
              <w:top w:val="single" w:sz="4" w:space="0" w:color="auto"/>
              <w:left w:val="single" w:sz="4" w:space="0" w:color="auto"/>
              <w:bottom w:val="single" w:sz="4" w:space="0" w:color="auto"/>
              <w:right w:val="single" w:sz="4" w:space="0" w:color="auto"/>
            </w:tcBorders>
          </w:tcPr>
          <w:p w14:paraId="72806E78" w14:textId="3C8D464F" w:rsidR="006D2363" w:rsidRDefault="006D2363" w:rsidP="006D2363">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CF1267" w14:textId="77777777" w:rsidR="006D2363" w:rsidRDefault="006D2363" w:rsidP="006D2363">
            <w:pPr>
              <w:numPr>
                <w:ilvl w:val="0"/>
                <w:numId w:val="48"/>
              </w:numPr>
              <w:jc w:val="left"/>
              <w:rPr>
                <w:rFonts w:eastAsia="DengXian"/>
                <w:lang w:eastAsia="zh-CN"/>
              </w:rPr>
            </w:pPr>
            <w:r>
              <w:rPr>
                <w:rFonts w:eastAsia="DengXian"/>
                <w:lang w:eastAsia="zh-CN"/>
              </w:rPr>
              <w:t xml:space="preserve">Suggest removing component 2. </w:t>
            </w:r>
          </w:p>
          <w:p w14:paraId="2D01BAC2" w14:textId="77777777" w:rsidR="006D2363" w:rsidRDefault="006D2363" w:rsidP="006D2363">
            <w:pPr>
              <w:numPr>
                <w:ilvl w:val="0"/>
                <w:numId w:val="48"/>
              </w:numPr>
              <w:jc w:val="left"/>
              <w:rPr>
                <w:rFonts w:eastAsia="DengXian"/>
                <w:lang w:eastAsia="zh-CN"/>
              </w:rPr>
            </w:pPr>
            <w:r>
              <w:rPr>
                <w:rFonts w:eastAsia="DengXian"/>
                <w:lang w:eastAsia="zh-CN"/>
              </w:rPr>
              <w:t>Suggest removing FG 6-1a as pre-requisite and instead copying the component from FG 6-1a as suggested by ZTE.</w:t>
            </w:r>
          </w:p>
          <w:p w14:paraId="366666F0" w14:textId="77777777" w:rsidR="006D2363" w:rsidRDefault="006D2363" w:rsidP="006D2363">
            <w:pPr>
              <w:numPr>
                <w:ilvl w:val="0"/>
                <w:numId w:val="48"/>
              </w:numPr>
              <w:jc w:val="left"/>
              <w:rPr>
                <w:rFonts w:eastAsia="DengXian"/>
                <w:lang w:eastAsia="zh-CN"/>
              </w:rPr>
            </w:pPr>
            <w:r>
              <w:rPr>
                <w:rFonts w:eastAsia="DengXian"/>
                <w:lang w:eastAsia="zh-CN"/>
              </w:rPr>
              <w:t>Suggest removing the note related to RAN4.</w:t>
            </w:r>
          </w:p>
          <w:p w14:paraId="75F5D33F" w14:textId="77777777" w:rsidR="006D2363" w:rsidRDefault="006D2363" w:rsidP="006D2363">
            <w:pPr>
              <w:numPr>
                <w:ilvl w:val="0"/>
                <w:numId w:val="48"/>
              </w:numPr>
              <w:jc w:val="left"/>
              <w:rPr>
                <w:rFonts w:eastAsia="DengXian"/>
                <w:lang w:eastAsia="zh-CN"/>
              </w:rPr>
            </w:pPr>
            <w:r>
              <w:rPr>
                <w:rFonts w:eastAsia="DengXian"/>
                <w:lang w:eastAsia="zh-CN"/>
              </w:rPr>
              <w:t>Agree with the note about non-applicability to RedCap UEs.</w:t>
            </w:r>
          </w:p>
          <w:p w14:paraId="441AE522" w14:textId="10786636" w:rsidR="006D2363" w:rsidRPr="006D2363" w:rsidRDefault="006D2363" w:rsidP="006D2363">
            <w:pPr>
              <w:numPr>
                <w:ilvl w:val="0"/>
                <w:numId w:val="48"/>
              </w:numPr>
              <w:jc w:val="left"/>
              <w:rPr>
                <w:rFonts w:eastAsia="DengXian" w:hint="eastAsia"/>
                <w:lang w:eastAsia="zh-CN"/>
              </w:rPr>
            </w:pPr>
            <w:r w:rsidRPr="006D2363">
              <w:rPr>
                <w:rFonts w:eastAsia="DengXian"/>
                <w:lang w:eastAsia="zh-CN"/>
              </w:rPr>
              <w:t>OK to keep the note [</w:t>
            </w:r>
            <w:r w:rsidRPr="006D2363">
              <w:rPr>
                <w:rFonts w:eastAsia="Yu Mincho"/>
                <w:highlight w:val="yellow"/>
                <w:lang w:eastAsia="ja-JP"/>
              </w:rPr>
              <w:t>UE indicates at most one of FG 53-1 and FG 53-2</w:t>
            </w:r>
            <w:r w:rsidRPr="006D2363">
              <w:rPr>
                <w:rFonts w:eastAsia="DengXian"/>
                <w:lang w:eastAsia="zh-CN"/>
              </w:rPr>
              <w:t>] or it could be captured in the signalling structure – this aspect could be left up to RAN2.</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ListParagraph"/>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ListParagraph"/>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ListParagraph"/>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SimSun"/>
                <w:b/>
                <w:bCs/>
              </w:rPr>
            </w:pPr>
            <w:r w:rsidRPr="007C48B0">
              <w:rPr>
                <w:rFonts w:eastAsia="SimSun"/>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w:t>
            </w:r>
            <w:r w:rsidR="007C2D95" w:rsidRPr="00691806">
              <w:rPr>
                <w:rFonts w:eastAsiaTheme="minorEastAsia"/>
                <w:highlight w:val="yellow"/>
                <w:lang w:eastAsia="ja-JP"/>
              </w:rPr>
              <w:t>e</w:t>
            </w:r>
            <w:r w:rsidRPr="00691806">
              <w:rPr>
                <w:rFonts w:eastAsiaTheme="minorEastAsia"/>
                <w:highlight w:val="yellow"/>
                <w:lang w:eastAsia="ja-JP"/>
              </w:rPr>
              <w:t>s.]</w:t>
            </w:r>
          </w:p>
          <w:p w14:paraId="6BD9EFC0" w14:textId="10C71D51"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non-RedCap U</w:t>
            </w:r>
            <w:r w:rsidR="007C2D95">
              <w:rPr>
                <w:rFonts w:eastAsiaTheme="minorEastAsia"/>
                <w:lang w:eastAsia="ja-JP"/>
              </w:rPr>
              <w:t>e</w:t>
            </w:r>
            <w:r>
              <w:rPr>
                <w:rFonts w:eastAsiaTheme="minorEastAsia"/>
                <w:lang w:eastAsia="ja-JP"/>
              </w:rPr>
              <w:t>s.</w:t>
            </w:r>
          </w:p>
          <w:p w14:paraId="677C7F1E" w14:textId="77777777" w:rsidR="00222356" w:rsidRPr="00222356" w:rsidRDefault="00222356" w:rsidP="00222356">
            <w:pPr>
              <w:jc w:val="left"/>
              <w:rPr>
                <w:rFonts w:eastAsia="SimSun"/>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It is unclear what it means that a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DengXian" w:hint="eastAsia"/>
                <w:lang w:eastAsia="zh-CN"/>
              </w:rPr>
              <w:t>O</w:t>
            </w:r>
            <w:r>
              <w:rPr>
                <w:rFonts w:eastAsia="DengXian"/>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DengXian"/>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[This FG is not applicable to RedCap Ues.]</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applicable to RedCap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DengXian"/>
                <w:lang w:eastAsia="zh-CN"/>
              </w:rPr>
              <w:t>RLM/BM/BFD measurements</w:t>
            </w:r>
            <w:r>
              <w:rPr>
                <w:rFonts w:eastAsia="DengXian"/>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ListParagraph"/>
              <w:numPr>
                <w:ilvl w:val="0"/>
                <w:numId w:val="45"/>
              </w:numPr>
              <w:jc w:val="left"/>
              <w:rPr>
                <w:rFonts w:eastAsia="DengXian"/>
                <w:i/>
                <w:lang w:eastAsia="zh-CN"/>
              </w:rPr>
            </w:pPr>
            <w:r w:rsidRPr="00A51154">
              <w:rPr>
                <w:rFonts w:eastAsia="DengXian"/>
                <w:i/>
                <w:lang w:eastAsia="zh-CN"/>
              </w:rPr>
              <w:t>BW of UE-specific RRC configured BWP may not include BW of the CORESET#0 (if CORESET#0 is present) and SSB for PCell/PSCell (if configured) and BW of the UE-specific RRC configured BWP may not include SSB for Scell</w:t>
            </w:r>
          </w:p>
          <w:p w14:paraId="74E31C81" w14:textId="77777777" w:rsidR="0097096D" w:rsidRDefault="0097096D" w:rsidP="0097096D">
            <w:pPr>
              <w:jc w:val="left"/>
              <w:rPr>
                <w:rFonts w:eastAsia="DengXian"/>
                <w:lang w:eastAsia="zh-CN"/>
              </w:rPr>
            </w:pPr>
          </w:p>
          <w:p w14:paraId="47C96DA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DengXian"/>
                <w:lang w:eastAsia="zh-CN"/>
              </w:rPr>
            </w:pPr>
          </w:p>
          <w:p w14:paraId="208067AF" w14:textId="06C64E8B"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[This FG is not applicable to RedCap UEs.]</w:t>
            </w:r>
            <w:r>
              <w:rPr>
                <w:rFonts w:eastAsia="DengXian"/>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DengXian"/>
                <w:lang w:eastAsia="zh-CN"/>
              </w:rPr>
            </w:pPr>
            <w:r>
              <w:rPr>
                <w:rFonts w:eastAsia="DengXian"/>
                <w:lang w:eastAsia="zh-CN"/>
              </w:rPr>
              <w:t>For this one, perhaps 6-1a is not necessary for pre-requisite.</w:t>
            </w:r>
          </w:p>
          <w:p w14:paraId="55640D5E" w14:textId="31E6CDBC" w:rsidR="00A60BE1" w:rsidRDefault="00A60BE1" w:rsidP="0097096D">
            <w:pPr>
              <w:jc w:val="left"/>
              <w:rPr>
                <w:rFonts w:eastAsia="DengXian"/>
                <w:lang w:eastAsia="zh-CN"/>
              </w:rPr>
            </w:pPr>
            <w:r>
              <w:rPr>
                <w:rFonts w:eastAsia="DengXian" w:hint="eastAsia"/>
                <w:lang w:eastAsia="zh-CN"/>
              </w:rPr>
              <w:t>F</w:t>
            </w:r>
            <w:r>
              <w:rPr>
                <w:rFonts w:eastAsia="DengXian"/>
                <w:lang w:eastAsia="zh-CN"/>
              </w:rPr>
              <w:t>or component 4, can clarify where is it proposed?</w:t>
            </w:r>
            <w:r w:rsidR="0060339E">
              <w:rPr>
                <w:rFonts w:eastAsia="DengXian"/>
                <w:lang w:eastAsia="zh-CN"/>
              </w:rPr>
              <w:t xml:space="preserve"> We think it should be for UE to indicate its capability and there is no need to indicate what is ‘not required’, unless </w:t>
            </w:r>
            <w:r w:rsidR="00C8713C">
              <w:rPr>
                <w:rFonts w:eastAsia="DengXian"/>
                <w:lang w:eastAsia="zh-CN"/>
              </w:rPr>
              <w:t xml:space="preserve">the intention </w:t>
            </w:r>
            <w:r w:rsidR="0060339E">
              <w:rPr>
                <w:rFonts w:eastAsia="DengXian"/>
                <w:lang w:eastAsia="zh-CN"/>
              </w:rPr>
              <w:t xml:space="preserve">is </w:t>
            </w:r>
            <w:r w:rsidR="0060339E">
              <w:rPr>
                <w:rFonts w:eastAsia="DengXian" w:hint="eastAsia"/>
                <w:lang w:eastAsia="zh-CN"/>
              </w:rPr>
              <w:t>to</w:t>
            </w:r>
            <w:r w:rsidR="0060339E">
              <w:rPr>
                <w:rFonts w:eastAsia="DengXian"/>
                <w:lang w:eastAsia="zh-CN"/>
              </w:rPr>
              <w:t xml:space="preserve"> </w:t>
            </w:r>
            <w:r w:rsidR="00C8713C">
              <w:rPr>
                <w:rFonts w:eastAsia="DengXian"/>
                <w:lang w:eastAsia="zh-CN"/>
              </w:rPr>
              <w:t xml:space="preserve">tell that </w:t>
            </w:r>
            <w:r w:rsidR="0060339E">
              <w:rPr>
                <w:rFonts w:eastAsia="DengXian"/>
                <w:lang w:eastAsia="zh-CN"/>
              </w:rPr>
              <w:t>simultaneous</w:t>
            </w:r>
            <w:r w:rsidR="00C8713C">
              <w:rPr>
                <w:rFonts w:eastAsia="DengXian"/>
                <w:lang w:eastAsia="zh-CN"/>
              </w:rPr>
              <w:t xml:space="preserve"> </w:t>
            </w:r>
            <w:r w:rsidR="0060339E">
              <w:rPr>
                <w:rFonts w:eastAsia="DengXian"/>
                <w:lang w:eastAsia="zh-CN"/>
              </w:rPr>
              <w:t>CD-SSB based measurements</w:t>
            </w:r>
            <w:r w:rsidR="00C8713C">
              <w:rPr>
                <w:rFonts w:eastAsia="DengXian"/>
                <w:lang w:eastAsia="zh-CN"/>
              </w:rPr>
              <w:t xml:space="preserve"> is not possible for UE to perform</w:t>
            </w:r>
            <w:r w:rsidR="0060339E">
              <w:rPr>
                <w:rFonts w:eastAsia="DengXian"/>
                <w:lang w:eastAsia="zh-CN"/>
              </w:rPr>
              <w:t xml:space="preserve">. </w:t>
            </w:r>
          </w:p>
          <w:p w14:paraId="09E2E63F" w14:textId="77777777" w:rsidR="00A60BE1" w:rsidRPr="007C2D95" w:rsidRDefault="00A60BE1" w:rsidP="00A60BE1">
            <w:pPr>
              <w:pStyle w:val="ListParagraph"/>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DengXian"/>
                <w:lang w:eastAsia="zh-CN"/>
              </w:rPr>
            </w:pPr>
          </w:p>
        </w:tc>
      </w:tr>
      <w:tr w:rsidR="007734F9" w14:paraId="22D1976A" w14:textId="77777777" w:rsidTr="00B43349">
        <w:tc>
          <w:tcPr>
            <w:tcW w:w="1818" w:type="dxa"/>
            <w:tcBorders>
              <w:top w:val="single" w:sz="4" w:space="0" w:color="auto"/>
              <w:left w:val="single" w:sz="4" w:space="0" w:color="auto"/>
              <w:bottom w:val="single" w:sz="4" w:space="0" w:color="auto"/>
              <w:right w:val="single" w:sz="4" w:space="0" w:color="auto"/>
            </w:tcBorders>
          </w:tcPr>
          <w:p w14:paraId="431CC954" w14:textId="496BBC7C" w:rsidR="007734F9" w:rsidRDefault="007734F9" w:rsidP="007734F9">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2C227FB" w14:textId="77777777" w:rsidR="007734F9" w:rsidRDefault="007734F9" w:rsidP="007734F9">
            <w:pPr>
              <w:numPr>
                <w:ilvl w:val="0"/>
                <w:numId w:val="49"/>
              </w:numPr>
              <w:jc w:val="left"/>
              <w:rPr>
                <w:rFonts w:eastAsia="DengXian"/>
                <w:lang w:eastAsia="zh-CN"/>
              </w:rPr>
            </w:pPr>
            <w:r>
              <w:rPr>
                <w:rFonts w:eastAsia="DengXian"/>
                <w:lang w:eastAsia="zh-CN"/>
              </w:rPr>
              <w:t>Suggest removing FG 6-1a as pre-requisite and instead copying the component from FG 6-1a as suggested by ZTE.</w:t>
            </w:r>
          </w:p>
          <w:p w14:paraId="72099F53" w14:textId="77777777" w:rsidR="007734F9" w:rsidRDefault="007734F9" w:rsidP="007734F9">
            <w:pPr>
              <w:numPr>
                <w:ilvl w:val="0"/>
                <w:numId w:val="49"/>
              </w:numPr>
              <w:jc w:val="left"/>
              <w:rPr>
                <w:rFonts w:eastAsia="DengXian"/>
                <w:lang w:eastAsia="zh-CN"/>
              </w:rPr>
            </w:pPr>
            <w:r w:rsidRPr="007734F9">
              <w:rPr>
                <w:rFonts w:eastAsia="DengXian"/>
                <w:lang w:eastAsia="zh-CN"/>
              </w:rPr>
              <w:t>Agree with the note about non-applicability to RedCap UEs.</w:t>
            </w:r>
          </w:p>
          <w:p w14:paraId="42647461" w14:textId="7F8D021A" w:rsidR="00E74627" w:rsidRPr="007734F9" w:rsidRDefault="008B4EAF" w:rsidP="007734F9">
            <w:pPr>
              <w:numPr>
                <w:ilvl w:val="0"/>
                <w:numId w:val="49"/>
              </w:numPr>
              <w:jc w:val="left"/>
              <w:rPr>
                <w:rFonts w:eastAsia="DengXian"/>
                <w:lang w:eastAsia="zh-CN"/>
              </w:rPr>
            </w:pPr>
            <w:r>
              <w:rPr>
                <w:rFonts w:eastAsia="DengXian"/>
                <w:lang w:eastAsia="zh-CN"/>
              </w:rPr>
              <w:t>We have a similar question as raised by Huawei on whether the second component (‘4’) is necessary/appropriate.</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Vodafone Italia SpA</w:t>
      </w:r>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6757" w14:textId="77777777" w:rsidR="00A8610E" w:rsidRDefault="00A8610E" w:rsidP="00FF028D">
      <w:pPr>
        <w:spacing w:before="0" w:after="0"/>
      </w:pPr>
      <w:r>
        <w:separator/>
      </w:r>
    </w:p>
  </w:endnote>
  <w:endnote w:type="continuationSeparator" w:id="0">
    <w:p w14:paraId="3726F8A2" w14:textId="77777777" w:rsidR="00A8610E" w:rsidRDefault="00A8610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6CF4" w14:textId="77777777" w:rsidR="00A8610E" w:rsidRDefault="00A8610E" w:rsidP="00FF028D">
      <w:pPr>
        <w:spacing w:before="0" w:after="0"/>
      </w:pPr>
      <w:r>
        <w:separator/>
      </w:r>
    </w:p>
  </w:footnote>
  <w:footnote w:type="continuationSeparator" w:id="0">
    <w:p w14:paraId="761FE974" w14:textId="77777777" w:rsidR="00A8610E" w:rsidRDefault="00A8610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397"/>
    <w:multiLevelType w:val="hybridMultilevel"/>
    <w:tmpl w:val="375E60A6"/>
    <w:lvl w:ilvl="0" w:tplc="C0F4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5"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6F17963"/>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27962"/>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8712336">
    <w:abstractNumId w:val="40"/>
  </w:num>
  <w:num w:numId="2" w16cid:durableId="1639067316">
    <w:abstractNumId w:val="26"/>
  </w:num>
  <w:num w:numId="3" w16cid:durableId="64881477">
    <w:abstractNumId w:val="9"/>
  </w:num>
  <w:num w:numId="4" w16cid:durableId="534579962">
    <w:abstractNumId w:val="16"/>
  </w:num>
  <w:num w:numId="5" w16cid:durableId="497042507">
    <w:abstractNumId w:val="27"/>
  </w:num>
  <w:num w:numId="6" w16cid:durableId="391275230">
    <w:abstractNumId w:val="24"/>
  </w:num>
  <w:num w:numId="7" w16cid:durableId="16758385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165517">
    <w:abstractNumId w:val="19"/>
  </w:num>
  <w:num w:numId="9" w16cid:durableId="12766422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994166">
    <w:abstractNumId w:val="17"/>
  </w:num>
  <w:num w:numId="11" w16cid:durableId="680813360">
    <w:abstractNumId w:val="29"/>
  </w:num>
  <w:num w:numId="12" w16cid:durableId="1413548326">
    <w:abstractNumId w:val="41"/>
  </w:num>
  <w:num w:numId="13" w16cid:durableId="148375390">
    <w:abstractNumId w:val="28"/>
  </w:num>
  <w:num w:numId="14" w16cid:durableId="1183477546">
    <w:abstractNumId w:val="5"/>
  </w:num>
  <w:num w:numId="15" w16cid:durableId="451632273">
    <w:abstractNumId w:val="11"/>
  </w:num>
  <w:num w:numId="16" w16cid:durableId="966424831">
    <w:abstractNumId w:val="45"/>
  </w:num>
  <w:num w:numId="17" w16cid:durableId="1196579256">
    <w:abstractNumId w:val="36"/>
  </w:num>
  <w:num w:numId="18" w16cid:durableId="693457822">
    <w:abstractNumId w:val="23"/>
  </w:num>
  <w:num w:numId="19" w16cid:durableId="1030184569">
    <w:abstractNumId w:val="38"/>
  </w:num>
  <w:num w:numId="20" w16cid:durableId="449325483">
    <w:abstractNumId w:val="0"/>
  </w:num>
  <w:num w:numId="21" w16cid:durableId="285238780">
    <w:abstractNumId w:val="4"/>
  </w:num>
  <w:num w:numId="22" w16cid:durableId="539245236">
    <w:abstractNumId w:val="6"/>
  </w:num>
  <w:num w:numId="23" w16cid:durableId="1645161664">
    <w:abstractNumId w:val="37"/>
  </w:num>
  <w:num w:numId="24" w16cid:durableId="922448263">
    <w:abstractNumId w:val="32"/>
  </w:num>
  <w:num w:numId="25" w16cid:durableId="1812865223">
    <w:abstractNumId w:val="18"/>
  </w:num>
  <w:num w:numId="26" w16cid:durableId="2083214082">
    <w:abstractNumId w:val="13"/>
  </w:num>
  <w:num w:numId="27" w16cid:durableId="1834175458">
    <w:abstractNumId w:val="46"/>
  </w:num>
  <w:num w:numId="28" w16cid:durableId="872154711">
    <w:abstractNumId w:val="30"/>
  </w:num>
  <w:num w:numId="29" w16cid:durableId="894199231">
    <w:abstractNumId w:val="12"/>
  </w:num>
  <w:num w:numId="30" w16cid:durableId="1554846133">
    <w:abstractNumId w:val="39"/>
  </w:num>
  <w:num w:numId="31" w16cid:durableId="2142188578">
    <w:abstractNumId w:val="15"/>
  </w:num>
  <w:num w:numId="32" w16cid:durableId="1806314164">
    <w:abstractNumId w:val="31"/>
  </w:num>
  <w:num w:numId="33" w16cid:durableId="1138959212">
    <w:abstractNumId w:val="3"/>
  </w:num>
  <w:num w:numId="34" w16cid:durableId="1280573791">
    <w:abstractNumId w:val="7"/>
  </w:num>
  <w:num w:numId="35" w16cid:durableId="360865224">
    <w:abstractNumId w:val="42"/>
  </w:num>
  <w:num w:numId="36" w16cid:durableId="1281643099">
    <w:abstractNumId w:val="20"/>
  </w:num>
  <w:num w:numId="37" w16cid:durableId="45641627">
    <w:abstractNumId w:val="35"/>
  </w:num>
  <w:num w:numId="38" w16cid:durableId="85883609">
    <w:abstractNumId w:val="33"/>
  </w:num>
  <w:num w:numId="39" w16cid:durableId="848256233">
    <w:abstractNumId w:val="14"/>
  </w:num>
  <w:num w:numId="40" w16cid:durableId="1210339770">
    <w:abstractNumId w:val="2"/>
  </w:num>
  <w:num w:numId="41" w16cid:durableId="2097436605">
    <w:abstractNumId w:val="22"/>
  </w:num>
  <w:num w:numId="42" w16cid:durableId="363331664">
    <w:abstractNumId w:val="21"/>
  </w:num>
  <w:num w:numId="43" w16cid:durableId="799112355">
    <w:abstractNumId w:val="10"/>
  </w:num>
  <w:num w:numId="44" w16cid:durableId="294877619">
    <w:abstractNumId w:val="1"/>
  </w:num>
  <w:num w:numId="45" w16cid:durableId="1033766193">
    <w:abstractNumId w:val="34"/>
  </w:num>
  <w:num w:numId="46" w16cid:durableId="1182161361">
    <w:abstractNumId w:val="25"/>
  </w:num>
  <w:num w:numId="47" w16cid:durableId="1279410913">
    <w:abstractNumId w:val="8"/>
  </w:num>
  <w:num w:numId="48" w16cid:durableId="360402674">
    <w:abstractNumId w:val="44"/>
  </w:num>
  <w:num w:numId="49" w16cid:durableId="452596818">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1D5"/>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36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4F9"/>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4EAF"/>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72"/>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4627"/>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7B"/>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A1C3D-9FC0-4BB2-AED7-3A52F0ED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9919</Words>
  <Characters>56539</Characters>
  <Application>Microsoft Office Word</Application>
  <DocSecurity>0</DocSecurity>
  <Lines>471</Lines>
  <Paragraphs>132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Chatterjee, Debdeep</cp:lastModifiedBy>
  <cp:revision>10</cp:revision>
  <cp:lastPrinted>2020-07-20T16:11:00Z</cp:lastPrinted>
  <dcterms:created xsi:type="dcterms:W3CDTF">2023-04-18T06:27:00Z</dcterms:created>
  <dcterms:modified xsi:type="dcterms:W3CDTF">2023-04-18T06:48:00Z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