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B0DA1" w14:textId="77777777"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Heading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Regarding general scenarios (orbit / frequency / types of receiver), the following points summarize the input from companies:</w:t>
      </w:r>
    </w:p>
    <w:p w14:paraId="3726031E" w14:textId="77777777" w:rsidR="00EF613A" w:rsidRDefault="00C11C58">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pPr>
        <w:pStyle w:val="ListParagraph"/>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ListParagraph"/>
        <w:numPr>
          <w:ilvl w:val="0"/>
          <w:numId w:val="7"/>
        </w:numPr>
        <w:jc w:val="both"/>
        <w:rPr>
          <w:b/>
          <w:bCs/>
        </w:rPr>
      </w:pPr>
      <w:r>
        <w:rPr>
          <w:b/>
          <w:bCs/>
        </w:rPr>
        <w:t>Transparent payload without ISL</w:t>
      </w:r>
    </w:p>
    <w:p w14:paraId="0B1C538E" w14:textId="77777777" w:rsidR="00EF613A" w:rsidRDefault="00C11C58">
      <w:pPr>
        <w:pStyle w:val="ListParagraph"/>
        <w:numPr>
          <w:ilvl w:val="0"/>
          <w:numId w:val="7"/>
        </w:numPr>
        <w:jc w:val="both"/>
        <w:rPr>
          <w:b/>
          <w:bCs/>
        </w:rPr>
      </w:pPr>
      <w:r>
        <w:rPr>
          <w:b/>
          <w:bCs/>
        </w:rPr>
        <w:t>S-band (2GHz)</w:t>
      </w:r>
    </w:p>
    <w:p w14:paraId="58BE2356" w14:textId="77777777" w:rsidR="00EF613A" w:rsidRDefault="00C11C58">
      <w:pPr>
        <w:pStyle w:val="ListParagraph"/>
        <w:numPr>
          <w:ilvl w:val="0"/>
          <w:numId w:val="7"/>
        </w:numPr>
        <w:jc w:val="both"/>
        <w:rPr>
          <w:b/>
          <w:bCs/>
        </w:rPr>
      </w:pPr>
      <w:r>
        <w:rPr>
          <w:b/>
          <w:bCs/>
        </w:rPr>
        <w:t>LEO-600</w:t>
      </w:r>
    </w:p>
    <w:p w14:paraId="115E6F4A" w14:textId="77777777" w:rsidR="00EF613A" w:rsidRDefault="00C11C58">
      <w:pPr>
        <w:pStyle w:val="ListParagraph"/>
        <w:numPr>
          <w:ilvl w:val="0"/>
          <w:numId w:val="7"/>
        </w:numPr>
        <w:jc w:val="both"/>
        <w:rPr>
          <w:b/>
          <w:bCs/>
        </w:rPr>
      </w:pPr>
      <w:r>
        <w:rPr>
          <w:b/>
          <w:bCs/>
        </w:rPr>
        <w:t>Handheld UEs</w:t>
      </w:r>
    </w:p>
    <w:p w14:paraId="6EE02393" w14:textId="77777777" w:rsidR="00EF613A" w:rsidRDefault="00C11C58">
      <w:pPr>
        <w:jc w:val="both"/>
        <w:rPr>
          <w:b/>
          <w:bCs/>
        </w:rPr>
      </w:pPr>
      <w:r>
        <w:rPr>
          <w:b/>
          <w:bCs/>
        </w:rPr>
        <w:t>FFS: If additionally RAN1 evaluates MTD UEs, GEO, directional terminals, and Ka band.</w:t>
      </w:r>
    </w:p>
    <w:p w14:paraId="27C1B95D" w14:textId="77777777" w:rsidR="00EF613A" w:rsidRDefault="00C11C58">
      <w:pPr>
        <w:pStyle w:val="Heading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C128F19" w14:textId="77777777" w:rsidR="00EF613A" w:rsidRDefault="00C11C58">
            <w:pPr>
              <w:rPr>
                <w:b w:val="0"/>
                <w:bCs w:val="0"/>
              </w:rPr>
            </w:pPr>
            <w:r>
              <w:t>Company</w:t>
            </w:r>
          </w:p>
        </w:tc>
        <w:tc>
          <w:tcPr>
            <w:tcW w:w="12692"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6B7CA6C"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the GEO</w:t>
            </w:r>
            <w:r w:rsidR="00860F66">
              <w:rPr>
                <w:rFonts w:eastAsia="宋体"/>
                <w:lang w:val="en-US" w:eastAsia="zh-CN"/>
              </w:rPr>
              <w:t xml:space="preserve"> in proposal 2.2</w:t>
            </w:r>
            <w:r>
              <w:rPr>
                <w:rFonts w:eastAsia="宋体"/>
                <w:lang w:val="en-US" w:eastAsia="zh-CN"/>
              </w:rPr>
              <w:t xml:space="preserve">, maybe we can only focus on the IoT part since it’s more </w:t>
            </w:r>
            <w:r>
              <w:rPr>
                <w:rFonts w:eastAsia="宋体" w:hint="eastAsia"/>
                <w:lang w:val="en-US" w:eastAsia="zh-CN"/>
              </w:rPr>
              <w:t>promising</w:t>
            </w:r>
            <w:r>
              <w:rPr>
                <w:rFonts w:eastAsia="宋体"/>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are open to consider the VSAT if there is </w:t>
            </w:r>
            <w:r>
              <w:rPr>
                <w:rFonts w:eastAsia="宋体" w:hint="eastAsia"/>
                <w:lang w:val="en-US" w:eastAsia="zh-CN"/>
              </w:rPr>
              <w:t>sufficient</w:t>
            </w:r>
            <w:r>
              <w:rPr>
                <w:rFonts w:eastAsia="宋体"/>
                <w:lang w:val="en-US" w:eastAsia="zh-CN"/>
              </w:rPr>
              <w:t xml:space="preserve"> </w:t>
            </w:r>
            <w:r>
              <w:rPr>
                <w:rFonts w:eastAsia="宋体" w:hint="eastAsia"/>
                <w:lang w:val="en-US" w:eastAsia="zh-CN"/>
              </w:rPr>
              <w:t>time</w:t>
            </w:r>
            <w:r>
              <w:rPr>
                <w:rFonts w:eastAsia="宋体"/>
                <w:lang w:val="en-US" w:eastAsia="zh-CN"/>
              </w:rPr>
              <w:t xml:space="preserve"> (e.g., for peak data rate analysis).</w:t>
            </w:r>
          </w:p>
        </w:tc>
      </w:tr>
      <w:tr w:rsidR="009656D7" w14:paraId="5A8355D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4E5EBBE0" w14:textId="05796F5F" w:rsidR="009656D7" w:rsidRDefault="009656D7">
            <w:pPr>
              <w:rPr>
                <w:rFonts w:eastAsia="宋体"/>
                <w:lang w:val="en-US" w:eastAsia="zh-CN"/>
              </w:rPr>
            </w:pPr>
            <w:r>
              <w:rPr>
                <w:rFonts w:eastAsia="宋体"/>
                <w:lang w:val="en-US" w:eastAsia="zh-CN"/>
              </w:rPr>
              <w:t>MediaTek</w:t>
            </w:r>
          </w:p>
        </w:tc>
        <w:tc>
          <w:tcPr>
            <w:tcW w:w="12692" w:type="dxa"/>
            <w:shd w:val="clear" w:color="auto" w:fill="D9E2F3" w:themeFill="accent1" w:themeFillTint="33"/>
          </w:tcPr>
          <w:p w14:paraId="23CEC054" w14:textId="77777777" w:rsidR="009656D7" w:rsidRDefault="009656D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Agree. </w:t>
            </w:r>
          </w:p>
          <w:p w14:paraId="235A4E87" w14:textId="1062A9F4" w:rsidR="009656D7" w:rsidRDefault="009656D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2D81810" w14:textId="207BCCFB" w:rsidR="002F1988" w:rsidRDefault="002F1988" w:rsidP="002F1988">
            <w:pPr>
              <w:rPr>
                <w:rFonts w:eastAsia="宋体"/>
                <w:lang w:val="en-US" w:eastAsia="zh-CN"/>
              </w:rPr>
            </w:pPr>
            <w:r>
              <w:rPr>
                <w:rFonts w:eastAsia="Yu Mincho" w:hint="eastAsia"/>
                <w:lang w:eastAsia="ja-JP"/>
              </w:rPr>
              <w:t>P</w:t>
            </w:r>
            <w:r>
              <w:rPr>
                <w:rFonts w:eastAsia="Yu Mincho"/>
                <w:lang w:eastAsia="ja-JP"/>
              </w:rPr>
              <w:t>anasonic</w:t>
            </w:r>
          </w:p>
        </w:tc>
        <w:tc>
          <w:tcPr>
            <w:tcW w:w="12692" w:type="dxa"/>
            <w:shd w:val="clear" w:color="auto" w:fill="D9E2F3" w:themeFill="accent1" w:themeFillTint="33"/>
          </w:tcPr>
          <w:p w14:paraId="071FC873" w14:textId="4873741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Fine with proposals 2.1 and 2.2. </w:t>
            </w:r>
          </w:p>
        </w:tc>
      </w:tr>
      <w:tr w:rsidR="00C51FF9" w14:paraId="78DFD12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7516B6B" w14:textId="2F8B2150" w:rsidR="00C51FF9" w:rsidRDefault="00C51FF9" w:rsidP="00C51FF9">
            <w:pPr>
              <w:rPr>
                <w:rFonts w:eastAsia="Yu Mincho"/>
                <w:lang w:eastAsia="ja-JP"/>
              </w:rPr>
            </w:pPr>
            <w:r>
              <w:rPr>
                <w:rFonts w:eastAsia="Malgun Gothic" w:hint="eastAsia"/>
                <w:lang w:eastAsia="ko-KR"/>
              </w:rPr>
              <w:t>Samsung</w:t>
            </w:r>
          </w:p>
        </w:tc>
        <w:tc>
          <w:tcPr>
            <w:tcW w:w="12692" w:type="dxa"/>
            <w:shd w:val="clear" w:color="auto" w:fill="D9E2F3" w:themeFill="accent1" w:themeFillTint="33"/>
          </w:tcPr>
          <w:p w14:paraId="5961FF1B" w14:textId="1A6802E4"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1B94723" w14:textId="20FC9CF3" w:rsidR="00411DD7" w:rsidRDefault="00411DD7" w:rsidP="00411DD7">
            <w:pPr>
              <w:rPr>
                <w:rFonts w:eastAsia="Malgun Gothic" w:hint="eastAsia"/>
                <w:lang w:eastAsia="ko-KR"/>
              </w:rPr>
            </w:pPr>
            <w:r>
              <w:t>Huawei/HiSilicon</w:t>
            </w:r>
          </w:p>
        </w:tc>
        <w:tc>
          <w:tcPr>
            <w:tcW w:w="12692" w:type="dxa"/>
            <w:shd w:val="clear" w:color="auto" w:fill="D9E2F3" w:themeFill="accent1" w:themeFillTint="33"/>
          </w:tcPr>
          <w:p w14:paraId="161DC9E8" w14:textId="77777777" w:rsidR="00411DD7" w:rsidRPr="0067018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411DD7">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 xml:space="preserve">Peak spectral efficiency is the maximum data rate </w:t>
            </w:r>
            <w:r w:rsidRPr="00411DD7">
              <w:lastRenderedPageBreak/>
              <w:t>under ideal conditions normalized by the assigned bandwidth (in bit/s/Hz),</w:t>
            </w:r>
            <w:r>
              <w:t>”. What does ideal condition mean requires some discussion and common understanding in e.g. channel model used to calculate SNR. If SNR calculation and SNR-to-MCS mapping are needed, we are not sure whether it is just analytical or it also includes some simulation</w:t>
            </w:r>
            <w:r>
              <w:t xml:space="preserve"> (e.g. link-to-system curve)</w:t>
            </w:r>
            <w:r>
              <w:t xml:space="prese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w:t>
            </w:r>
            <w:r>
              <w:t>A</w:t>
            </w:r>
            <w:r>
              <w:t xml:space="preserve">nalytical </w:t>
            </w:r>
            <w:r w:rsidRPr="00411DD7">
              <w:rPr>
                <w:color w:val="FF0000"/>
              </w:rPr>
              <w:t>and may include simulation</w:t>
            </w:r>
            <w:r>
              <w:t>.</w:t>
            </w:r>
          </w:p>
          <w:p w14:paraId="59B74630" w14:textId="61CAAC53" w:rsidR="00411DD7" w:rsidRDefault="00411DD7" w:rsidP="00411DD7">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w:t>
            </w:r>
            <w:r>
              <w:t xml:space="preserve">that </w:t>
            </w:r>
            <w:r>
              <w:t>RAN1 concludes there is no assumption needed</w:t>
            </w:r>
            <w:r>
              <w:t xml:space="preserve"> before RAN2 looking into it</w:t>
            </w:r>
            <w:r>
              <w: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411DD7">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w:t>
            </w:r>
            <w:r>
              <w:t xml:space="preserve"> OK to keep MDT and GEO for IoT evaluation.</w:t>
            </w: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lastRenderedPageBreak/>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200 mW (23 dBm)</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Hexagonal pattern, 19 inner beams,</w:t>
            </w:r>
          </w:p>
          <w:p w14:paraId="6F533F40"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Nk: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lastRenderedPageBreak/>
              <w:t>Satellite antenna configuration</w:t>
            </w:r>
          </w:p>
        </w:tc>
        <w:tc>
          <w:tcPr>
            <w:tcW w:w="11583" w:type="dxa"/>
          </w:tcPr>
          <w:p w14:paraId="38BDD8C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lastRenderedPageBreak/>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Heading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6A13B47" w14:textId="77777777" w:rsidR="00EF613A" w:rsidRDefault="00C11C58">
            <w:pPr>
              <w:rPr>
                <w:b w:val="0"/>
                <w:bCs w:val="0"/>
              </w:rPr>
            </w:pPr>
            <w:r>
              <w:t>Company</w:t>
            </w:r>
          </w:p>
        </w:tc>
        <w:tc>
          <w:tcPr>
            <w:tcW w:w="12692"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1FA0268"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2.3</w:t>
            </w:r>
            <w:r>
              <w:rPr>
                <w:rFonts w:eastAsia="宋体"/>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2.4, </w:t>
            </w:r>
            <w:r>
              <w:rPr>
                <w:rFonts w:eastAsia="宋体"/>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the channel condition, </w:t>
            </w:r>
            <w:r>
              <w:rPr>
                <w:rFonts w:eastAsia="宋体" w:hint="eastAsia"/>
                <w:lang w:val="en-US" w:eastAsia="zh-CN"/>
              </w:rPr>
              <w:t>since</w:t>
            </w:r>
            <w:r>
              <w:rPr>
                <w:rFonts w:eastAsia="宋体"/>
                <w:lang w:val="en-US" w:eastAsia="zh-CN"/>
              </w:rPr>
              <w:t xml:space="preserve"> in the link budget analysis, we only focus on the LoS case for both NR and IoT. So, it’s straightforward to take it as baseline, which is also similar</w:t>
            </w:r>
            <w:r w:rsidR="003231F2">
              <w:rPr>
                <w:rFonts w:eastAsia="宋体"/>
                <w:lang w:val="en-US" w:eastAsia="zh-CN"/>
              </w:rPr>
              <w:t>/</w:t>
            </w:r>
            <w:r w:rsidR="003231F2">
              <w:rPr>
                <w:rFonts w:eastAsia="宋体" w:hint="eastAsia"/>
                <w:lang w:val="en-US" w:eastAsia="zh-CN"/>
              </w:rPr>
              <w:t>proximity</w:t>
            </w:r>
            <w:r w:rsidR="003231F2">
              <w:rPr>
                <w:rFonts w:eastAsia="宋体"/>
                <w:lang w:val="en-US" w:eastAsia="zh-CN"/>
              </w:rPr>
              <w:t xml:space="preserve"> to the rural case.</w:t>
            </w:r>
          </w:p>
        </w:tc>
      </w:tr>
      <w:tr w:rsidR="009656D7" w14:paraId="60E3355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5F3821D2" w14:textId="109F8C8C" w:rsidR="009656D7" w:rsidRDefault="009656D7">
            <w:pPr>
              <w:rPr>
                <w:rFonts w:eastAsia="宋体"/>
                <w:lang w:val="en-US" w:eastAsia="zh-CN"/>
              </w:rPr>
            </w:pPr>
            <w:r>
              <w:rPr>
                <w:rFonts w:eastAsia="宋体"/>
                <w:lang w:val="en-US" w:eastAsia="zh-CN"/>
              </w:rPr>
              <w:t>MediaTek</w:t>
            </w:r>
          </w:p>
        </w:tc>
        <w:tc>
          <w:tcPr>
            <w:tcW w:w="12692"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Most of</w:t>
            </w:r>
            <w:r w:rsidR="009656D7">
              <w:rPr>
                <w:rFonts w:eastAsia="宋体"/>
                <w:lang w:val="en-US" w:eastAsia="zh-CN"/>
              </w:rPr>
              <w:t xml:space="preserve"> Proposal 2.3</w:t>
            </w:r>
            <w:r>
              <w:rPr>
                <w:rFonts w:eastAsia="宋体"/>
                <w:lang w:val="en-US" w:eastAsia="zh-CN"/>
              </w:rPr>
              <w:t xml:space="preserve"> is fine</w:t>
            </w:r>
            <w:r w:rsidR="009656D7">
              <w:rPr>
                <w:rFonts w:eastAsia="宋体"/>
                <w:lang w:val="en-US" w:eastAsia="zh-CN"/>
              </w:rPr>
              <w:t xml:space="preserve">, </w:t>
            </w:r>
            <w:r>
              <w:rPr>
                <w:rFonts w:eastAsia="宋体"/>
                <w:lang w:val="en-US" w:eastAsia="zh-CN"/>
              </w:rPr>
              <w:t xml:space="preserve">but </w:t>
            </w:r>
            <w:r w:rsidR="009656D7">
              <w:rPr>
                <w:rFonts w:eastAsia="宋体"/>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2F2066FA" w14:textId="6234ECCC" w:rsidR="002F1988" w:rsidRDefault="002F1988" w:rsidP="002F1988">
            <w:pPr>
              <w:rPr>
                <w:rFonts w:eastAsia="宋体"/>
                <w:lang w:val="en-US" w:eastAsia="zh-CN"/>
              </w:rPr>
            </w:pPr>
            <w:r>
              <w:rPr>
                <w:rFonts w:eastAsia="Yu Mincho" w:hint="eastAsia"/>
                <w:lang w:eastAsia="ja-JP"/>
              </w:rPr>
              <w:lastRenderedPageBreak/>
              <w:t>P</w:t>
            </w:r>
            <w:r>
              <w:rPr>
                <w:rFonts w:eastAsia="Yu Mincho"/>
                <w:lang w:eastAsia="ja-JP"/>
              </w:rPr>
              <w:t>anasonic</w:t>
            </w:r>
          </w:p>
        </w:tc>
        <w:tc>
          <w:tcPr>
            <w:tcW w:w="12692"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On proposal 2.3, satellite EIRP density (or transmission power) should be added. As in TR38.821, 34 dBW/MHz for LEO-600 should be the baseline. </w:t>
            </w:r>
          </w:p>
        </w:tc>
      </w:tr>
      <w:tr w:rsidR="00C51FF9" w14:paraId="4F666B5C"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692"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4E6E5BB" w14:textId="631E0F1F" w:rsidR="00411DD7" w:rsidRDefault="00411DD7" w:rsidP="00411DD7">
            <w:pPr>
              <w:rPr>
                <w:rFonts w:eastAsia="Malgun Gothic" w:hint="eastAsia"/>
                <w:lang w:eastAsia="ko-KR"/>
              </w:rPr>
            </w:pPr>
            <w:r>
              <w:t>Huawei/HiSilicon</w:t>
            </w:r>
          </w:p>
        </w:tc>
        <w:tc>
          <w:tcPr>
            <w:tcW w:w="12692"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For Proposal 2.3</w:t>
            </w:r>
            <w:r>
              <w:rPr>
                <w:b/>
              </w:rPr>
              <w:t xml:space="preserve">: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 xml:space="preserve">For FFS of 100% LOS probability, </w:t>
            </w:r>
            <w:r>
              <w:t>maybe it is still relevant for peak data rate and peak spectrum efficiency analysis. W</w:t>
            </w:r>
            <w:r>
              <w:t>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w:t>
            </w:r>
            <w:r>
              <w:rPr>
                <w:rFonts w:ascii="Arial" w:hAnsi="Arial"/>
                <w:sz w:val="18"/>
              </w:rPr>
              <w:t xml:space="preserve">so </w:t>
            </w:r>
            <w:r>
              <w:rPr>
                <w:rFonts w:ascii="Arial" w:hAnsi="Arial"/>
                <w:sz w:val="18"/>
              </w:rPr>
              <w:t>fast fading should be modelled</w:t>
            </w:r>
            <w:r>
              <w:rPr>
                <w:rFonts w:ascii="Arial" w:hAnsi="Arial"/>
                <w:sz w:val="18"/>
              </w:rPr>
              <w:t xml:space="preserve"> to meet M.2514 requirement</w:t>
            </w:r>
            <w:r>
              <w:rPr>
                <w:rFonts w:ascii="Arial" w:hAnsi="Arial"/>
                <w:sz w:val="18"/>
              </w:rPr>
              <w: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of 38.811</w:t>
            </w:r>
            <w:r w:rsidR="004016AE">
              <w:rPr>
                <w:rFonts w:ascii="Arial" w:hAnsi="Arial"/>
                <w:color w:val="FF0000"/>
                <w:sz w:val="18"/>
              </w:rPr>
              <w:t xml:space="preserve">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bl>
    <w:p w14:paraId="1922CC47" w14:textId="77777777" w:rsidR="00EF613A" w:rsidRDefault="00EF613A">
      <w:pPr>
        <w:ind w:left="1988" w:hanging="1988"/>
        <w:jc w:val="both"/>
        <w:rPr>
          <w:lang w:val="en-US"/>
        </w:rPr>
      </w:pPr>
    </w:p>
    <w:p w14:paraId="6703779D" w14:textId="77777777" w:rsidR="00EF613A" w:rsidRDefault="00C11C58">
      <w:pPr>
        <w:pStyle w:val="Heading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58403E">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58403E">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58403E">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58403E">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
        <w:lastRenderedPageBreak/>
        <w:t>Given the input to this meeting, and the general procedure in [1], the evaluation should proceed as follows:</w:t>
      </w:r>
    </w:p>
    <w:p w14:paraId="3AB18F6A" w14:textId="77777777" w:rsidR="00EF613A" w:rsidRDefault="00C11C58">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
        <w:t>A majority of companies also propose to use a single carrier to calculate the peak data rate. Therefore, the following proposal is made:</w:t>
      </w:r>
    </w:p>
    <w:p w14:paraId="13E0C9A7" w14:textId="77777777" w:rsidR="00EF613A" w:rsidRDefault="00C11C58">
      <w:pPr>
        <w:rPr>
          <w:b/>
          <w:bCs/>
        </w:rPr>
      </w:pPr>
      <w:r>
        <w:rPr>
          <w:b/>
          <w:bCs/>
          <w:u w:val="single"/>
        </w:rPr>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pPr>
        <w:rPr>
          <w:b/>
          <w:bCs/>
        </w:rPr>
      </w:pPr>
    </w:p>
    <w:p w14:paraId="7F06075E" w14:textId="77777777" w:rsidR="00EF613A" w:rsidRDefault="00C11C58">
      <w:pPr>
        <w:pStyle w:val="Heading2"/>
      </w:pPr>
      <w:r>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627A7BAA" w14:textId="77777777" w:rsidR="00EF613A" w:rsidRDefault="00C11C58">
            <w:pPr>
              <w:rPr>
                <w:b w:val="0"/>
                <w:bCs w:val="0"/>
              </w:rPr>
            </w:pPr>
            <w:r>
              <w:t>Company</w:t>
            </w:r>
          </w:p>
        </w:tc>
        <w:tc>
          <w:tcPr>
            <w:tcW w:w="12692"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35B3266"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250D1F9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D26777E" w14:textId="26D5D8AA"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692" w:type="dxa"/>
            <w:shd w:val="clear" w:color="auto" w:fill="D9E2F3" w:themeFill="accent1" w:themeFillTint="33"/>
          </w:tcPr>
          <w:p w14:paraId="47C3291D" w14:textId="74E5C17B"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51E56806" w14:textId="75EF6B4C" w:rsidR="00C51FF9" w:rsidRDefault="00C51FF9" w:rsidP="00C51FF9">
            <w:pPr>
              <w:rPr>
                <w:rFonts w:eastAsia="Yu Mincho"/>
                <w:lang w:val="en-US" w:eastAsia="ja-JP"/>
              </w:rPr>
            </w:pPr>
            <w:r>
              <w:rPr>
                <w:rFonts w:eastAsia="Malgun Gothic" w:hint="eastAsia"/>
                <w:lang w:eastAsia="ko-KR"/>
              </w:rPr>
              <w:t>Samsung</w:t>
            </w:r>
          </w:p>
        </w:tc>
        <w:tc>
          <w:tcPr>
            <w:tcW w:w="12692" w:type="dxa"/>
            <w:shd w:val="clear" w:color="auto" w:fill="D9E2F3" w:themeFill="accent1" w:themeFillTint="33"/>
          </w:tcPr>
          <w:p w14:paraId="68D49EA5" w14:textId="7CF4321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0B55081" w14:textId="017620F4" w:rsidR="004016AE" w:rsidRDefault="004016AE" w:rsidP="004016AE">
            <w:pPr>
              <w:rPr>
                <w:rFonts w:eastAsia="Malgun Gothic" w:hint="eastAsia"/>
                <w:lang w:eastAsia="ko-KR"/>
              </w:rPr>
            </w:pPr>
            <w:r>
              <w:t>Huawei/HiSilicon</w:t>
            </w:r>
          </w:p>
        </w:tc>
        <w:tc>
          <w:tcPr>
            <w:tcW w:w="12692" w:type="dxa"/>
            <w:shd w:val="clear" w:color="auto" w:fill="D9E2F3" w:themeFill="accent1" w:themeFillTint="33"/>
          </w:tcPr>
          <w:p w14:paraId="2BDAD342" w14:textId="5FB2F549" w:rsidR="004016AE" w:rsidRDefault="004016AE" w:rsidP="004016AE">
            <w:pPr>
              <w:cnfStyle w:val="000000000000" w:firstRow="0" w:lastRow="0" w:firstColumn="0" w:lastColumn="0" w:oddVBand="0" w:evenVBand="0" w:oddHBand="0" w:evenHBand="0" w:firstRowFirstColumn="0" w:firstRowLastColumn="0" w:lastRowFirstColumn="0" w:lastRowLastColumn="0"/>
            </w:pPr>
            <w:r>
              <w:t>Agree</w:t>
            </w:r>
            <w:r>
              <w:t xml:space="preserve"> with Proposal 3.1 and 3.2</w:t>
            </w:r>
          </w:p>
          <w:p w14:paraId="3B9AC888" w14:textId="77777777" w:rsidR="004016AE" w:rsidRPr="006B4C28" w:rsidRDefault="004016AE" w:rsidP="004016AE">
            <w:pPr>
              <w:cnfStyle w:val="000000000000" w:firstRow="0" w:lastRow="0" w:firstColumn="0" w:lastColumn="0" w:oddVBand="0" w:evenVBand="0" w:oddHBand="0" w:evenHBand="0" w:firstRowFirstColumn="0" w:firstRowLastColumn="0" w:lastRowFirstColumn="0" w:lastRowLastColumn="0"/>
              <w:rPr>
                <w:b/>
              </w:rPr>
            </w:pPr>
            <w:r w:rsidRPr="006B4C28">
              <w:rPr>
                <w:b/>
              </w:rPr>
              <w:lastRenderedPageBreak/>
              <w:t>For Proposal 3.3</w:t>
            </w:r>
          </w:p>
          <w:p w14:paraId="76DE5BEC" w14:textId="196E2D67"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t xml:space="preserve">Companies should agree on ideal conditions for link budget calculation. </w:t>
            </w:r>
            <w:r>
              <w:t xml:space="preserve">Suggested change: </w:t>
            </w:r>
            <w:r>
              <w:rPr>
                <w:b/>
                <w:bCs/>
              </w:rPr>
              <w:t xml:space="preserve">When selecting the parameters for peak spectral efficiency and peak data rate, RAN1 to consider realistic values </w:t>
            </w:r>
            <w:r w:rsidRPr="00E75B8A">
              <w:rPr>
                <w:b/>
                <w:bCs/>
                <w:color w:val="FF0000"/>
              </w:rPr>
              <w:t xml:space="preserve">for </w:t>
            </w:r>
            <w:r w:rsidRPr="00E75B8A">
              <w:rPr>
                <w:rFonts w:eastAsia="Batang"/>
                <w:i/>
                <w:color w:val="FF0000"/>
                <w:szCs w:val="24"/>
              </w:rPr>
              <w:t>R</w:t>
            </w:r>
            <w:r w:rsidRPr="00E75B8A">
              <w:rPr>
                <w:rFonts w:eastAsia="Batang"/>
                <w:i/>
                <w:color w:val="FF0000"/>
                <w:szCs w:val="24"/>
                <w:vertAlign w:val="subscript"/>
              </w:rPr>
              <w:t>max</w:t>
            </w:r>
            <w:r>
              <w:rPr>
                <w:b/>
                <w:bCs/>
                <w:color w:val="FF0000"/>
              </w:rPr>
              <w:t xml:space="preserve"> and </w:t>
            </w:r>
            <w:r w:rsidRPr="0071420A">
              <w:rPr>
                <w:b/>
                <w:bCs/>
                <w:i/>
                <w:color w:val="FF0000"/>
              </w:rPr>
              <w:t>Q</w:t>
            </w:r>
            <w:r w:rsidRPr="0071420A">
              <w:rPr>
                <w:rFonts w:ascii="Times New Roman Bold" w:hAnsi="Times New Roman Bold"/>
                <w:b/>
                <w:bCs/>
                <w:i/>
                <w:color w:val="FF0000"/>
                <w:vertAlign w:val="subscript"/>
              </w:rPr>
              <w:t xml:space="preserve">m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bl>
    <w:p w14:paraId="2E4E5890" w14:textId="77777777" w:rsidR="00EF613A" w:rsidRDefault="00EF613A">
      <w:pPr>
        <w:rPr>
          <w:b/>
          <w:bCs/>
        </w:rPr>
      </w:pPr>
    </w:p>
    <w:p w14:paraId="0EA85E4A" w14:textId="77777777" w:rsidR="00EF613A" w:rsidRDefault="00C11C58">
      <w:r>
        <w:t>Two tdocs provided input on the specific values to be used for the peak data rate evaluation, which are reproduced below</w:t>
      </w:r>
    </w:p>
    <w:p w14:paraId="6C35E56B" w14:textId="77777777" w:rsidR="00EF613A" w:rsidRDefault="00C11C58">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58403E">
            <w:pPr>
              <w:keepNext/>
              <w:widowControl w:val="0"/>
              <w:spacing w:after="0"/>
              <w:jc w:val="center"/>
              <w:outlineLvl w:val="0"/>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58403E">
            <w:pPr>
              <w:keepNext/>
              <w:widowControl w:val="0"/>
              <w:spacing w:after="0"/>
              <w:jc w:val="center"/>
              <w:outlineLvl w:val="0"/>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58403E">
            <w:pPr>
              <w:keepNext/>
              <w:widowControl w:val="0"/>
              <w:spacing w:after="0"/>
              <w:jc w:val="center"/>
              <w:outlineLvl w:val="0"/>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58403E">
            <w:pPr>
              <w:keepNext/>
              <w:widowControl w:val="0"/>
              <w:spacing w:after="0"/>
              <w:jc w:val="center"/>
              <w:outlineLvl w:val="0"/>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22" o:title=""/>
                </v:shape>
                <o:OLEObject Type="Embed" ProgID="Equation.DSMT4" ShapeID="_x0000_i1025" DrawAspect="Content" ObjectID="_1743353810"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5pt;height:14.5pt" o:ole="">
                  <v:imagedata r:id="rId24" o:title=""/>
                </v:shape>
                <o:OLEObject Type="Embed" ProgID="Equation.DSMT4" ShapeID="_x0000_i1026" DrawAspect="Content" ObjectID="_1743353811" r:id="rId25"/>
              </w:object>
            </w:r>
          </w:p>
        </w:tc>
        <w:tc>
          <w:tcPr>
            <w:tcW w:w="747" w:type="pct"/>
            <w:shd w:val="clear" w:color="auto" w:fill="auto"/>
          </w:tcPr>
          <w:p w14:paraId="794E07C3" w14:textId="77777777" w:rsidR="00EF613A" w:rsidRDefault="00C11C58">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5pt;height:21.5pt" o:ole="">
                  <v:imagedata r:id="rId26" o:title=""/>
                </v:shape>
                <o:OLEObject Type="Embed" ProgID="Equation.DSMT4" ShapeID="_x0000_i1027" DrawAspect="Content" ObjectID="_1743353812"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 xml:space="preserve">TRS burst of 2 slots with periodicity of </w:t>
            </w:r>
            <w:r>
              <w:rPr>
                <w:rFonts w:ascii="Arial" w:hAnsi="Arial" w:cs="Arial"/>
                <w:sz w:val="18"/>
                <w:szCs w:val="18"/>
              </w:rPr>
              <w:lastRenderedPageBreak/>
              <w:t>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lastRenderedPageBreak/>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lastRenderedPageBreak/>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Heading2"/>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宋体"/>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 xml:space="preserve">PDCCH: </w:t>
            </w:r>
            <w:r w:rsidRPr="00CA3035">
              <w:rPr>
                <w:rFonts w:eastAsia="宋体"/>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12 RE</w:t>
            </w:r>
            <w:r>
              <w:t>s</w:t>
            </w:r>
            <w:r w:rsidRPr="00CA3035">
              <w:rPr>
                <w:rFonts w:eastAsia="宋体"/>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 xml:space="preserve">TRS burst of 2 slots with </w:t>
            </w:r>
            <w:r w:rsidRPr="00CA3035">
              <w:rPr>
                <w:rFonts w:eastAsia="宋体"/>
                <w:sz w:val="21"/>
                <w:szCs w:val="21"/>
                <w:lang w:eastAsia="zh-CN"/>
              </w:rPr>
              <w:lastRenderedPageBreak/>
              <w:t>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12</w:t>
            </w:r>
            <w:r w:rsidRPr="00CA3035">
              <w:rPr>
                <w:rFonts w:eastAsia="宋体"/>
                <w:sz w:val="21"/>
                <w:szCs w:val="21"/>
                <w:lang w:eastAsia="zh-CN"/>
              </w:rPr>
              <w:t xml:space="preserve"> RE</w:t>
            </w:r>
            <w:r>
              <w:t>s</w:t>
            </w:r>
            <w:r w:rsidRPr="00CA3035">
              <w:rPr>
                <w:rFonts w:eastAsia="宋体"/>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 xml:space="preserve">DMRS: </w:t>
            </w:r>
            <w:r>
              <w:t xml:space="preserve">Type 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宋体"/>
                <w:sz w:val="21"/>
                <w:szCs w:val="21"/>
                <w:lang w:eastAsia="zh-CN"/>
              </w:rPr>
              <w:t>CSI-RS:</w:t>
            </w:r>
            <w:r>
              <w:t xml:space="preserve"> 1</w:t>
            </w:r>
            <w:r w:rsidRPr="00CA3035">
              <w:rPr>
                <w:rFonts w:eastAsia="宋体"/>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w:t>
            </w:r>
            <w:r w:rsidRPr="00CA3035">
              <w:rPr>
                <w:rFonts w:eastAsia="宋体"/>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宋体"/>
                <w:sz w:val="21"/>
                <w:szCs w:val="21"/>
                <w:lang w:eastAsia="zh-CN"/>
              </w:rPr>
              <w:t xml:space="preserve"> SS/PBCH blocks </w:t>
            </w:r>
            <w:r>
              <w:t xml:space="preserve">(SSB) </w:t>
            </w:r>
            <w:r w:rsidRPr="00CA3035">
              <w:rPr>
                <w:rFonts w:eastAsia="宋体"/>
                <w:sz w:val="21"/>
                <w:szCs w:val="21"/>
                <w:lang w:eastAsia="zh-CN"/>
              </w:rPr>
              <w:t xml:space="preserve">per 20ms; one </w:t>
            </w:r>
            <w:r>
              <w:t>SSB</w:t>
            </w:r>
            <w:r w:rsidRPr="00CA3035">
              <w:rPr>
                <w:rFonts w:eastAsia="宋体"/>
                <w:sz w:val="21"/>
                <w:szCs w:val="21"/>
                <w:lang w:eastAsia="zh-CN"/>
              </w:rPr>
              <w:t xml:space="preserve"> occupies 960REs = 4 OFDM symbols </w:t>
            </w:r>
            <w:r w:rsidRPr="00CA3035">
              <w:rPr>
                <w:rFonts w:hint="eastAsia"/>
                <w:sz w:val="21"/>
                <w:szCs w:val="21"/>
                <w:lang w:eastAsia="zh-CN"/>
              </w:rPr>
              <w:t>×</w:t>
            </w:r>
            <w:r w:rsidRPr="00CA3035">
              <w:rPr>
                <w:rFonts w:eastAsia="宋体"/>
                <w:sz w:val="21"/>
                <w:szCs w:val="21"/>
                <w:lang w:eastAsia="zh-CN"/>
              </w:rPr>
              <w:t xml:space="preserve"> 20 PRB</w:t>
            </w:r>
            <w:r>
              <w:t>s</w:t>
            </w:r>
            <w:r w:rsidRPr="00CA3035">
              <w:rPr>
                <w:rFonts w:eastAsia="宋体"/>
                <w:sz w:val="21"/>
                <w:szCs w:val="21"/>
                <w:lang w:eastAsia="zh-CN"/>
              </w:rPr>
              <w:t xml:space="preserve"> </w:t>
            </w:r>
            <w:r w:rsidRPr="00CA3035">
              <w:rPr>
                <w:sz w:val="21"/>
                <w:szCs w:val="21"/>
                <w:lang w:eastAsia="zh-CN"/>
              </w:rPr>
              <w:t>×</w:t>
            </w:r>
            <w:r w:rsidRPr="00CA3035">
              <w:rPr>
                <w:rFonts w:eastAsia="宋体"/>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58403E">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DMRS: Type</w:t>
            </w:r>
            <w:r>
              <w:t xml:space="preserve">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lastRenderedPageBreak/>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lastRenderedPageBreak/>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594AA2A" w14:textId="77777777" w:rsidR="00EF613A" w:rsidRDefault="00C11C58">
            <w:pPr>
              <w:rPr>
                <w:b w:val="0"/>
                <w:bCs w:val="0"/>
              </w:rPr>
            </w:pPr>
            <w:r>
              <w:t>Company</w:t>
            </w:r>
          </w:p>
        </w:tc>
        <w:tc>
          <w:tcPr>
            <w:tcW w:w="12692"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472C96E"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According to 38.821, CNRs of DL and UL for handheld are 6.6 dB and 2.8 dB, respectively, CNRs of DL and UL for VSAT are 8.5 dB and 18.4~23.1 dB, respectively. The Q</w:t>
            </w:r>
            <w:r>
              <w:rPr>
                <w:rFonts w:eastAsia="宋体" w:hint="eastAsia"/>
                <w:vertAlign w:val="subscript"/>
                <w:lang w:val="en-US" w:eastAsia="zh-CN"/>
              </w:rPr>
              <w:t>m</w:t>
            </w:r>
            <w:r>
              <w:rPr>
                <w:rFonts w:eastAsia="宋体"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9B126AE" w14:textId="3932DDC9"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692"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宋体" w:hint="eastAsia"/>
                <w:lang w:val="en-US" w:eastAsia="zh-CN"/>
              </w:rPr>
              <w:t xml:space="preserve"> Q</w:t>
            </w:r>
            <w:r>
              <w:rPr>
                <w:rFonts w:eastAsia="宋体"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692"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5D7FAB3" w14:textId="1B0C7D76" w:rsidR="004016AE" w:rsidRDefault="004016AE" w:rsidP="004016AE">
            <w:pPr>
              <w:rPr>
                <w:rFonts w:eastAsia="Malgun Gothic" w:hint="eastAsia"/>
                <w:lang w:eastAsia="ko-KR"/>
              </w:rPr>
            </w:pPr>
            <w:r>
              <w:t>Huawei/HiSilicon</w:t>
            </w:r>
          </w:p>
        </w:tc>
        <w:tc>
          <w:tcPr>
            <w:tcW w:w="12692"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t>See comments to proposal 3.3</w:t>
            </w:r>
          </w:p>
        </w:tc>
      </w:tr>
    </w:tbl>
    <w:p w14:paraId="3A78EA13" w14:textId="77777777" w:rsidR="00EF613A" w:rsidRDefault="00EF613A"/>
    <w:p w14:paraId="4BB8B45E" w14:textId="77777777" w:rsidR="00EF613A" w:rsidRDefault="00EF613A"/>
    <w:p w14:paraId="07EC4F58" w14:textId="77777777" w:rsidR="00EF613A" w:rsidRDefault="00C11C58">
      <w:pPr>
        <w:pStyle w:val="Heading1"/>
        <w:numPr>
          <w:ilvl w:val="0"/>
          <w:numId w:val="4"/>
        </w:numPr>
        <w:tabs>
          <w:tab w:val="left" w:pos="720"/>
        </w:tabs>
        <w:ind w:left="720" w:hanging="720"/>
        <w:jc w:val="both"/>
      </w:pPr>
      <w:r>
        <w:t>Spectral efficiency – eMBB-s additional assumptions (#3, #4, #5, #6)</w:t>
      </w:r>
    </w:p>
    <w:p w14:paraId="0FACAA9A" w14:textId="77777777" w:rsidR="00EF613A" w:rsidRDefault="00C11C58">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t>Frequency offset</w:t>
            </w:r>
          </w:p>
        </w:tc>
        <w:tc>
          <w:tcPr>
            <w:tcW w:w="11583" w:type="dxa"/>
          </w:tcPr>
          <w:p w14:paraId="4A8AE35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lastRenderedPageBreak/>
              <w:t>Frequency drift</w:t>
            </w:r>
          </w:p>
        </w:tc>
        <w:tc>
          <w:tcPr>
            <w:tcW w:w="11583" w:type="dxa"/>
          </w:tcPr>
          <w:p w14:paraId="213CD689"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t>Overhead</w:t>
            </w:r>
          </w:p>
        </w:tc>
        <w:tc>
          <w:tcPr>
            <w:tcW w:w="11583" w:type="dxa"/>
            <w:vAlign w:val="center"/>
          </w:tcPr>
          <w:p w14:paraId="0EBC0541"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lastRenderedPageBreak/>
              <w:t>CSI-RS, DMRS and TRS, CSI-IM (if used)</w:t>
            </w:r>
          </w:p>
          <w:p w14:paraId="51C06F7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pPr>
        <w:pStyle w:val="Heading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750"/>
        <w:gridCol w:w="12528"/>
      </w:tblGrid>
      <w:tr w:rsidR="00EF613A" w14:paraId="584C85FA"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6ED14BF" w14:textId="77777777" w:rsidR="00EF613A" w:rsidRDefault="00C11C58">
            <w:pPr>
              <w:rPr>
                <w:b w:val="0"/>
                <w:bCs w:val="0"/>
              </w:rPr>
            </w:pPr>
            <w:r>
              <w:t>Company</w:t>
            </w:r>
          </w:p>
        </w:tc>
        <w:tc>
          <w:tcPr>
            <w:tcW w:w="12692"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ABCB97D"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3322A8C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E12DABE" w14:textId="40B33FA8"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692"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692"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CCCAC79" w14:textId="15D4E188" w:rsidR="004016AE" w:rsidRDefault="004016AE" w:rsidP="004016AE">
            <w:pPr>
              <w:rPr>
                <w:rFonts w:eastAsia="Malgun Gothic" w:hint="eastAsia"/>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692"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4016AE">
              <w:rPr>
                <w:rFonts w:eastAsia="宋体"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bl>
    <w:p w14:paraId="2D3F0C62" w14:textId="77777777" w:rsidR="00EF613A" w:rsidRDefault="00EF613A">
      <w:pPr>
        <w:rPr>
          <w:lang w:val="en-US"/>
        </w:rPr>
      </w:pPr>
    </w:p>
    <w:p w14:paraId="66CAD029" w14:textId="77777777" w:rsidR="00EF613A" w:rsidRDefault="00C11C58">
      <w:pPr>
        <w:pStyle w:val="Heading1"/>
        <w:numPr>
          <w:ilvl w:val="0"/>
          <w:numId w:val="4"/>
        </w:numPr>
        <w:tabs>
          <w:tab w:val="left" w:pos="720"/>
        </w:tabs>
        <w:ind w:left="720" w:hanging="720"/>
        <w:jc w:val="both"/>
      </w:pPr>
      <w:r>
        <w:t>Connection density – mMTC-s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ListParagraph"/>
        <w:numPr>
          <w:ilvl w:val="0"/>
          <w:numId w:val="12"/>
        </w:numPr>
        <w:rPr>
          <w:b/>
          <w:bCs/>
        </w:rPr>
      </w:pPr>
      <w:r>
        <w:rPr>
          <w:b/>
          <w:bCs/>
        </w:rPr>
        <w:t>Only the central beam</w:t>
      </w:r>
    </w:p>
    <w:p w14:paraId="5A0D2130" w14:textId="77777777" w:rsidR="00EF613A" w:rsidRDefault="00C11C58">
      <w:pPr>
        <w:pStyle w:val="ListParagraph"/>
        <w:numPr>
          <w:ilvl w:val="0"/>
          <w:numId w:val="12"/>
        </w:numPr>
        <w:rPr>
          <w:b/>
          <w:bCs/>
        </w:rPr>
      </w:pPr>
      <w:r>
        <w:rPr>
          <w:b/>
          <w:bCs/>
        </w:rPr>
        <w:t>All the beams</w:t>
      </w:r>
    </w:p>
    <w:p w14:paraId="44BF146A" w14:textId="77777777" w:rsidR="00EF613A" w:rsidRDefault="00C11C58">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Heading2"/>
      </w:pPr>
      <w:r>
        <w:lastRenderedPageBreak/>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750"/>
        <w:gridCol w:w="12528"/>
      </w:tblGrid>
      <w:tr w:rsidR="00EF613A" w14:paraId="60857067"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2C9CB50" w14:textId="77777777" w:rsidR="00EF613A" w:rsidRDefault="00C11C58">
            <w:pPr>
              <w:rPr>
                <w:b w:val="0"/>
                <w:bCs w:val="0"/>
              </w:rPr>
            </w:pPr>
            <w:r>
              <w:t>Company</w:t>
            </w:r>
          </w:p>
        </w:tc>
        <w:tc>
          <w:tcPr>
            <w:tcW w:w="12692"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A360923"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To compute the area of the central beam is preferred.</w:t>
            </w:r>
          </w:p>
        </w:tc>
      </w:tr>
      <w:tr w:rsidR="00DB5274" w14:paraId="5B9D240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2C4F60DF" w14:textId="6F36A658" w:rsidR="00DB5274" w:rsidRDefault="00DB5274">
            <w:pPr>
              <w:rPr>
                <w:rFonts w:eastAsia="宋体"/>
                <w:lang w:val="en-US" w:eastAsia="zh-CN"/>
              </w:rPr>
            </w:pPr>
            <w:r>
              <w:rPr>
                <w:rFonts w:eastAsia="宋体"/>
                <w:lang w:val="en-US" w:eastAsia="zh-CN"/>
              </w:rPr>
              <w:t>MediaTek</w:t>
            </w:r>
          </w:p>
        </w:tc>
        <w:tc>
          <w:tcPr>
            <w:tcW w:w="12692" w:type="dxa"/>
            <w:shd w:val="clear" w:color="auto" w:fill="D9E2F3" w:themeFill="accent1" w:themeFillTint="33"/>
          </w:tcPr>
          <w:p w14:paraId="2CC8A3A0" w14:textId="5ED69B40" w:rsidR="00DB5274" w:rsidRDefault="00DB5274">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5.1: Agree, but whether we apply the same 10 second</w:t>
            </w:r>
            <w:r w:rsidR="006A03EC">
              <w:rPr>
                <w:rFonts w:eastAsia="宋体"/>
                <w:lang w:val="en-US" w:eastAsia="zh-CN"/>
              </w:rPr>
              <w:t xml:space="preserve"> packet delivery</w:t>
            </w:r>
            <w:r>
              <w:rPr>
                <w:rFonts w:eastAsia="宋体"/>
                <w:lang w:val="en-US" w:eastAsia="zh-CN"/>
              </w:rPr>
              <w:t xml:space="preserve"> restriction as for IMT-2020 should be clarified. </w:t>
            </w:r>
          </w:p>
          <w:p w14:paraId="70C6122A" w14:textId="22897CC7" w:rsidR="00DB5274" w:rsidRDefault="00DB5274">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5.2: </w:t>
            </w:r>
            <w:r w:rsidR="00A53FBB">
              <w:rPr>
                <w:rFonts w:eastAsia="宋体"/>
                <w:lang w:val="en-US" w:eastAsia="zh-CN"/>
              </w:rPr>
              <w:t xml:space="preserve">The requirement says 500 UEs/km2. </w:t>
            </w:r>
            <w:r w:rsidR="00AB5220">
              <w:rPr>
                <w:rFonts w:eastAsia="宋体"/>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5.3: </w:t>
            </w:r>
            <w:r w:rsidR="00430BFA">
              <w:rPr>
                <w:rFonts w:eastAsia="宋体"/>
                <w:lang w:val="en-US" w:eastAsia="zh-CN"/>
              </w:rPr>
              <w:t xml:space="preserve">Looking at 37.901, pre-processing SINR includes assumptions on the small-scale modelling. We suggest to put this on hold </w:t>
            </w:r>
            <w:r w:rsidR="006A03EC">
              <w:rPr>
                <w:rFonts w:eastAsia="宋体"/>
                <w:lang w:val="en-US" w:eastAsia="zh-CN"/>
              </w:rPr>
              <w:t>and come back to it once</w:t>
            </w:r>
            <w:r w:rsidR="00430BFA">
              <w:rPr>
                <w:rFonts w:eastAsia="宋体"/>
                <w:lang w:val="en-US" w:eastAsia="zh-CN"/>
              </w:rPr>
              <w:t xml:space="preserve"> we have agreed on the channel modelling aspects. </w:t>
            </w:r>
          </w:p>
        </w:tc>
      </w:tr>
      <w:tr w:rsidR="00811CB5" w14:paraId="3E17492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35A7688" w14:textId="78E4E6A9" w:rsidR="00811CB5" w:rsidRDefault="00811CB5" w:rsidP="00811CB5">
            <w:pPr>
              <w:rPr>
                <w:rFonts w:eastAsia="宋体"/>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692" w:type="dxa"/>
            <w:shd w:val="clear" w:color="auto" w:fill="D9E2F3" w:themeFill="accent1" w:themeFillTint="33"/>
          </w:tcPr>
          <w:p w14:paraId="0071E3A0" w14:textId="2FA93644" w:rsidR="00811CB5" w:rsidRDefault="00811CB5" w:rsidP="00811CB5">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811CB5">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5.3: agree</w:t>
            </w:r>
          </w:p>
        </w:tc>
      </w:tr>
    </w:tbl>
    <w:p w14:paraId="2894D49E" w14:textId="77777777" w:rsidR="00EF613A" w:rsidRDefault="00EF613A">
      <w:pPr>
        <w:rPr>
          <w:b/>
          <w:bCs/>
          <w:u w:val="single"/>
        </w:rPr>
      </w:pPr>
    </w:p>
    <w:p w14:paraId="70AD8996" w14:textId="77777777" w:rsidR="00EF613A" w:rsidRDefault="00C11C58">
      <w:r>
        <w:t>For the LLS evaluations, RAN1 would need to agree on the parameters for eMTC, NB-IoT and NR (since all 3 technologies are to be evaluated for this KPI)</w:t>
      </w:r>
    </w:p>
    <w:p w14:paraId="4C8437AD" w14:textId="77777777" w:rsidR="00EF613A" w:rsidRDefault="00C11C58">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Heading2"/>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2CE9434" w14:textId="77777777" w:rsidR="00EF613A" w:rsidRDefault="00C11C58">
            <w:pPr>
              <w:rPr>
                <w:b w:val="0"/>
                <w:bCs w:val="0"/>
              </w:rPr>
            </w:pPr>
            <w:r>
              <w:t>Company</w:t>
            </w:r>
          </w:p>
        </w:tc>
        <w:tc>
          <w:tcPr>
            <w:tcW w:w="12692"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A27DBD7"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LOS channel model can be considered. </w:t>
            </w:r>
          </w:p>
        </w:tc>
      </w:tr>
      <w:tr w:rsidR="00AB5220" w14:paraId="511DACE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A6CCBFB" w14:textId="1D9A9539" w:rsidR="00AB5220" w:rsidRDefault="00AB5220">
            <w:pPr>
              <w:rPr>
                <w:rFonts w:eastAsia="宋体"/>
                <w:lang w:val="en-US" w:eastAsia="zh-CN"/>
              </w:rPr>
            </w:pPr>
            <w:r>
              <w:rPr>
                <w:rFonts w:eastAsia="宋体"/>
                <w:lang w:val="en-US" w:eastAsia="zh-CN"/>
              </w:rPr>
              <w:t>MediaTek</w:t>
            </w:r>
          </w:p>
        </w:tc>
        <w:tc>
          <w:tcPr>
            <w:tcW w:w="12692"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For NB-IoT, we need to </w:t>
            </w:r>
            <w:r w:rsidR="00E67E5D">
              <w:rPr>
                <w:rFonts w:eastAsia="宋体"/>
                <w:lang w:val="en-US" w:eastAsia="zh-CN"/>
              </w:rPr>
              <w:t>add</w:t>
            </w:r>
            <w:r>
              <w:rPr>
                <w:rFonts w:eastAsia="宋体"/>
                <w:lang w:val="en-US" w:eastAsia="zh-CN"/>
              </w:rPr>
              <w:t xml:space="preserve"> the </w:t>
            </w:r>
            <w:r w:rsidR="00E67E5D" w:rsidRPr="006A03EC">
              <w:rPr>
                <w:rFonts w:eastAsia="宋体"/>
                <w:b/>
                <w:bCs/>
                <w:lang w:val="en-US" w:eastAsia="zh-CN"/>
              </w:rPr>
              <w:t>Subcarrier Spacing</w:t>
            </w:r>
            <w:r w:rsidR="00E67E5D">
              <w:rPr>
                <w:rFonts w:eastAsia="宋体"/>
                <w:lang w:val="en-US" w:eastAsia="zh-CN"/>
              </w:rPr>
              <w:t>, e.g.</w:t>
            </w:r>
            <w:r>
              <w:rPr>
                <w:rFonts w:eastAsia="宋体"/>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Note that the radio configuration aspects are also covered in the SLS part</w:t>
            </w:r>
            <w:r w:rsidR="00A67907">
              <w:rPr>
                <w:rFonts w:eastAsia="宋体"/>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99C3E14" w14:textId="3E6072D1" w:rsidR="00811CB5" w:rsidRDefault="00811CB5" w:rsidP="00811CB5">
            <w:pPr>
              <w:rPr>
                <w:rFonts w:eastAsia="宋体"/>
                <w:lang w:val="en-US" w:eastAsia="zh-CN"/>
              </w:rPr>
            </w:pPr>
            <w:r>
              <w:t>Huawei/HiSilicon</w:t>
            </w:r>
          </w:p>
        </w:tc>
        <w:tc>
          <w:tcPr>
            <w:tcW w:w="12692"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bl>
    <w:p w14:paraId="2B9A599B" w14:textId="77777777" w:rsidR="00EF613A" w:rsidRDefault="00EF613A"/>
    <w:p w14:paraId="5B6C675A" w14:textId="77777777" w:rsidR="00EF613A" w:rsidRDefault="00EF613A"/>
    <w:p w14:paraId="68C5C295" w14:textId="77777777" w:rsidR="00EF613A" w:rsidRDefault="00C11C58">
      <w:pPr>
        <w:pStyle w:val="Heading1"/>
        <w:numPr>
          <w:ilvl w:val="0"/>
          <w:numId w:val="4"/>
        </w:numPr>
        <w:tabs>
          <w:tab w:val="left" w:pos="720"/>
        </w:tabs>
        <w:ind w:left="720" w:hanging="720"/>
        <w:jc w:val="both"/>
      </w:pPr>
      <w:r>
        <w:lastRenderedPageBreak/>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Heading2"/>
      </w:pPr>
      <w:r>
        <w:lastRenderedPageBreak/>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902FC5A" w14:textId="77777777" w:rsidR="00EF613A" w:rsidRDefault="00C11C58">
            <w:pPr>
              <w:rPr>
                <w:b w:val="0"/>
                <w:bCs w:val="0"/>
              </w:rPr>
            </w:pPr>
            <w:r>
              <w:t>Company</w:t>
            </w:r>
          </w:p>
        </w:tc>
        <w:tc>
          <w:tcPr>
            <w:tcW w:w="12692"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5DF9E8E"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756649E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4E46EBB1" w14:textId="16F78959" w:rsidR="00811CB5" w:rsidRDefault="00811CB5" w:rsidP="00811CB5">
            <w:pPr>
              <w:rPr>
                <w:rFonts w:eastAsia="宋体" w:hint="eastAsia"/>
                <w:lang w:val="en-US" w:eastAsia="zh-CN"/>
              </w:rPr>
            </w:pPr>
            <w:r>
              <w:t>Huawei/HiSilicon</w:t>
            </w:r>
          </w:p>
        </w:tc>
        <w:tc>
          <w:tcPr>
            <w:tcW w:w="12692"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bCs/>
              </w:rPr>
              <w:t>Agree</w:t>
            </w:r>
          </w:p>
        </w:tc>
      </w:tr>
    </w:tbl>
    <w:p w14:paraId="219DC0F2" w14:textId="77777777" w:rsidR="00EF613A" w:rsidRDefault="00EF613A"/>
    <w:p w14:paraId="3BFFC15B" w14:textId="77777777" w:rsidR="00EF613A" w:rsidRDefault="00C11C58">
      <w:pPr>
        <w:pStyle w:val="Heading1"/>
        <w:numPr>
          <w:ilvl w:val="0"/>
          <w:numId w:val="4"/>
        </w:numPr>
        <w:tabs>
          <w:tab w:val="left" w:pos="720"/>
        </w:tabs>
        <w:ind w:left="720" w:hanging="720"/>
        <w:jc w:val="both"/>
      </w:pPr>
      <w:r>
        <w:t>Mobility – eMBB-s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Heading2"/>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B8DA74F" w14:textId="77777777" w:rsidR="00EF613A" w:rsidRDefault="00C11C58">
            <w:pPr>
              <w:rPr>
                <w:b w:val="0"/>
                <w:bCs w:val="0"/>
              </w:rPr>
            </w:pPr>
            <w:r>
              <w:t>Company</w:t>
            </w:r>
          </w:p>
        </w:tc>
        <w:tc>
          <w:tcPr>
            <w:tcW w:w="12692"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E68850F" w14:textId="77777777" w:rsidR="00EF613A" w:rsidRDefault="00C11C58">
            <w:pPr>
              <w:rPr>
                <w:rFonts w:eastAsia="宋体"/>
                <w:b w:val="0"/>
                <w:bCs w:val="0"/>
                <w:lang w:val="en-US" w:eastAsia="zh-CN"/>
              </w:rPr>
            </w:pPr>
            <w:r>
              <w:rPr>
                <w:rFonts w:eastAsia="宋体" w:hint="eastAsia"/>
                <w:lang w:val="en-US" w:eastAsia="zh-CN"/>
              </w:rPr>
              <w:t>ZTE</w:t>
            </w:r>
          </w:p>
        </w:tc>
        <w:tc>
          <w:tcPr>
            <w:tcW w:w="12692"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522305B7"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566F1913" w14:textId="0717AD69" w:rsidR="00811CB5" w:rsidRDefault="00811CB5">
            <w:pPr>
              <w:rPr>
                <w:rFonts w:eastAsia="宋体" w:hint="eastAsia"/>
                <w:lang w:val="en-US" w:eastAsia="zh-CN"/>
              </w:rPr>
            </w:pPr>
            <w:r>
              <w:t>Huawei/HiSilicon</w:t>
            </w:r>
          </w:p>
        </w:tc>
        <w:tc>
          <w:tcPr>
            <w:tcW w:w="12692"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lang w:val="en-US" w:eastAsia="zh-CN"/>
              </w:rPr>
              <w:t>Agree</w:t>
            </w:r>
            <w:bookmarkStart w:id="3" w:name="_GoBack"/>
            <w:bookmarkEnd w:id="3"/>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4"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58403E">
            <w:pPr>
              <w:spacing w:after="0"/>
              <w:rPr>
                <w:rFonts w:ascii="Arial" w:hAnsi="Arial" w:cs="Arial"/>
                <w:b w:val="0"/>
                <w:bCs w:val="0"/>
                <w:color w:val="0000FF"/>
                <w:sz w:val="16"/>
                <w:szCs w:val="16"/>
                <w:u w:val="single"/>
                <w:lang w:val="en-US"/>
              </w:rPr>
            </w:pPr>
            <w:hyperlink r:id="rId28"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29"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11: For peak spectral efficiency assessment, the generic formula defined in TR 37.910 can be reused, and the highest coding rate, </w:t>
            </w:r>
            <w:r>
              <w:rPr>
                <w:b/>
                <w:i/>
                <w:szCs w:val="21"/>
              </w:rPr>
              <w:lastRenderedPageBreak/>
              <w:t>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58403E">
            <w:pPr>
              <w:spacing w:after="0"/>
              <w:rPr>
                <w:rFonts w:ascii="Arial" w:hAnsi="Arial" w:cs="Arial"/>
                <w:b w:val="0"/>
                <w:bCs w:val="0"/>
                <w:color w:val="0000FF"/>
                <w:sz w:val="16"/>
                <w:szCs w:val="16"/>
                <w:u w:val="single"/>
                <w:lang w:val="en-US"/>
              </w:rPr>
            </w:pPr>
            <w:hyperlink r:id="rId30"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lastRenderedPageBreak/>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58403E">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58403E">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1</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2</w:t>
            </w:r>
            <w:r>
              <w:rPr>
                <w:rFonts w:eastAsia="宋体" w:hint="eastAsia"/>
                <w:b/>
                <w:bCs/>
                <w:i/>
              </w:rPr>
              <w:t>:</w:t>
            </w:r>
            <w:r>
              <w:rPr>
                <w:rFonts w:eastAsia="宋体"/>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3</w:t>
            </w:r>
            <w:r>
              <w:rPr>
                <w:rFonts w:eastAsia="宋体" w:hint="eastAsia"/>
                <w:b/>
                <w:bCs/>
                <w:i/>
              </w:rPr>
              <w:t>:</w:t>
            </w:r>
            <w:r>
              <w:rPr>
                <w:rFonts w:eastAsia="宋体"/>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4</w:t>
            </w:r>
            <w:r>
              <w:rPr>
                <w:rFonts w:eastAsia="宋体" w:hint="eastAsia"/>
                <w:b/>
                <w:bCs/>
                <w:i/>
              </w:rPr>
              <w:t>:</w:t>
            </w:r>
            <w:r>
              <w:rPr>
                <w:rFonts w:eastAsia="宋体"/>
                <w:b/>
                <w:bCs/>
                <w:i/>
              </w:rPr>
              <w:t xml:space="preserve"> Rel-17 IoT NTN</w:t>
            </w:r>
            <w:r>
              <w:t xml:space="preserve"> </w:t>
            </w:r>
            <w:r>
              <w:rPr>
                <w:rFonts w:eastAsia="宋体"/>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lastRenderedPageBreak/>
              <w:t>Proposal</w:t>
            </w:r>
            <w:r>
              <w:rPr>
                <w:rFonts w:eastAsia="宋体" w:hint="eastAsia"/>
                <w:b/>
                <w:bCs/>
                <w:i/>
              </w:rPr>
              <w:t xml:space="preserve"> </w:t>
            </w:r>
            <w:r>
              <w:rPr>
                <w:rFonts w:eastAsia="宋体"/>
                <w:b/>
                <w:bCs/>
                <w:i/>
              </w:rPr>
              <w:t>5</w:t>
            </w:r>
            <w:r>
              <w:rPr>
                <w:rFonts w:eastAsia="宋体" w:hint="eastAsia"/>
                <w:b/>
                <w:bCs/>
                <w:i/>
              </w:rPr>
              <w:t>:</w:t>
            </w:r>
            <w:r>
              <w:rPr>
                <w:rFonts w:eastAsia="宋体"/>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6</w:t>
            </w:r>
            <w:r>
              <w:rPr>
                <w:rFonts w:eastAsia="宋体" w:hint="eastAsia"/>
                <w:b/>
                <w:bCs/>
                <w:i/>
              </w:rPr>
              <w:t>:</w:t>
            </w:r>
            <w:r>
              <w:rPr>
                <w:rFonts w:eastAsia="宋体"/>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7</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8</w:t>
            </w:r>
            <w:r>
              <w:rPr>
                <w:rFonts w:eastAsia="宋体" w:hint="eastAsia"/>
                <w:b/>
                <w:bCs/>
                <w:i/>
              </w:rPr>
              <w:t>:</w:t>
            </w:r>
            <w:r>
              <w:rPr>
                <w:rFonts w:eastAsia="宋体"/>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9</w:t>
            </w:r>
            <w:r>
              <w:rPr>
                <w:rFonts w:eastAsia="宋体" w:hint="eastAsia"/>
                <w:b/>
                <w:bCs/>
                <w:i/>
              </w:rPr>
              <w:t>:</w:t>
            </w:r>
            <w:r>
              <w:rPr>
                <w:rFonts w:eastAsia="宋体"/>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58403E">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5" w:name="_Toc131586922"/>
            <w:r>
              <w:t>The evaluation assumptions in the enclosed tables are endorsed.</w:t>
            </w:r>
            <w:bookmarkEnd w:id="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58403E">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58403E">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iCs/>
                <w:lang w:eastAsia="zh-CN"/>
              </w:rPr>
              <w:t>Proposal 1:</w:t>
            </w:r>
            <w:r>
              <w:rPr>
                <w:rFonts w:eastAsia="宋体"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lang w:eastAsia="zh-CN"/>
              </w:rPr>
              <w:t>Proposal 2:</w:t>
            </w:r>
            <w:r>
              <w:rPr>
                <w:rFonts w:eastAsia="宋体"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iCs/>
                <w:lang w:eastAsia="zh-CN"/>
              </w:rPr>
              <w:lastRenderedPageBreak/>
              <w:t>Proposal 3:</w:t>
            </w:r>
            <w:r>
              <w:rPr>
                <w:rFonts w:eastAsia="宋体" w:hint="eastAsia"/>
                <w:i/>
                <w:iCs/>
                <w:lang w:eastAsia="zh-CN"/>
              </w:rPr>
              <w:t xml:space="preserve"> </w:t>
            </w:r>
            <w:r>
              <w:rPr>
                <w:rFonts w:eastAsia="宋体"/>
                <w:i/>
                <w:iCs/>
                <w:lang w:eastAsia="zh-CN"/>
              </w:rPr>
              <w:t>The assumption listed in</w:t>
            </w:r>
            <w:r>
              <w:rPr>
                <w:rFonts w:eastAsia="宋体" w:hint="eastAsia"/>
                <w:i/>
                <w:iCs/>
                <w:lang w:eastAsia="zh-CN"/>
              </w:rPr>
              <w:t xml:space="preserve"> </w:t>
            </w:r>
            <w:r>
              <w:rPr>
                <w:rFonts w:eastAsia="宋体" w:hint="eastAsia"/>
                <w:i/>
                <w:iCs/>
                <w:lang w:eastAsia="zh-CN"/>
              </w:rPr>
              <w:fldChar w:fldCharType="begin"/>
            </w:r>
            <w:r>
              <w:rPr>
                <w:rFonts w:eastAsia="宋体" w:hint="eastAsia"/>
                <w:i/>
                <w:iCs/>
                <w:lang w:eastAsia="zh-CN"/>
              </w:rPr>
              <w:instrText xml:space="preserve"> REF _Ref19307 \h </w:instrText>
            </w:r>
            <w:r>
              <w:rPr>
                <w:rFonts w:eastAsia="宋体"/>
                <w:i/>
                <w:iCs/>
                <w:lang w:eastAsia="zh-CN"/>
              </w:rPr>
              <w:instrText xml:space="preserve"> \* MERGEFORMAT </w:instrText>
            </w:r>
            <w:r>
              <w:rPr>
                <w:rFonts w:eastAsia="宋体" w:hint="eastAsia"/>
                <w:i/>
                <w:iCs/>
                <w:lang w:eastAsia="zh-CN"/>
              </w:rPr>
            </w:r>
            <w:r>
              <w:rPr>
                <w:rFonts w:eastAsia="宋体" w:hint="eastAsia"/>
                <w:i/>
                <w:iCs/>
                <w:lang w:eastAsia="zh-CN"/>
              </w:rPr>
              <w:fldChar w:fldCharType="separate"/>
            </w:r>
            <w:r>
              <w:rPr>
                <w:i/>
                <w:iCs/>
              </w:rPr>
              <w:t>Table 1-4</w:t>
            </w:r>
            <w:r>
              <w:rPr>
                <w:rFonts w:eastAsia="宋体" w:hint="eastAsia"/>
                <w:i/>
                <w:iCs/>
                <w:lang w:eastAsia="zh-CN"/>
              </w:rPr>
              <w:fldChar w:fldCharType="end"/>
            </w:r>
            <w:r>
              <w:rPr>
                <w:rFonts w:eastAsia="宋体"/>
                <w:i/>
                <w:iCs/>
                <w:lang w:eastAsia="zh-CN"/>
              </w:rPr>
              <w:t xml:space="preserve"> should be considered as</w:t>
            </w:r>
            <w:r>
              <w:rPr>
                <w:rFonts w:eastAsia="宋体"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lang w:eastAsia="zh-CN"/>
              </w:rPr>
              <w:t>Proposal 4:</w:t>
            </w:r>
            <w:r>
              <w:rPr>
                <w:rFonts w:eastAsia="宋体"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58403E">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58403E">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58403E">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lastRenderedPageBreak/>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4"/>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39"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lastRenderedPageBreak/>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6" w:name="OLE_LINK7"/>
      <w:r>
        <w:t xml:space="preserve">study </w:t>
      </w:r>
      <w:bookmarkEnd w:id="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7"/>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0" w:history="1">
        <w:r>
          <w:rPr>
            <w:rStyle w:val="Hyperlink"/>
          </w:rPr>
          <w:t>PDF</w:t>
        </w:r>
      </w:hyperlink>
      <w:r>
        <w:t xml:space="preserve">, </w:t>
      </w:r>
      <w:hyperlink r:id="rId41"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2" w:history="1">
        <w:r>
          <w:rPr>
            <w:rStyle w:val="Hyperlink"/>
          </w:rPr>
          <w:t>PDF</w:t>
        </w:r>
      </w:hyperlink>
      <w:r>
        <w:t xml:space="preserve">, </w:t>
      </w:r>
      <w:hyperlink r:id="rId43" w:history="1">
        <w:r>
          <w:rPr>
            <w:rStyle w:val="Hyperlink"/>
          </w:rPr>
          <w:t>Word</w:t>
        </w:r>
      </w:hyperlink>
    </w:p>
    <w:sectPr w:rsidR="00EF613A">
      <w:headerReference w:type="even" r:id="rId44"/>
      <w:footerReference w:type="even" r:id="rId45"/>
      <w:footerReference w:type="default" r:id="rId46"/>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8C601" w14:textId="77777777" w:rsidR="0058403E" w:rsidRDefault="0058403E">
      <w:pPr>
        <w:spacing w:after="0" w:line="240" w:lineRule="auto"/>
      </w:pPr>
      <w:r>
        <w:separator/>
      </w:r>
    </w:p>
  </w:endnote>
  <w:endnote w:type="continuationSeparator" w:id="0">
    <w:p w14:paraId="72EB4455" w14:textId="77777777" w:rsidR="0058403E" w:rsidRDefault="0058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2FF82" w14:textId="07468763"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811CB5">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1CB5">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6B8D" w14:textId="77777777" w:rsidR="0058403E" w:rsidRDefault="0058403E">
      <w:pPr>
        <w:spacing w:after="0" w:line="240" w:lineRule="auto"/>
      </w:pPr>
      <w:r>
        <w:separator/>
      </w:r>
    </w:p>
  </w:footnote>
  <w:footnote w:type="continuationSeparator" w:id="0">
    <w:p w14:paraId="332D4E87" w14:textId="77777777" w:rsidR="0058403E" w:rsidRDefault="00584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12"/>
  </w:num>
  <w:num w:numId="3">
    <w:abstractNumId w:val="5"/>
  </w:num>
  <w:num w:numId="4">
    <w:abstractNumId w:val="1"/>
  </w:num>
  <w:num w:numId="5">
    <w:abstractNumId w:val="11"/>
  </w:num>
  <w:num w:numId="6">
    <w:abstractNumId w:val="2"/>
  </w:num>
  <w:num w:numId="7">
    <w:abstractNumId w:val="3"/>
  </w:num>
  <w:num w:numId="8">
    <w:abstractNumId w:val="4"/>
  </w:num>
  <w:num w:numId="9">
    <w:abstractNumId w:val="10"/>
  </w:num>
  <w:num w:numId="10">
    <w:abstractNumId w:val="7"/>
  </w:num>
  <w:num w:numId="11">
    <w:abstractNumId w:val="8"/>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6D7"/>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1342"/>
    <w:rsid w:val="00A624A4"/>
    <w:rsid w:val="00A63318"/>
    <w:rsid w:val="00A64E9E"/>
    <w:rsid w:val="00A65F7B"/>
    <w:rsid w:val="00A67907"/>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宋体"/>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宋体"/>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宋体" w:hAnsi="Arial" w:cs="Times New Roman"/>
      <w:b/>
      <w:sz w:val="18"/>
      <w:szCs w:val="20"/>
    </w:rPr>
  </w:style>
  <w:style w:type="character" w:customStyle="1" w:styleId="FooterChar">
    <w:name w:val="Footer Char"/>
    <w:link w:val="Footer"/>
    <w:qFormat/>
    <w:rPr>
      <w:rFonts w:ascii="Arial" w:eastAsia="宋体" w:hAnsi="Arial" w:cs="Times New Roman"/>
      <w:b/>
      <w:i/>
      <w:sz w:val="18"/>
      <w:szCs w:val="20"/>
    </w:rPr>
  </w:style>
  <w:style w:type="character" w:customStyle="1" w:styleId="Heading1Char1">
    <w:name w:val="Heading 1 Char1"/>
    <w:link w:val="Heading1"/>
    <w:uiPriority w:val="9"/>
    <w:qFormat/>
    <w:rPr>
      <w:rFonts w:ascii="Arial" w:eastAsia="宋体"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宋体"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宋体"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宋体"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TSG_RAN/TSGR_99/Docs/RP-23073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3157.zip" TargetMode="External"/><Relationship Id="rId42" Type="http://schemas.openxmlformats.org/officeDocument/2006/relationships/hyperlink" Target="https://www.itu.int/dms_pub/itu-r/opb/rep/R-REP-M.2412-2017-PDF-E.pdf"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itu.int/pub/R-REP-M.24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774.zip" TargetMode="External"/><Relationship Id="rId37" Type="http://schemas.openxmlformats.org/officeDocument/2006/relationships/hyperlink" Target="https://www.3gpp.org/ftp/TSG_RAN/WG1_RL1/TSGR1_112b-e/Docs/R1-2303619.zip" TargetMode="External"/><Relationship Id="rId40" Type="http://schemas.openxmlformats.org/officeDocument/2006/relationships/hyperlink" Target="https://www.itu.int/dms_pub/itu-r/opb/rep/R-REP-M.2514-2022-PDF-E.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hyperlink" Target="https://www.3gpp.org/ftp/TSG_RAN/WG1_RL1/TSGR1_112b-e/Docs/R1-2302384.zip" TargetMode="External"/><Relationship Id="rId36" Type="http://schemas.openxmlformats.org/officeDocument/2006/relationships/hyperlink" Target="https://www.3gpp.org/ftp/TSG_RAN/WG1_RL1/TSGR1_112b-e/Docs/R1-2303346.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69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3gpp.org/ftp/TSG_RAN/WG1_RL1/TSGR1_112b-e/Docs/R1-2302435.zip" TargetMode="External"/><Relationship Id="rId35" Type="http://schemas.openxmlformats.org/officeDocument/2006/relationships/hyperlink" Target="https://www.3gpp.org/ftp/TSG_RAN/WG1_RL1/TSGR1_112b-e/Docs/R1-2303299.zip" TargetMode="External"/><Relationship Id="rId43" Type="http://schemas.openxmlformats.org/officeDocument/2006/relationships/hyperlink" Target="https://www.itu.int/dms_pub/itu-r/opb/rep/R-REP-M.2412-2017-MSW-E.docx"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873.zip" TargetMode="External"/><Relationship Id="rId38" Type="http://schemas.openxmlformats.org/officeDocument/2006/relationships/hyperlink" Target="https://www.3gpp.org/ftp/TSG_RAN/WG1_RL1/TSGR1_112b-e/Docs/R1-2303626.zip" TargetMode="External"/><Relationship Id="rId46" Type="http://schemas.openxmlformats.org/officeDocument/2006/relationships/footer" Target="footer2.xml"/><Relationship Id="rId20" Type="http://schemas.openxmlformats.org/officeDocument/2006/relationships/image" Target="media/image1.wmf"/><Relationship Id="rId41" Type="http://schemas.openxmlformats.org/officeDocument/2006/relationships/hyperlink" Target="https://www.itu.int/dms_pub/itu-r/opb/rep/R-REP-M.2514-202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5ADF0F-2CB3-4710-94CC-336A6E2E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6595</Words>
  <Characters>37593</Characters>
  <Application>Microsoft Office Word</Application>
  <DocSecurity>0</DocSecurity>
  <Lines>313</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Ganjiansong</cp:lastModifiedBy>
  <cp:revision>6</cp:revision>
  <cp:lastPrinted>2020-02-10T06:14:00Z</cp:lastPrinted>
  <dcterms:created xsi:type="dcterms:W3CDTF">2023-04-18T11:25:00Z</dcterms:created>
  <dcterms:modified xsi:type="dcterms:W3CDTF">2023-04-18T12:10:00Z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