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B0DA1" w14:textId="77777777" w:rsidR="00EF613A" w:rsidRDefault="00C11C58">
      <w:pPr>
        <w:pStyle w:val="a9"/>
        <w:tabs>
          <w:tab w:val="right" w:pos="9639"/>
        </w:tabs>
        <w:jc w:val="both"/>
        <w:rPr>
          <w:rFonts w:eastAsia="Times New Roman" w:cs="Arial"/>
          <w:bCs/>
          <w:sz w:val="28"/>
        </w:rPr>
      </w:pPr>
      <w:r>
        <w:rPr>
          <w:rFonts w:eastAsia="Times New Roman" w:cs="Arial"/>
          <w:bCs/>
          <w:sz w:val="28"/>
          <w:lang w:val="en-GB"/>
        </w:rPr>
        <w:t>3GPP TSG-RAN WG1 Meeting #112bis</w:t>
      </w:r>
      <w:r>
        <w:rPr>
          <w:rFonts w:eastAsia="Times New Roman" w:cs="Arial"/>
          <w:bCs/>
          <w:sz w:val="28"/>
          <w:lang w:val="en-GB"/>
        </w:rPr>
        <w:tab/>
      </w:r>
      <w:r>
        <w:rPr>
          <w:rFonts w:eastAsia="Times New Roman" w:cs="Arial"/>
          <w:bCs/>
          <w:sz w:val="28"/>
          <w:lang w:val="en-GB"/>
        </w:rPr>
        <w:tab/>
      </w:r>
      <w:r>
        <w:rPr>
          <w:rFonts w:eastAsia="Times New Roman" w:cs="Arial"/>
          <w:bCs/>
          <w:sz w:val="28"/>
          <w:lang w:val="en-GB"/>
        </w:rPr>
        <w:tab/>
      </w:r>
      <w:r>
        <w:rPr>
          <w:rFonts w:eastAsia="Times New Roman" w:cs="Arial"/>
          <w:bCs/>
          <w:sz w:val="28"/>
          <w:lang w:val="en-GB"/>
        </w:rPr>
        <w:tab/>
      </w:r>
      <w:r>
        <w:rPr>
          <w:rFonts w:eastAsia="Times New Roman" w:cs="Arial"/>
          <w:bCs/>
          <w:sz w:val="28"/>
          <w:lang w:val="en-GB"/>
        </w:rPr>
        <w:tab/>
        <w:t>R1-2304008</w:t>
      </w:r>
    </w:p>
    <w:p w14:paraId="28C6BC52" w14:textId="77777777" w:rsidR="00EF613A" w:rsidRDefault="00EF613A">
      <w:pPr>
        <w:pStyle w:val="a9"/>
        <w:tabs>
          <w:tab w:val="right" w:pos="9639"/>
        </w:tabs>
        <w:jc w:val="both"/>
        <w:rPr>
          <w:rFonts w:eastAsia="Times New Roman" w:cs="Arial"/>
          <w:bCs/>
          <w:sz w:val="28"/>
          <w:lang w:val="en-GB"/>
        </w:rPr>
      </w:pPr>
    </w:p>
    <w:p w14:paraId="6B335FAB" w14:textId="77777777" w:rsidR="00EF613A" w:rsidRDefault="00C11C58">
      <w:pPr>
        <w:pStyle w:val="a9"/>
        <w:tabs>
          <w:tab w:val="right" w:pos="9639"/>
        </w:tabs>
        <w:jc w:val="both"/>
        <w:rPr>
          <w:rFonts w:eastAsia="Times New Roman" w:cs="Arial"/>
          <w:bCs/>
          <w:sz w:val="28"/>
          <w:lang w:val="en-GB"/>
        </w:rPr>
      </w:pPr>
      <w:proofErr w:type="gramStart"/>
      <w:r>
        <w:rPr>
          <w:rFonts w:eastAsia="Times New Roman" w:cs="Arial"/>
          <w:bCs/>
          <w:sz w:val="28"/>
          <w:lang w:val="en-GB"/>
        </w:rPr>
        <w:t>e-Meeting</w:t>
      </w:r>
      <w:proofErr w:type="gramEnd"/>
      <w:r>
        <w:rPr>
          <w:rFonts w:eastAsia="Times New Roman" w:cs="Arial"/>
          <w:bCs/>
          <w:sz w:val="28"/>
          <w:lang w:val="en-GB"/>
        </w:rPr>
        <w:t>, April 17th – April 26th, 2023</w:t>
      </w:r>
    </w:p>
    <w:p w14:paraId="2CEA00B5" w14:textId="77777777" w:rsidR="00EF613A" w:rsidRDefault="00C11C58">
      <w:pPr>
        <w:pStyle w:val="a9"/>
        <w:tabs>
          <w:tab w:val="right" w:pos="9639"/>
        </w:tabs>
        <w:jc w:val="both"/>
        <w:rPr>
          <w:i/>
          <w:sz w:val="32"/>
          <w:lang w:val="en-GB"/>
        </w:rPr>
      </w:pPr>
      <w:r>
        <w:rPr>
          <w:sz w:val="24"/>
          <w:lang w:val="en-GB"/>
        </w:rPr>
        <w:tab/>
      </w:r>
    </w:p>
    <w:p w14:paraId="2829F4A6" w14:textId="77777777" w:rsidR="00EF613A" w:rsidRDefault="00C11C58">
      <w:pPr>
        <w:tabs>
          <w:tab w:val="left" w:pos="1985"/>
        </w:tabs>
        <w:jc w:val="both"/>
        <w:rPr>
          <w:rFonts w:ascii="Arial" w:hAnsi="Arial"/>
          <w:sz w:val="24"/>
        </w:rPr>
      </w:pPr>
      <w:bookmarkStart w:id="0" w:name="_Hlk132612048"/>
      <w:r>
        <w:rPr>
          <w:rFonts w:ascii="Arial" w:hAnsi="Arial"/>
          <w:b/>
          <w:sz w:val="24"/>
        </w:rPr>
        <w:t>Agenda item:</w:t>
      </w:r>
      <w:r>
        <w:rPr>
          <w:rFonts w:ascii="Arial" w:hAnsi="Arial"/>
          <w:sz w:val="24"/>
        </w:rPr>
        <w:tab/>
      </w:r>
      <w:bookmarkStart w:id="1" w:name="Source"/>
      <w:bookmarkEnd w:id="1"/>
      <w:r>
        <w:rPr>
          <w:rFonts w:ascii="Arial" w:hAnsi="Arial"/>
          <w:sz w:val="24"/>
        </w:rPr>
        <w:t>9.15.1</w:t>
      </w:r>
    </w:p>
    <w:p w14:paraId="6C9B566C" w14:textId="77777777" w:rsidR="00EF613A" w:rsidRDefault="00C11C58">
      <w:pPr>
        <w:tabs>
          <w:tab w:val="left" w:pos="1985"/>
        </w:tabs>
        <w:jc w:val="both"/>
        <w:rPr>
          <w:rFonts w:ascii="Arial" w:hAnsi="Arial"/>
          <w:bCs/>
          <w:sz w:val="24"/>
        </w:rPr>
      </w:pPr>
      <w:r>
        <w:rPr>
          <w:rFonts w:ascii="Arial" w:hAnsi="Arial"/>
          <w:b/>
          <w:sz w:val="24"/>
        </w:rPr>
        <w:t>Source:</w:t>
      </w:r>
      <w:r>
        <w:rPr>
          <w:rFonts w:ascii="Arial" w:hAnsi="Arial"/>
          <w:bCs/>
          <w:sz w:val="24"/>
        </w:rPr>
        <w:t xml:space="preserve"> </w:t>
      </w:r>
      <w:r>
        <w:rPr>
          <w:rFonts w:ascii="Arial" w:hAnsi="Arial"/>
          <w:bCs/>
          <w:sz w:val="24"/>
        </w:rPr>
        <w:tab/>
        <w:t>Moderator (Qualcomm)</w:t>
      </w:r>
    </w:p>
    <w:p w14:paraId="1E4F7070" w14:textId="77777777" w:rsidR="00EF613A" w:rsidRDefault="00C11C58">
      <w:pPr>
        <w:ind w:left="1988" w:hanging="1988"/>
        <w:jc w:val="both"/>
        <w:rPr>
          <w:rFonts w:ascii="Arial" w:hAnsi="Arial"/>
          <w:sz w:val="28"/>
          <w:lang w:val="en-US"/>
        </w:rPr>
      </w:pPr>
      <w:r>
        <w:rPr>
          <w:rFonts w:ascii="Arial" w:hAnsi="Arial"/>
          <w:b/>
          <w:sz w:val="24"/>
        </w:rPr>
        <w:t>Title:</w:t>
      </w:r>
      <w:r>
        <w:rPr>
          <w:rFonts w:ascii="Arial" w:hAnsi="Arial"/>
          <w:sz w:val="24"/>
        </w:rPr>
        <w:t xml:space="preserve"> </w:t>
      </w:r>
      <w:r>
        <w:rPr>
          <w:rFonts w:ascii="Arial" w:hAnsi="Arial"/>
          <w:sz w:val="22"/>
        </w:rPr>
        <w:tab/>
      </w:r>
      <w:r>
        <w:rPr>
          <w:rFonts w:ascii="Arial" w:hAnsi="Arial"/>
          <w:sz w:val="24"/>
        </w:rPr>
        <w:t>Feature lead summary #1 on evaluation methodology for IMT-2020 Satellite</w:t>
      </w:r>
    </w:p>
    <w:p w14:paraId="68992E42" w14:textId="77777777" w:rsidR="00EF613A" w:rsidRDefault="00C11C58">
      <w:pPr>
        <w:tabs>
          <w:tab w:val="left" w:pos="1985"/>
        </w:tabs>
        <w:ind w:right="-441"/>
        <w:jc w:val="both"/>
        <w:rPr>
          <w:rFonts w:ascii="Arial" w:hAnsi="Arial"/>
          <w:sz w:val="24"/>
        </w:rPr>
      </w:pPr>
      <w:r>
        <w:rPr>
          <w:rFonts w:ascii="Arial" w:hAnsi="Arial"/>
          <w:b/>
          <w:sz w:val="24"/>
        </w:rPr>
        <w:t>Document for:</w:t>
      </w:r>
      <w:r>
        <w:rPr>
          <w:rFonts w:ascii="Arial" w:hAnsi="Arial"/>
          <w:sz w:val="24"/>
        </w:rPr>
        <w:tab/>
      </w:r>
      <w:bookmarkStart w:id="2" w:name="DocumentFor"/>
      <w:bookmarkEnd w:id="2"/>
      <w:r>
        <w:rPr>
          <w:rFonts w:ascii="Arial" w:hAnsi="Arial"/>
          <w:sz w:val="24"/>
        </w:rPr>
        <w:t>Discussion and Decision</w:t>
      </w:r>
    </w:p>
    <w:bookmarkEnd w:id="0"/>
    <w:p w14:paraId="5790954F" w14:textId="77777777" w:rsidR="00EF613A" w:rsidRDefault="00EF613A">
      <w:pPr>
        <w:ind w:left="1988" w:hanging="1988"/>
        <w:jc w:val="both"/>
        <w:rPr>
          <w:rFonts w:ascii="Arial" w:hAnsi="Arial"/>
          <w:sz w:val="24"/>
        </w:rPr>
      </w:pPr>
    </w:p>
    <w:p w14:paraId="60BCD0CA" w14:textId="77777777" w:rsidR="00EF613A" w:rsidRDefault="00C11C58">
      <w:pPr>
        <w:pStyle w:val="1"/>
        <w:numPr>
          <w:ilvl w:val="0"/>
          <w:numId w:val="4"/>
        </w:numPr>
        <w:tabs>
          <w:tab w:val="left" w:pos="720"/>
        </w:tabs>
        <w:ind w:left="720" w:hanging="720"/>
        <w:jc w:val="both"/>
      </w:pPr>
      <w:r>
        <w:t>Introduction</w:t>
      </w:r>
    </w:p>
    <w:p w14:paraId="46A2AE19" w14:textId="77777777" w:rsidR="00EF613A" w:rsidRDefault="00C11C58">
      <w:pPr>
        <w:ind w:left="1988" w:hanging="1988"/>
        <w:jc w:val="both"/>
      </w:pPr>
      <w:r>
        <w:t>In [2], a new SID was approved on IMT-2020 satellite radio interface evaluation. RAN1 is tasked with providing evaluations for different performance requirements as follows:</w:t>
      </w:r>
    </w:p>
    <w:p w14:paraId="69FDD151" w14:textId="77777777" w:rsidR="00EF613A" w:rsidRDefault="00C11C58">
      <w:pPr>
        <w:spacing w:after="0"/>
        <w:rPr>
          <w:bCs/>
          <w:lang w:eastAsia="zh-CN"/>
        </w:rPr>
      </w:pPr>
      <w:r>
        <w:rPr>
          <w:rFonts w:hint="eastAsia"/>
          <w:bCs/>
          <w:lang w:eastAsia="zh-CN"/>
        </w:rPr>
        <w:t>Detailed objectives of this study item include:</w:t>
      </w:r>
    </w:p>
    <w:p w14:paraId="49540144" w14:textId="77777777" w:rsidR="00EF613A" w:rsidRDefault="00C11C58">
      <w:pPr>
        <w:numPr>
          <w:ilvl w:val="0"/>
          <w:numId w:val="5"/>
        </w:numPr>
        <w:spacing w:after="0"/>
        <w:rPr>
          <w:bCs/>
          <w:lang w:eastAsia="zh-CN"/>
        </w:rPr>
      </w:pPr>
      <w:r>
        <w:rPr>
          <w:bCs/>
          <w:lang w:eastAsia="zh-CN"/>
        </w:rPr>
        <w:t>C</w:t>
      </w:r>
      <w:r>
        <w:rPr>
          <w:rFonts w:hint="eastAsia"/>
          <w:bCs/>
          <w:lang w:eastAsia="zh-CN"/>
        </w:rPr>
        <w:t xml:space="preserve">omplete all required submission </w:t>
      </w:r>
      <w:r>
        <w:rPr>
          <w:bCs/>
          <w:lang w:eastAsia="zh-CN"/>
        </w:rPr>
        <w:t>template</w:t>
      </w:r>
      <w:r>
        <w:rPr>
          <w:rFonts w:hint="eastAsia"/>
          <w:bCs/>
          <w:lang w:eastAsia="zh-CN"/>
        </w:rPr>
        <w:t>s as defined in Report ITU-R M.</w:t>
      </w:r>
      <w:r>
        <w:rPr>
          <w:bCs/>
          <w:lang w:eastAsia="zh-CN"/>
        </w:rPr>
        <w:t>2514</w:t>
      </w:r>
      <w:r>
        <w:rPr>
          <w:rFonts w:hint="eastAsia"/>
          <w:bCs/>
          <w:lang w:eastAsia="zh-CN"/>
        </w:rPr>
        <w:t xml:space="preserve"> [</w:t>
      </w:r>
      <w:r>
        <w:rPr>
          <w:bCs/>
          <w:lang w:eastAsia="zh-CN"/>
        </w:rPr>
        <w:t>RAN ITU-R Ad-Hoc</w:t>
      </w:r>
      <w:r>
        <w:rPr>
          <w:rFonts w:hint="eastAsia"/>
          <w:bCs/>
          <w:lang w:eastAsia="zh-CN"/>
        </w:rPr>
        <w:t>]</w:t>
      </w:r>
    </w:p>
    <w:p w14:paraId="36C17CAC" w14:textId="77777777" w:rsidR="00EF613A" w:rsidRDefault="00EF613A">
      <w:pPr>
        <w:spacing w:after="0"/>
        <w:ind w:left="420"/>
        <w:rPr>
          <w:bCs/>
          <w:lang w:eastAsia="zh-CN"/>
        </w:rPr>
      </w:pPr>
    </w:p>
    <w:p w14:paraId="37D8ACB3" w14:textId="77777777" w:rsidR="00EF613A" w:rsidRDefault="00C11C58">
      <w:pPr>
        <w:numPr>
          <w:ilvl w:val="0"/>
          <w:numId w:val="5"/>
        </w:numPr>
        <w:spacing w:after="0"/>
        <w:rPr>
          <w:bCs/>
          <w:lang w:eastAsia="zh-CN"/>
        </w:rPr>
      </w:pPr>
      <w:r>
        <w:rPr>
          <w:rFonts w:hint="eastAsia"/>
          <w:bCs/>
          <w:lang w:eastAsia="zh-CN"/>
        </w:rPr>
        <w:t xml:space="preserve">Provide </w:t>
      </w:r>
      <w:r>
        <w:rPr>
          <w:bCs/>
          <w:lang w:eastAsia="zh-CN"/>
        </w:rPr>
        <w:t>self-evaluation</w:t>
      </w:r>
      <w:r>
        <w:rPr>
          <w:rFonts w:hint="eastAsia"/>
          <w:bCs/>
          <w:lang w:eastAsia="zh-CN"/>
        </w:rPr>
        <w:t xml:space="preserve"> results against technical performance requirements for </w:t>
      </w:r>
      <w:proofErr w:type="spellStart"/>
      <w:r>
        <w:rPr>
          <w:rFonts w:hint="eastAsia"/>
          <w:bCs/>
          <w:lang w:eastAsia="zh-CN"/>
        </w:rPr>
        <w:t>eMBB</w:t>
      </w:r>
      <w:proofErr w:type="spellEnd"/>
      <w:r>
        <w:rPr>
          <w:bCs/>
          <w:lang w:eastAsia="zh-CN"/>
        </w:rPr>
        <w:t>-s</w:t>
      </w:r>
      <w:r>
        <w:rPr>
          <w:rFonts w:hint="eastAsia"/>
          <w:bCs/>
          <w:lang w:eastAsia="zh-CN"/>
        </w:rPr>
        <w:t xml:space="preserve"> as defined in Report ITU-R M.</w:t>
      </w:r>
      <w:r>
        <w:rPr>
          <w:bCs/>
          <w:lang w:eastAsia="zh-CN"/>
        </w:rPr>
        <w:t>2514</w:t>
      </w:r>
      <w:r>
        <w:rPr>
          <w:rFonts w:hint="eastAsia"/>
          <w:bCs/>
          <w:lang w:eastAsia="zh-CN"/>
        </w:rPr>
        <w:t xml:space="preserve"> [</w:t>
      </w:r>
      <w:r>
        <w:rPr>
          <w:bCs/>
          <w:lang w:eastAsia="zh-CN"/>
        </w:rPr>
        <w:t xml:space="preserve">RAN ITU-R Ad-Hoc, </w:t>
      </w:r>
      <w:r>
        <w:rPr>
          <w:rFonts w:hint="eastAsia"/>
          <w:bCs/>
          <w:lang w:eastAsia="zh-CN"/>
        </w:rPr>
        <w:t>RAN1</w:t>
      </w:r>
      <w:r>
        <w:rPr>
          <w:bCs/>
          <w:lang w:eastAsia="zh-CN"/>
        </w:rPr>
        <w:t>, RAN2</w:t>
      </w:r>
      <w:r>
        <w:rPr>
          <w:rFonts w:hint="eastAsia"/>
          <w:bCs/>
          <w:lang w:eastAsia="zh-CN"/>
        </w:rPr>
        <w:t>], including</w:t>
      </w:r>
    </w:p>
    <w:p w14:paraId="0E661D2E" w14:textId="77777777" w:rsidR="00EF613A" w:rsidRDefault="00C11C58">
      <w:pPr>
        <w:numPr>
          <w:ilvl w:val="1"/>
          <w:numId w:val="5"/>
        </w:numPr>
        <w:spacing w:after="0"/>
        <w:rPr>
          <w:bCs/>
          <w:lang w:eastAsia="zh-CN"/>
        </w:rPr>
      </w:pPr>
      <w:r>
        <w:rPr>
          <w:rFonts w:hint="eastAsia"/>
          <w:bCs/>
          <w:lang w:eastAsia="zh-CN"/>
        </w:rPr>
        <w:t>Peak data rate</w:t>
      </w:r>
    </w:p>
    <w:p w14:paraId="7E7A327E" w14:textId="77777777" w:rsidR="00EF613A" w:rsidRDefault="00C11C58">
      <w:pPr>
        <w:numPr>
          <w:ilvl w:val="1"/>
          <w:numId w:val="5"/>
        </w:numPr>
        <w:spacing w:after="0"/>
        <w:rPr>
          <w:bCs/>
          <w:lang w:eastAsia="zh-CN"/>
        </w:rPr>
      </w:pPr>
      <w:r>
        <w:rPr>
          <w:rFonts w:hint="eastAsia"/>
          <w:bCs/>
          <w:lang w:eastAsia="zh-CN"/>
        </w:rPr>
        <w:t>Peak spectral efficiency</w:t>
      </w:r>
    </w:p>
    <w:p w14:paraId="30F0023C" w14:textId="77777777" w:rsidR="00EF613A" w:rsidRDefault="00C11C58">
      <w:pPr>
        <w:numPr>
          <w:ilvl w:val="1"/>
          <w:numId w:val="5"/>
        </w:numPr>
        <w:spacing w:after="0"/>
        <w:rPr>
          <w:bCs/>
          <w:lang w:eastAsia="zh-CN"/>
        </w:rPr>
      </w:pPr>
      <w:r>
        <w:rPr>
          <w:rFonts w:hint="eastAsia"/>
          <w:bCs/>
          <w:lang w:eastAsia="zh-CN"/>
        </w:rPr>
        <w:t>User experienced data rate</w:t>
      </w:r>
    </w:p>
    <w:p w14:paraId="02929862" w14:textId="77777777" w:rsidR="00EF613A" w:rsidRDefault="00C11C58">
      <w:pPr>
        <w:numPr>
          <w:ilvl w:val="1"/>
          <w:numId w:val="5"/>
        </w:numPr>
        <w:spacing w:after="0"/>
        <w:rPr>
          <w:bCs/>
          <w:lang w:eastAsia="zh-CN"/>
        </w:rPr>
      </w:pPr>
      <w:r>
        <w:rPr>
          <w:rFonts w:hint="eastAsia"/>
          <w:bCs/>
          <w:lang w:eastAsia="zh-CN"/>
        </w:rPr>
        <w:t>5</w:t>
      </w:r>
      <w:r>
        <w:rPr>
          <w:rFonts w:hint="eastAsia"/>
          <w:bCs/>
          <w:vertAlign w:val="superscript"/>
          <w:lang w:eastAsia="zh-CN"/>
        </w:rPr>
        <w:t>th</w:t>
      </w:r>
      <w:r>
        <w:rPr>
          <w:rFonts w:hint="eastAsia"/>
          <w:bCs/>
          <w:lang w:eastAsia="zh-CN"/>
        </w:rPr>
        <w:t xml:space="preserve"> percentile user spectral efficiency</w:t>
      </w:r>
    </w:p>
    <w:p w14:paraId="4CECA03F" w14:textId="77777777" w:rsidR="00EF613A" w:rsidRDefault="00C11C58">
      <w:pPr>
        <w:numPr>
          <w:ilvl w:val="1"/>
          <w:numId w:val="5"/>
        </w:numPr>
        <w:spacing w:after="0"/>
        <w:rPr>
          <w:bCs/>
          <w:lang w:eastAsia="zh-CN"/>
        </w:rPr>
      </w:pPr>
      <w:r>
        <w:rPr>
          <w:rFonts w:hint="eastAsia"/>
          <w:bCs/>
          <w:lang w:eastAsia="zh-CN"/>
        </w:rPr>
        <w:t>Average spectral efficiency</w:t>
      </w:r>
    </w:p>
    <w:p w14:paraId="2CCC7705" w14:textId="77777777" w:rsidR="00EF613A" w:rsidRDefault="00C11C58">
      <w:pPr>
        <w:numPr>
          <w:ilvl w:val="1"/>
          <w:numId w:val="5"/>
        </w:numPr>
        <w:spacing w:after="0"/>
        <w:rPr>
          <w:bCs/>
          <w:lang w:eastAsia="zh-CN"/>
        </w:rPr>
      </w:pPr>
      <w:r>
        <w:rPr>
          <w:rFonts w:hint="eastAsia"/>
          <w:bCs/>
          <w:lang w:eastAsia="zh-CN"/>
        </w:rPr>
        <w:t>Area traffic capacity</w:t>
      </w:r>
    </w:p>
    <w:p w14:paraId="3AFEB509" w14:textId="77777777" w:rsidR="00EF613A" w:rsidRDefault="00C11C58">
      <w:pPr>
        <w:numPr>
          <w:ilvl w:val="1"/>
          <w:numId w:val="5"/>
        </w:numPr>
        <w:spacing w:after="0"/>
        <w:rPr>
          <w:bCs/>
          <w:lang w:eastAsia="zh-CN"/>
        </w:rPr>
      </w:pPr>
      <w:r>
        <w:rPr>
          <w:rFonts w:hint="eastAsia"/>
          <w:bCs/>
          <w:lang w:eastAsia="zh-CN"/>
        </w:rPr>
        <w:t>Latency, including user plane latency and control plane latency</w:t>
      </w:r>
    </w:p>
    <w:p w14:paraId="5873F947" w14:textId="77777777" w:rsidR="00EF613A" w:rsidRDefault="00C11C58">
      <w:pPr>
        <w:numPr>
          <w:ilvl w:val="1"/>
          <w:numId w:val="5"/>
        </w:numPr>
        <w:spacing w:after="0"/>
        <w:rPr>
          <w:bCs/>
          <w:lang w:eastAsia="zh-CN"/>
        </w:rPr>
      </w:pPr>
      <w:r>
        <w:rPr>
          <w:rFonts w:hint="eastAsia"/>
          <w:bCs/>
          <w:lang w:eastAsia="zh-CN"/>
        </w:rPr>
        <w:t xml:space="preserve">Energy efficiency, including </w:t>
      </w:r>
      <w:r>
        <w:rPr>
          <w:bCs/>
          <w:lang w:eastAsia="zh-CN"/>
        </w:rPr>
        <w:t xml:space="preserve">both </w:t>
      </w:r>
      <w:r>
        <w:rPr>
          <w:rFonts w:hint="eastAsia"/>
          <w:bCs/>
          <w:lang w:eastAsia="zh-CN"/>
        </w:rPr>
        <w:t xml:space="preserve">network </w:t>
      </w:r>
      <w:r>
        <w:rPr>
          <w:bCs/>
          <w:lang w:eastAsia="zh-CN"/>
        </w:rPr>
        <w:t>and device</w:t>
      </w:r>
    </w:p>
    <w:p w14:paraId="742EFEEB" w14:textId="77777777" w:rsidR="00EF613A" w:rsidRDefault="00C11C58">
      <w:pPr>
        <w:numPr>
          <w:ilvl w:val="1"/>
          <w:numId w:val="5"/>
        </w:numPr>
        <w:spacing w:after="0"/>
        <w:rPr>
          <w:bCs/>
          <w:lang w:eastAsia="zh-CN"/>
        </w:rPr>
      </w:pPr>
      <w:r>
        <w:rPr>
          <w:rFonts w:hint="eastAsia"/>
          <w:bCs/>
          <w:lang w:eastAsia="zh-CN"/>
        </w:rPr>
        <w:t>Mobility</w:t>
      </w:r>
    </w:p>
    <w:p w14:paraId="49F66D50" w14:textId="77777777" w:rsidR="00EF613A" w:rsidRDefault="00C11C58">
      <w:pPr>
        <w:numPr>
          <w:ilvl w:val="1"/>
          <w:numId w:val="5"/>
        </w:numPr>
        <w:spacing w:after="0"/>
        <w:rPr>
          <w:bCs/>
          <w:lang w:eastAsia="zh-CN"/>
        </w:rPr>
      </w:pPr>
      <w:r>
        <w:rPr>
          <w:rFonts w:hint="eastAsia"/>
          <w:bCs/>
          <w:lang w:eastAsia="zh-CN"/>
        </w:rPr>
        <w:t>Mobility interruption time</w:t>
      </w:r>
    </w:p>
    <w:p w14:paraId="0DCC7E4B" w14:textId="77777777" w:rsidR="00EF613A" w:rsidRDefault="00C11C58">
      <w:pPr>
        <w:tabs>
          <w:tab w:val="left" w:pos="5325"/>
        </w:tabs>
        <w:spacing w:after="0"/>
        <w:rPr>
          <w:bCs/>
          <w:lang w:eastAsia="zh-CN"/>
        </w:rPr>
      </w:pPr>
      <w:r>
        <w:rPr>
          <w:bCs/>
          <w:lang w:eastAsia="zh-CN"/>
        </w:rPr>
        <w:tab/>
      </w:r>
    </w:p>
    <w:p w14:paraId="7915A9C2" w14:textId="77777777" w:rsidR="00EF613A" w:rsidRDefault="00C11C58">
      <w:pPr>
        <w:numPr>
          <w:ilvl w:val="0"/>
          <w:numId w:val="5"/>
        </w:numPr>
        <w:spacing w:after="0"/>
        <w:rPr>
          <w:bCs/>
          <w:lang w:eastAsia="zh-CN"/>
        </w:rPr>
      </w:pPr>
      <w:r>
        <w:rPr>
          <w:rFonts w:hint="eastAsia"/>
          <w:bCs/>
          <w:lang w:eastAsia="zh-CN"/>
        </w:rPr>
        <w:lastRenderedPageBreak/>
        <w:t xml:space="preserve">Provide </w:t>
      </w:r>
      <w:r>
        <w:rPr>
          <w:bCs/>
          <w:lang w:eastAsia="zh-CN"/>
        </w:rPr>
        <w:t>self-evaluation</w:t>
      </w:r>
      <w:r>
        <w:rPr>
          <w:rFonts w:hint="eastAsia"/>
          <w:bCs/>
          <w:lang w:eastAsia="zh-CN"/>
        </w:rPr>
        <w:t xml:space="preserve"> results against technical performance requirements for </w:t>
      </w:r>
      <w:proofErr w:type="spellStart"/>
      <w:r>
        <w:rPr>
          <w:rFonts w:hint="eastAsia"/>
          <w:bCs/>
          <w:lang w:eastAsia="zh-CN"/>
        </w:rPr>
        <w:t>mMTC</w:t>
      </w:r>
      <w:proofErr w:type="spellEnd"/>
      <w:r>
        <w:rPr>
          <w:bCs/>
          <w:lang w:eastAsia="zh-CN"/>
        </w:rPr>
        <w:t>-s</w:t>
      </w:r>
      <w:r>
        <w:rPr>
          <w:rFonts w:hint="eastAsia"/>
          <w:bCs/>
          <w:lang w:eastAsia="zh-CN"/>
        </w:rPr>
        <w:t xml:space="preserve"> as defined in Report ITU-R M.</w:t>
      </w:r>
      <w:r>
        <w:rPr>
          <w:bCs/>
          <w:lang w:eastAsia="zh-CN"/>
        </w:rPr>
        <w:t>2514</w:t>
      </w:r>
      <w:r>
        <w:rPr>
          <w:rFonts w:hint="eastAsia"/>
          <w:bCs/>
          <w:lang w:eastAsia="zh-CN"/>
        </w:rPr>
        <w:t xml:space="preserve"> [</w:t>
      </w:r>
      <w:r>
        <w:rPr>
          <w:bCs/>
          <w:lang w:eastAsia="zh-CN"/>
        </w:rPr>
        <w:t xml:space="preserve">RAN ITU-R Ad-Hoc, </w:t>
      </w:r>
      <w:r>
        <w:rPr>
          <w:rFonts w:hint="eastAsia"/>
          <w:bCs/>
          <w:lang w:eastAsia="zh-CN"/>
        </w:rPr>
        <w:t>RAN1</w:t>
      </w:r>
      <w:r>
        <w:rPr>
          <w:bCs/>
          <w:lang w:eastAsia="zh-CN"/>
        </w:rPr>
        <w:t>, RAN2</w:t>
      </w:r>
      <w:r>
        <w:rPr>
          <w:rFonts w:hint="eastAsia"/>
          <w:bCs/>
          <w:lang w:eastAsia="zh-CN"/>
        </w:rPr>
        <w:t>], including</w:t>
      </w:r>
    </w:p>
    <w:p w14:paraId="4F1E5F40" w14:textId="77777777" w:rsidR="00EF613A" w:rsidRDefault="00C11C58">
      <w:pPr>
        <w:numPr>
          <w:ilvl w:val="1"/>
          <w:numId w:val="5"/>
        </w:numPr>
        <w:spacing w:after="0"/>
        <w:rPr>
          <w:bCs/>
          <w:lang w:eastAsia="zh-CN"/>
        </w:rPr>
      </w:pPr>
      <w:r>
        <w:rPr>
          <w:rFonts w:hint="eastAsia"/>
          <w:bCs/>
          <w:lang w:eastAsia="zh-CN"/>
        </w:rPr>
        <w:t>Connection density</w:t>
      </w:r>
    </w:p>
    <w:p w14:paraId="5B390A1E" w14:textId="77777777" w:rsidR="00EF613A" w:rsidRDefault="00EF613A">
      <w:pPr>
        <w:spacing w:after="0"/>
        <w:ind w:left="420"/>
        <w:rPr>
          <w:bCs/>
          <w:lang w:eastAsia="zh-CN"/>
        </w:rPr>
      </w:pPr>
    </w:p>
    <w:p w14:paraId="36460202" w14:textId="77777777" w:rsidR="00EF613A" w:rsidRDefault="00C11C58">
      <w:pPr>
        <w:numPr>
          <w:ilvl w:val="0"/>
          <w:numId w:val="5"/>
        </w:numPr>
        <w:spacing w:after="0"/>
        <w:rPr>
          <w:bCs/>
          <w:lang w:eastAsia="zh-CN"/>
        </w:rPr>
      </w:pPr>
      <w:r>
        <w:rPr>
          <w:rFonts w:hint="eastAsia"/>
          <w:bCs/>
          <w:lang w:eastAsia="zh-CN"/>
        </w:rPr>
        <w:t xml:space="preserve">Provide </w:t>
      </w:r>
      <w:r>
        <w:rPr>
          <w:bCs/>
          <w:lang w:eastAsia="zh-CN"/>
        </w:rPr>
        <w:t>self-evaluation</w:t>
      </w:r>
      <w:r>
        <w:rPr>
          <w:rFonts w:hint="eastAsia"/>
          <w:bCs/>
          <w:lang w:eastAsia="zh-CN"/>
        </w:rPr>
        <w:t xml:space="preserve"> results against technical performance requirements for </w:t>
      </w:r>
      <w:r>
        <w:rPr>
          <w:bCs/>
          <w:lang w:eastAsia="zh-CN"/>
        </w:rPr>
        <w:t>HRC-s</w:t>
      </w:r>
      <w:r>
        <w:rPr>
          <w:rFonts w:hint="eastAsia"/>
          <w:bCs/>
          <w:lang w:eastAsia="zh-CN"/>
        </w:rPr>
        <w:t xml:space="preserve"> as defined in Report ITU-R M.</w:t>
      </w:r>
      <w:r>
        <w:rPr>
          <w:bCs/>
          <w:lang w:eastAsia="zh-CN"/>
        </w:rPr>
        <w:t>2514</w:t>
      </w:r>
      <w:r>
        <w:rPr>
          <w:rFonts w:hint="eastAsia"/>
          <w:bCs/>
          <w:lang w:eastAsia="zh-CN"/>
        </w:rPr>
        <w:t xml:space="preserve"> [</w:t>
      </w:r>
      <w:r>
        <w:rPr>
          <w:bCs/>
          <w:lang w:eastAsia="zh-CN"/>
        </w:rPr>
        <w:t xml:space="preserve">RAN ITU-R Ad-Hoc, </w:t>
      </w:r>
      <w:r>
        <w:rPr>
          <w:rFonts w:hint="eastAsia"/>
          <w:bCs/>
          <w:lang w:eastAsia="zh-CN"/>
        </w:rPr>
        <w:t>RAN1</w:t>
      </w:r>
      <w:r>
        <w:rPr>
          <w:bCs/>
          <w:lang w:eastAsia="zh-CN"/>
        </w:rPr>
        <w:t>, RAN2</w:t>
      </w:r>
      <w:r>
        <w:rPr>
          <w:rFonts w:hint="eastAsia"/>
          <w:bCs/>
          <w:lang w:eastAsia="zh-CN"/>
        </w:rPr>
        <w:t>], including</w:t>
      </w:r>
    </w:p>
    <w:p w14:paraId="36C7C9CA" w14:textId="77777777" w:rsidR="00EF613A" w:rsidRDefault="00C11C58">
      <w:pPr>
        <w:numPr>
          <w:ilvl w:val="1"/>
          <w:numId w:val="5"/>
        </w:numPr>
        <w:spacing w:after="0"/>
        <w:rPr>
          <w:bCs/>
          <w:lang w:eastAsia="zh-CN"/>
        </w:rPr>
      </w:pPr>
      <w:r>
        <w:rPr>
          <w:rFonts w:hint="eastAsia"/>
          <w:bCs/>
          <w:lang w:eastAsia="zh-CN"/>
        </w:rPr>
        <w:t>Reliability</w:t>
      </w:r>
    </w:p>
    <w:p w14:paraId="299513AA" w14:textId="77777777" w:rsidR="00EF613A" w:rsidRDefault="00EF613A">
      <w:pPr>
        <w:spacing w:after="0"/>
        <w:ind w:left="420"/>
        <w:rPr>
          <w:bCs/>
          <w:lang w:eastAsia="zh-CN"/>
        </w:rPr>
      </w:pPr>
    </w:p>
    <w:p w14:paraId="57202CF5" w14:textId="77777777" w:rsidR="00EF613A" w:rsidRDefault="00C11C58">
      <w:pPr>
        <w:numPr>
          <w:ilvl w:val="0"/>
          <w:numId w:val="5"/>
        </w:numPr>
        <w:spacing w:after="0"/>
        <w:rPr>
          <w:bCs/>
          <w:lang w:eastAsia="zh-CN"/>
        </w:rPr>
      </w:pPr>
      <w:r>
        <w:rPr>
          <w:rFonts w:hint="eastAsia"/>
          <w:bCs/>
          <w:lang w:eastAsia="zh-CN"/>
        </w:rPr>
        <w:t>Provide self</w:t>
      </w:r>
      <w:r>
        <w:rPr>
          <w:bCs/>
          <w:lang w:eastAsia="zh-CN"/>
        </w:rPr>
        <w:t>-</w:t>
      </w:r>
      <w:r>
        <w:rPr>
          <w:rFonts w:hint="eastAsia"/>
          <w:bCs/>
          <w:lang w:eastAsia="zh-CN"/>
        </w:rPr>
        <w:t>evaluation results for other requirements (including bandwidth) as defined in Report ITU-R M.</w:t>
      </w:r>
      <w:r>
        <w:rPr>
          <w:bCs/>
          <w:lang w:eastAsia="zh-CN"/>
        </w:rPr>
        <w:t xml:space="preserve">2514 </w:t>
      </w:r>
      <w:r>
        <w:rPr>
          <w:rFonts w:hint="eastAsia"/>
          <w:bCs/>
          <w:lang w:eastAsia="zh-CN"/>
        </w:rPr>
        <w:t>[</w:t>
      </w:r>
      <w:r>
        <w:rPr>
          <w:bCs/>
          <w:lang w:eastAsia="zh-CN"/>
        </w:rPr>
        <w:t xml:space="preserve">RAN ITU-R Ad-Hoc, </w:t>
      </w:r>
      <w:r>
        <w:rPr>
          <w:rFonts w:hint="eastAsia"/>
          <w:bCs/>
          <w:lang w:eastAsia="zh-CN"/>
        </w:rPr>
        <w:t>RAN1</w:t>
      </w:r>
      <w:r>
        <w:rPr>
          <w:bCs/>
          <w:lang w:eastAsia="zh-CN"/>
        </w:rPr>
        <w:t>, RAN2, RAN4</w:t>
      </w:r>
      <w:r>
        <w:rPr>
          <w:rFonts w:hint="eastAsia"/>
          <w:bCs/>
          <w:lang w:eastAsia="zh-CN"/>
        </w:rPr>
        <w:t>]</w:t>
      </w:r>
    </w:p>
    <w:p w14:paraId="0869A8CB" w14:textId="77777777" w:rsidR="00EF613A" w:rsidRDefault="00EF613A">
      <w:pPr>
        <w:spacing w:after="0"/>
        <w:ind w:left="420"/>
        <w:rPr>
          <w:bCs/>
          <w:lang w:eastAsia="zh-CN"/>
        </w:rPr>
      </w:pPr>
    </w:p>
    <w:p w14:paraId="587D3BE7" w14:textId="77777777" w:rsidR="00EF613A" w:rsidRDefault="00C11C58">
      <w:pPr>
        <w:spacing w:after="0"/>
        <w:rPr>
          <w:bCs/>
          <w:lang w:eastAsia="zh-CN"/>
        </w:rPr>
      </w:pPr>
      <w:r>
        <w:rPr>
          <w:lang w:eastAsia="zh-CN"/>
        </w:rPr>
        <w:t>IoT NTN will at least target self-evaluation against bullets c) and e) technical requirements, and NR NTN will target self-evaluation against all technical requirements (in bullets b) to e)).</w:t>
      </w:r>
    </w:p>
    <w:p w14:paraId="576FE3AF" w14:textId="77777777" w:rsidR="00EF613A" w:rsidRDefault="00EF613A">
      <w:pPr>
        <w:spacing w:after="0"/>
        <w:rPr>
          <w:bCs/>
          <w:lang w:eastAsia="zh-CN"/>
        </w:rPr>
      </w:pPr>
    </w:p>
    <w:p w14:paraId="7A7E9773" w14:textId="77777777" w:rsidR="00EF613A" w:rsidRDefault="00C11C58">
      <w:pPr>
        <w:spacing w:afterLines="50" w:after="120"/>
        <w:rPr>
          <w:lang w:eastAsia="zh-CN"/>
        </w:rPr>
      </w:pPr>
      <w:r>
        <w:rPr>
          <w:rFonts w:hint="eastAsia"/>
          <w:bCs/>
          <w:lang w:eastAsia="zh-CN"/>
        </w:rPr>
        <w:t>This study shall</w:t>
      </w:r>
      <w:r>
        <w:rPr>
          <w:bCs/>
          <w:lang w:eastAsia="zh-CN"/>
        </w:rPr>
        <w:t xml:space="preserve"> start with </w:t>
      </w:r>
      <w:r>
        <w:rPr>
          <w:rFonts w:hint="eastAsia"/>
          <w:bCs/>
          <w:lang w:eastAsia="zh-CN"/>
        </w:rPr>
        <w:t>evaluat</w:t>
      </w:r>
      <w:r>
        <w:rPr>
          <w:bCs/>
          <w:lang w:eastAsia="zh-CN"/>
        </w:rPr>
        <w:t>ing</w:t>
      </w:r>
      <w:r>
        <w:rPr>
          <w:rFonts w:hint="eastAsia"/>
          <w:bCs/>
          <w:lang w:eastAsia="zh-CN"/>
        </w:rPr>
        <w:t xml:space="preserve"> features </w:t>
      </w:r>
      <w:r>
        <w:rPr>
          <w:bCs/>
          <w:lang w:eastAsia="zh-CN"/>
        </w:rPr>
        <w:t>that are supported by Rel-17 NTN (</w:t>
      </w:r>
      <w:r>
        <w:rPr>
          <w:lang w:val="en-US"/>
        </w:rPr>
        <w:t>NR NTN + IoT NTN)</w:t>
      </w:r>
      <w:r>
        <w:rPr>
          <w:bCs/>
          <w:lang w:eastAsia="zh-CN"/>
        </w:rPr>
        <w:t xml:space="preserve">, as relevant </w:t>
      </w:r>
      <w:r>
        <w:rPr>
          <w:rFonts w:hint="eastAsia"/>
          <w:bCs/>
          <w:lang w:eastAsia="zh-CN"/>
        </w:rPr>
        <w:t>for the above aspects</w:t>
      </w:r>
      <w:r>
        <w:rPr>
          <w:rFonts w:hint="eastAsia"/>
          <w:lang w:eastAsia="zh-CN"/>
        </w:rPr>
        <w:t>.</w:t>
      </w:r>
      <w:r>
        <w:rPr>
          <w:lang w:eastAsia="zh-CN"/>
        </w:rPr>
        <w:t xml:space="preserve"> </w:t>
      </w:r>
    </w:p>
    <w:p w14:paraId="6584FFAD" w14:textId="77777777" w:rsidR="00EF613A" w:rsidRDefault="00EF613A">
      <w:pPr>
        <w:ind w:left="1988" w:hanging="1988"/>
        <w:jc w:val="both"/>
      </w:pPr>
    </w:p>
    <w:p w14:paraId="3A517514" w14:textId="77777777" w:rsidR="00EF613A" w:rsidRDefault="00C11C58">
      <w:pPr>
        <w:ind w:left="1988" w:hanging="1988"/>
        <w:jc w:val="both"/>
      </w:pPr>
      <w:r>
        <w:t>This contribution will serve as a basis for discussion regarding evaluation assumptions for IMT-2020 submission.</w:t>
      </w:r>
    </w:p>
    <w:p w14:paraId="620542F3" w14:textId="77777777" w:rsidR="00EF613A" w:rsidRDefault="00C11C58">
      <w:pPr>
        <w:pStyle w:val="1"/>
        <w:numPr>
          <w:ilvl w:val="0"/>
          <w:numId w:val="4"/>
        </w:numPr>
        <w:tabs>
          <w:tab w:val="left" w:pos="720"/>
        </w:tabs>
        <w:ind w:left="720" w:hanging="720"/>
        <w:jc w:val="both"/>
      </w:pPr>
      <w:r>
        <w:t>General considerations and parameters</w:t>
      </w:r>
    </w:p>
    <w:p w14:paraId="7EE65770" w14:textId="77777777" w:rsidR="00EF613A" w:rsidRDefault="00C11C58">
      <w:r>
        <w:t>Several companies provided views on the different characteristics for evaluation, and which of the characteristics need evaluation assumptions. In the following table we summarize the set of characteristics and which ones need defined assumptions. Note that some characteristics (e.g. #3 or #6) are derived from other characteristics, and therefore don’t need a separate set of evaluation assumptions:</w:t>
      </w:r>
    </w:p>
    <w:p w14:paraId="65B56ADB" w14:textId="77777777" w:rsidR="00EF613A" w:rsidRDefault="00C11C58">
      <w:pPr>
        <w:rPr>
          <w:b/>
          <w:bCs/>
        </w:rPr>
      </w:pPr>
      <w:r>
        <w:rPr>
          <w:b/>
          <w:bCs/>
          <w:u w:val="single"/>
        </w:rPr>
        <w:t>Proposal 2.1:</w:t>
      </w:r>
      <w:r>
        <w:rPr>
          <w:b/>
          <w:bCs/>
        </w:rPr>
        <w:t xml:space="preserve"> The following table is the starting point for defining evaluation assumptions:</w:t>
      </w:r>
    </w:p>
    <w:tbl>
      <w:tblPr>
        <w:tblStyle w:val="TableGrid1"/>
        <w:tblW w:w="0" w:type="auto"/>
        <w:tblLook w:val="04A0" w:firstRow="1" w:lastRow="0" w:firstColumn="1" w:lastColumn="0" w:noHBand="0" w:noVBand="1"/>
      </w:tblPr>
      <w:tblGrid>
        <w:gridCol w:w="1141"/>
        <w:gridCol w:w="3417"/>
        <w:gridCol w:w="2217"/>
        <w:gridCol w:w="1941"/>
        <w:gridCol w:w="2037"/>
        <w:gridCol w:w="1834"/>
      </w:tblGrid>
      <w:tr w:rsidR="00EF613A" w14:paraId="73983BB1" w14:textId="77777777">
        <w:trPr>
          <w:trHeight w:val="283"/>
          <w:tblHeader/>
        </w:trPr>
        <w:tc>
          <w:tcPr>
            <w:tcW w:w="805" w:type="dxa"/>
            <w:tcBorders>
              <w:top w:val="single" w:sz="4" w:space="0" w:color="auto"/>
              <w:left w:val="single" w:sz="4" w:space="0" w:color="auto"/>
              <w:bottom w:val="single" w:sz="4" w:space="0" w:color="auto"/>
              <w:right w:val="single" w:sz="4" w:space="0" w:color="auto"/>
            </w:tcBorders>
          </w:tcPr>
          <w:p w14:paraId="7BD14778" w14:textId="77777777" w:rsidR="00EF613A" w:rsidRDefault="00C11C5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Reference number</w:t>
            </w:r>
          </w:p>
        </w:tc>
        <w:tc>
          <w:tcPr>
            <w:tcW w:w="3417" w:type="dxa"/>
            <w:tcBorders>
              <w:top w:val="single" w:sz="4" w:space="0" w:color="auto"/>
              <w:left w:val="single" w:sz="4" w:space="0" w:color="auto"/>
              <w:bottom w:val="single" w:sz="4" w:space="0" w:color="auto"/>
              <w:right w:val="single" w:sz="4" w:space="0" w:color="auto"/>
            </w:tcBorders>
            <w:vAlign w:val="center"/>
          </w:tcPr>
          <w:p w14:paraId="26AFC6B9" w14:textId="77777777" w:rsidR="00EF613A" w:rsidRDefault="00C11C5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Characteristic for evaluation</w:t>
            </w:r>
          </w:p>
        </w:tc>
        <w:tc>
          <w:tcPr>
            <w:tcW w:w="2217" w:type="dxa"/>
            <w:tcBorders>
              <w:top w:val="single" w:sz="4" w:space="0" w:color="auto"/>
              <w:left w:val="single" w:sz="4" w:space="0" w:color="auto"/>
              <w:bottom w:val="single" w:sz="4" w:space="0" w:color="auto"/>
              <w:right w:val="single" w:sz="4" w:space="0" w:color="auto"/>
            </w:tcBorders>
            <w:vAlign w:val="center"/>
          </w:tcPr>
          <w:p w14:paraId="40677210" w14:textId="77777777" w:rsidR="00EF613A" w:rsidRDefault="00C11C5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High-level assessment method</w:t>
            </w:r>
          </w:p>
        </w:tc>
        <w:tc>
          <w:tcPr>
            <w:tcW w:w="1941" w:type="dxa"/>
            <w:tcBorders>
              <w:top w:val="single" w:sz="4" w:space="0" w:color="auto"/>
              <w:left w:val="single" w:sz="4" w:space="0" w:color="auto"/>
              <w:bottom w:val="single" w:sz="4" w:space="0" w:color="auto"/>
              <w:right w:val="single" w:sz="4" w:space="0" w:color="auto"/>
            </w:tcBorders>
            <w:vAlign w:val="center"/>
          </w:tcPr>
          <w:p w14:paraId="5B8F94E5" w14:textId="77777777" w:rsidR="00EF613A" w:rsidRDefault="00C11C5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Requirement description in ITU-R M.2514</w:t>
            </w:r>
          </w:p>
        </w:tc>
        <w:tc>
          <w:tcPr>
            <w:tcW w:w="2037" w:type="dxa"/>
            <w:tcBorders>
              <w:top w:val="single" w:sz="4" w:space="0" w:color="auto"/>
              <w:left w:val="single" w:sz="4" w:space="0" w:color="auto"/>
              <w:bottom w:val="single" w:sz="4" w:space="0" w:color="auto"/>
              <w:right w:val="single" w:sz="4" w:space="0" w:color="auto"/>
            </w:tcBorders>
          </w:tcPr>
          <w:p w14:paraId="2E50012A" w14:textId="77777777" w:rsidR="00EF613A" w:rsidRDefault="00C11C5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Usage Scenario</w:t>
            </w:r>
          </w:p>
        </w:tc>
        <w:tc>
          <w:tcPr>
            <w:tcW w:w="1834" w:type="dxa"/>
            <w:tcBorders>
              <w:top w:val="single" w:sz="4" w:space="0" w:color="auto"/>
              <w:left w:val="single" w:sz="4" w:space="0" w:color="auto"/>
              <w:bottom w:val="single" w:sz="4" w:space="0" w:color="auto"/>
              <w:right w:val="single" w:sz="4" w:space="0" w:color="auto"/>
            </w:tcBorders>
          </w:tcPr>
          <w:p w14:paraId="4E497848" w14:textId="77777777" w:rsidR="00EF613A" w:rsidRDefault="00C11C5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Needed assumptions</w:t>
            </w:r>
          </w:p>
        </w:tc>
      </w:tr>
      <w:tr w:rsidR="00EF613A" w14:paraId="496F98E1"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236F7D4"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#1</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1CE43AE"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Peak data rate</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1071E82"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xml:space="preserve">Analytical </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92A5930"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7.2.1</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8AC6FDD"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A4C3A91"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 (modulation, #layers, etc)</w:t>
            </w:r>
          </w:p>
        </w:tc>
      </w:tr>
      <w:tr w:rsidR="00EF613A" w14:paraId="5D56A23A"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948BF29"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#2</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6DA766A"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Peak spectral efficiency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5FD9747"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Analytical</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CA13F4F"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7.2.2</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1067C3D"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0D8EF06"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 (modulation, #layers, etc)</w:t>
            </w:r>
          </w:p>
        </w:tc>
      </w:tr>
      <w:tr w:rsidR="00EF613A" w14:paraId="0E56E736"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5F9A7E3C"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#3</w:t>
            </w:r>
          </w:p>
        </w:tc>
        <w:tc>
          <w:tcPr>
            <w:tcW w:w="3417" w:type="dxa"/>
            <w:tcBorders>
              <w:top w:val="single" w:sz="4" w:space="0" w:color="auto"/>
              <w:left w:val="single" w:sz="4" w:space="0" w:color="auto"/>
              <w:bottom w:val="single" w:sz="4" w:space="0" w:color="auto"/>
              <w:right w:val="single" w:sz="4" w:space="0" w:color="auto"/>
            </w:tcBorders>
            <w:vAlign w:val="center"/>
          </w:tcPr>
          <w:p w14:paraId="44E9A49B"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User experienced data rate</w:t>
            </w:r>
          </w:p>
        </w:tc>
        <w:tc>
          <w:tcPr>
            <w:tcW w:w="2217" w:type="dxa"/>
            <w:tcBorders>
              <w:top w:val="single" w:sz="4" w:space="0" w:color="auto"/>
              <w:left w:val="single" w:sz="4" w:space="0" w:color="auto"/>
              <w:bottom w:val="single" w:sz="4" w:space="0" w:color="auto"/>
              <w:right w:val="single" w:sz="4" w:space="0" w:color="auto"/>
            </w:tcBorders>
            <w:vAlign w:val="center"/>
          </w:tcPr>
          <w:p w14:paraId="525C9BDC"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Simulation and Analytical</w:t>
            </w:r>
          </w:p>
        </w:tc>
        <w:tc>
          <w:tcPr>
            <w:tcW w:w="1941" w:type="dxa"/>
            <w:tcBorders>
              <w:top w:val="single" w:sz="4" w:space="0" w:color="auto"/>
              <w:left w:val="single" w:sz="4" w:space="0" w:color="auto"/>
              <w:bottom w:val="single" w:sz="4" w:space="0" w:color="auto"/>
              <w:right w:val="single" w:sz="4" w:space="0" w:color="auto"/>
            </w:tcBorders>
            <w:vAlign w:val="center"/>
          </w:tcPr>
          <w:p w14:paraId="45D420B0"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7.2.3</w:t>
            </w:r>
          </w:p>
        </w:tc>
        <w:tc>
          <w:tcPr>
            <w:tcW w:w="2037" w:type="dxa"/>
            <w:tcBorders>
              <w:top w:val="single" w:sz="4" w:space="0" w:color="auto"/>
              <w:left w:val="single" w:sz="4" w:space="0" w:color="auto"/>
              <w:bottom w:val="single" w:sz="4" w:space="0" w:color="auto"/>
              <w:right w:val="single" w:sz="4" w:space="0" w:color="auto"/>
            </w:tcBorders>
          </w:tcPr>
          <w:p w14:paraId="75F6CAA3"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17C8D317"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Derived from #4</w:t>
            </w:r>
          </w:p>
        </w:tc>
      </w:tr>
      <w:tr w:rsidR="00EF613A" w14:paraId="0D527AD0"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6F0AB87"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lastRenderedPageBreak/>
              <w:t>#4</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9F13AA0"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5</w:t>
            </w:r>
            <w:r>
              <w:rPr>
                <w:rFonts w:ascii="Calibri" w:eastAsia="SimSun" w:hAnsi="Calibri"/>
                <w:b/>
                <w:bCs/>
                <w:sz w:val="22"/>
                <w:vertAlign w:val="superscript"/>
                <w:lang w:eastAsia="ko-KR"/>
              </w:rPr>
              <w:t>th</w:t>
            </w:r>
            <w:r>
              <w:rPr>
                <w:rFonts w:ascii="Calibri" w:eastAsia="SimSun" w:hAnsi="Calibri"/>
                <w:b/>
                <w:bCs/>
                <w:sz w:val="22"/>
                <w:lang w:eastAsia="ko-KR"/>
              </w:rPr>
              <w:t xml:space="preserve"> percentile spectral efficiency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662EB22"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BE35D7A"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7.2.4</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C860144"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BEB4F69"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EF613A" w14:paraId="2BEE1FF1"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03E4738"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#5</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03EF806"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Average spectral efficiency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ABDDF5C"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12EBCD1"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7.2.5</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90E6316"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7FC0F92"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EF613A" w14:paraId="64BEBC2A"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694C3A76"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#6</w:t>
            </w:r>
          </w:p>
        </w:tc>
        <w:tc>
          <w:tcPr>
            <w:tcW w:w="3417" w:type="dxa"/>
            <w:tcBorders>
              <w:top w:val="single" w:sz="4" w:space="0" w:color="auto"/>
              <w:left w:val="single" w:sz="4" w:space="0" w:color="auto"/>
              <w:bottom w:val="single" w:sz="4" w:space="0" w:color="auto"/>
              <w:right w:val="single" w:sz="4" w:space="0" w:color="auto"/>
            </w:tcBorders>
            <w:vAlign w:val="center"/>
          </w:tcPr>
          <w:p w14:paraId="2C6BBFDF"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Area traffic capacity</w:t>
            </w:r>
          </w:p>
        </w:tc>
        <w:tc>
          <w:tcPr>
            <w:tcW w:w="2217" w:type="dxa"/>
            <w:tcBorders>
              <w:top w:val="single" w:sz="4" w:space="0" w:color="auto"/>
              <w:left w:val="single" w:sz="4" w:space="0" w:color="auto"/>
              <w:bottom w:val="single" w:sz="4" w:space="0" w:color="auto"/>
              <w:right w:val="single" w:sz="4" w:space="0" w:color="auto"/>
            </w:tcBorders>
            <w:vAlign w:val="center"/>
          </w:tcPr>
          <w:p w14:paraId="3CACA348"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Simulation and Analytical</w:t>
            </w:r>
          </w:p>
        </w:tc>
        <w:tc>
          <w:tcPr>
            <w:tcW w:w="1941" w:type="dxa"/>
            <w:tcBorders>
              <w:top w:val="single" w:sz="4" w:space="0" w:color="auto"/>
              <w:left w:val="single" w:sz="4" w:space="0" w:color="auto"/>
              <w:bottom w:val="single" w:sz="4" w:space="0" w:color="auto"/>
              <w:right w:val="single" w:sz="4" w:space="0" w:color="auto"/>
            </w:tcBorders>
            <w:vAlign w:val="center"/>
          </w:tcPr>
          <w:p w14:paraId="4600CFC2"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7.2.6</w:t>
            </w:r>
          </w:p>
        </w:tc>
        <w:tc>
          <w:tcPr>
            <w:tcW w:w="2037" w:type="dxa"/>
            <w:tcBorders>
              <w:top w:val="single" w:sz="4" w:space="0" w:color="auto"/>
              <w:left w:val="single" w:sz="4" w:space="0" w:color="auto"/>
              <w:bottom w:val="single" w:sz="4" w:space="0" w:color="auto"/>
              <w:right w:val="single" w:sz="4" w:space="0" w:color="auto"/>
            </w:tcBorders>
          </w:tcPr>
          <w:p w14:paraId="282F0DB6"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302DB67E"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Derived from #5 (May need discussion on how to compute the area)</w:t>
            </w:r>
          </w:p>
        </w:tc>
      </w:tr>
      <w:tr w:rsidR="00EF613A" w14:paraId="3E7B53B5"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04458089"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#7</w:t>
            </w:r>
          </w:p>
        </w:tc>
        <w:tc>
          <w:tcPr>
            <w:tcW w:w="3417" w:type="dxa"/>
            <w:tcBorders>
              <w:top w:val="single" w:sz="4" w:space="0" w:color="auto"/>
              <w:left w:val="single" w:sz="4" w:space="0" w:color="auto"/>
              <w:bottom w:val="single" w:sz="4" w:space="0" w:color="auto"/>
              <w:right w:val="single" w:sz="4" w:space="0" w:color="auto"/>
            </w:tcBorders>
            <w:vAlign w:val="center"/>
          </w:tcPr>
          <w:p w14:paraId="7960C31C"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User plane latency</w:t>
            </w:r>
          </w:p>
        </w:tc>
        <w:tc>
          <w:tcPr>
            <w:tcW w:w="2217" w:type="dxa"/>
            <w:tcBorders>
              <w:top w:val="single" w:sz="4" w:space="0" w:color="auto"/>
              <w:left w:val="single" w:sz="4" w:space="0" w:color="auto"/>
              <w:bottom w:val="single" w:sz="4" w:space="0" w:color="auto"/>
              <w:right w:val="single" w:sz="4" w:space="0" w:color="auto"/>
            </w:tcBorders>
            <w:vAlign w:val="center"/>
          </w:tcPr>
          <w:p w14:paraId="102A03FC"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Analytical and Inspection</w:t>
            </w:r>
          </w:p>
        </w:tc>
        <w:tc>
          <w:tcPr>
            <w:tcW w:w="1941" w:type="dxa"/>
            <w:tcBorders>
              <w:top w:val="single" w:sz="4" w:space="0" w:color="auto"/>
              <w:left w:val="single" w:sz="4" w:space="0" w:color="auto"/>
              <w:bottom w:val="single" w:sz="4" w:space="0" w:color="auto"/>
              <w:right w:val="single" w:sz="4" w:space="0" w:color="auto"/>
            </w:tcBorders>
            <w:vAlign w:val="center"/>
          </w:tcPr>
          <w:p w14:paraId="36E782EF"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7.2.7.1</w:t>
            </w:r>
          </w:p>
        </w:tc>
        <w:tc>
          <w:tcPr>
            <w:tcW w:w="2037" w:type="dxa"/>
            <w:tcBorders>
              <w:top w:val="single" w:sz="4" w:space="0" w:color="auto"/>
              <w:left w:val="single" w:sz="4" w:space="0" w:color="auto"/>
              <w:bottom w:val="single" w:sz="4" w:space="0" w:color="auto"/>
              <w:right w:val="single" w:sz="4" w:space="0" w:color="auto"/>
            </w:tcBorders>
          </w:tcPr>
          <w:p w14:paraId="6A96E0FD"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394245C4"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No</w:t>
            </w:r>
          </w:p>
        </w:tc>
      </w:tr>
      <w:tr w:rsidR="00EF613A" w14:paraId="24991898"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1C4728FD"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#8</w:t>
            </w:r>
          </w:p>
        </w:tc>
        <w:tc>
          <w:tcPr>
            <w:tcW w:w="3417" w:type="dxa"/>
            <w:tcBorders>
              <w:top w:val="single" w:sz="4" w:space="0" w:color="auto"/>
              <w:left w:val="single" w:sz="4" w:space="0" w:color="auto"/>
              <w:bottom w:val="single" w:sz="4" w:space="0" w:color="auto"/>
              <w:right w:val="single" w:sz="4" w:space="0" w:color="auto"/>
            </w:tcBorders>
            <w:vAlign w:val="center"/>
          </w:tcPr>
          <w:p w14:paraId="70FC2A67"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Control plane latency</w:t>
            </w:r>
          </w:p>
        </w:tc>
        <w:tc>
          <w:tcPr>
            <w:tcW w:w="2217" w:type="dxa"/>
            <w:tcBorders>
              <w:top w:val="single" w:sz="4" w:space="0" w:color="auto"/>
              <w:left w:val="single" w:sz="4" w:space="0" w:color="auto"/>
              <w:bottom w:val="single" w:sz="4" w:space="0" w:color="auto"/>
              <w:right w:val="single" w:sz="4" w:space="0" w:color="auto"/>
            </w:tcBorders>
            <w:vAlign w:val="center"/>
          </w:tcPr>
          <w:p w14:paraId="14F3AFFA"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Analytical and Inspection</w:t>
            </w:r>
          </w:p>
        </w:tc>
        <w:tc>
          <w:tcPr>
            <w:tcW w:w="1941" w:type="dxa"/>
            <w:tcBorders>
              <w:top w:val="single" w:sz="4" w:space="0" w:color="auto"/>
              <w:left w:val="single" w:sz="4" w:space="0" w:color="auto"/>
              <w:bottom w:val="single" w:sz="4" w:space="0" w:color="auto"/>
              <w:right w:val="single" w:sz="4" w:space="0" w:color="auto"/>
            </w:tcBorders>
            <w:vAlign w:val="center"/>
          </w:tcPr>
          <w:p w14:paraId="63B2B55A"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7.2.7.2</w:t>
            </w:r>
          </w:p>
        </w:tc>
        <w:tc>
          <w:tcPr>
            <w:tcW w:w="2037" w:type="dxa"/>
            <w:tcBorders>
              <w:top w:val="single" w:sz="4" w:space="0" w:color="auto"/>
              <w:left w:val="single" w:sz="4" w:space="0" w:color="auto"/>
              <w:bottom w:val="single" w:sz="4" w:space="0" w:color="auto"/>
              <w:right w:val="single" w:sz="4" w:space="0" w:color="auto"/>
            </w:tcBorders>
          </w:tcPr>
          <w:p w14:paraId="59E42BFD"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21787123"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No</w:t>
            </w:r>
          </w:p>
        </w:tc>
      </w:tr>
      <w:tr w:rsidR="00EF613A" w14:paraId="6882183A"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05140A2"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#9</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8295047"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Connection density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3F9B44C"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D868ECA"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7.2.8</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E20CAA6"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mMTC-s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B0B3878"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EF613A" w14:paraId="1CCEFF47"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61E85198"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#10</w:t>
            </w:r>
          </w:p>
        </w:tc>
        <w:tc>
          <w:tcPr>
            <w:tcW w:w="3417" w:type="dxa"/>
            <w:tcBorders>
              <w:top w:val="single" w:sz="4" w:space="0" w:color="auto"/>
              <w:left w:val="single" w:sz="4" w:space="0" w:color="auto"/>
              <w:bottom w:val="single" w:sz="4" w:space="0" w:color="auto"/>
              <w:right w:val="single" w:sz="4" w:space="0" w:color="auto"/>
            </w:tcBorders>
            <w:vAlign w:val="center"/>
          </w:tcPr>
          <w:p w14:paraId="288F1CF8"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Energy efficiency</w:t>
            </w:r>
          </w:p>
        </w:tc>
        <w:tc>
          <w:tcPr>
            <w:tcW w:w="2217" w:type="dxa"/>
            <w:tcBorders>
              <w:top w:val="single" w:sz="4" w:space="0" w:color="auto"/>
              <w:left w:val="single" w:sz="4" w:space="0" w:color="auto"/>
              <w:bottom w:val="single" w:sz="4" w:space="0" w:color="auto"/>
              <w:right w:val="single" w:sz="4" w:space="0" w:color="auto"/>
            </w:tcBorders>
            <w:vAlign w:val="center"/>
          </w:tcPr>
          <w:p w14:paraId="15572D63"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Inspection</w:t>
            </w:r>
          </w:p>
        </w:tc>
        <w:tc>
          <w:tcPr>
            <w:tcW w:w="1941" w:type="dxa"/>
            <w:tcBorders>
              <w:top w:val="single" w:sz="4" w:space="0" w:color="auto"/>
              <w:left w:val="single" w:sz="4" w:space="0" w:color="auto"/>
              <w:bottom w:val="single" w:sz="4" w:space="0" w:color="auto"/>
              <w:right w:val="single" w:sz="4" w:space="0" w:color="auto"/>
            </w:tcBorders>
            <w:vAlign w:val="center"/>
          </w:tcPr>
          <w:p w14:paraId="4C74F9E5"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7.2.9</w:t>
            </w:r>
          </w:p>
        </w:tc>
        <w:tc>
          <w:tcPr>
            <w:tcW w:w="2037" w:type="dxa"/>
            <w:tcBorders>
              <w:top w:val="single" w:sz="4" w:space="0" w:color="auto"/>
              <w:left w:val="single" w:sz="4" w:space="0" w:color="auto"/>
              <w:bottom w:val="single" w:sz="4" w:space="0" w:color="auto"/>
              <w:right w:val="single" w:sz="4" w:space="0" w:color="auto"/>
            </w:tcBorders>
          </w:tcPr>
          <w:p w14:paraId="3EA3923E"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242E3C60"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No</w:t>
            </w:r>
          </w:p>
        </w:tc>
      </w:tr>
      <w:tr w:rsidR="00EF613A" w14:paraId="5365411B"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C23F672"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#11</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AB26156"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Reliability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84CE5A0"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9120C9B"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7.2.10</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47A7C36"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HRC-s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9FBFEA7"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EF613A" w14:paraId="15466ED2"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E7F8D23"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#12</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E5659DF"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Mobility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1C2980D"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15014F8"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7.2.11</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8415DA9"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EB307FD"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EF613A" w14:paraId="6936FE3F"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4A163612"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#13</w:t>
            </w:r>
          </w:p>
        </w:tc>
        <w:tc>
          <w:tcPr>
            <w:tcW w:w="3417" w:type="dxa"/>
            <w:tcBorders>
              <w:top w:val="single" w:sz="4" w:space="0" w:color="auto"/>
              <w:left w:val="single" w:sz="4" w:space="0" w:color="auto"/>
              <w:bottom w:val="single" w:sz="4" w:space="0" w:color="auto"/>
              <w:right w:val="single" w:sz="4" w:space="0" w:color="auto"/>
            </w:tcBorders>
            <w:vAlign w:val="center"/>
          </w:tcPr>
          <w:p w14:paraId="51252AD4"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Mobility interruption time</w:t>
            </w:r>
          </w:p>
        </w:tc>
        <w:tc>
          <w:tcPr>
            <w:tcW w:w="2217" w:type="dxa"/>
            <w:tcBorders>
              <w:top w:val="single" w:sz="4" w:space="0" w:color="auto"/>
              <w:left w:val="single" w:sz="4" w:space="0" w:color="auto"/>
              <w:bottom w:val="single" w:sz="4" w:space="0" w:color="auto"/>
              <w:right w:val="single" w:sz="4" w:space="0" w:color="auto"/>
            </w:tcBorders>
            <w:vAlign w:val="center"/>
          </w:tcPr>
          <w:p w14:paraId="19E8DC23"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Analytical</w:t>
            </w:r>
          </w:p>
        </w:tc>
        <w:tc>
          <w:tcPr>
            <w:tcW w:w="1941" w:type="dxa"/>
            <w:tcBorders>
              <w:top w:val="single" w:sz="4" w:space="0" w:color="auto"/>
              <w:left w:val="single" w:sz="4" w:space="0" w:color="auto"/>
              <w:bottom w:val="single" w:sz="4" w:space="0" w:color="auto"/>
              <w:right w:val="single" w:sz="4" w:space="0" w:color="auto"/>
            </w:tcBorders>
            <w:vAlign w:val="center"/>
          </w:tcPr>
          <w:p w14:paraId="1551EB62"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7.2.12</w:t>
            </w:r>
          </w:p>
        </w:tc>
        <w:tc>
          <w:tcPr>
            <w:tcW w:w="2037" w:type="dxa"/>
            <w:tcBorders>
              <w:top w:val="single" w:sz="4" w:space="0" w:color="auto"/>
              <w:left w:val="single" w:sz="4" w:space="0" w:color="auto"/>
              <w:bottom w:val="single" w:sz="4" w:space="0" w:color="auto"/>
              <w:right w:val="single" w:sz="4" w:space="0" w:color="auto"/>
            </w:tcBorders>
          </w:tcPr>
          <w:p w14:paraId="02BFB8B7"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101DFB1B"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No</w:t>
            </w:r>
          </w:p>
        </w:tc>
      </w:tr>
      <w:tr w:rsidR="00EF613A" w14:paraId="5C54B801"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7DC493A5"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#14</w:t>
            </w:r>
          </w:p>
        </w:tc>
        <w:tc>
          <w:tcPr>
            <w:tcW w:w="3417" w:type="dxa"/>
            <w:tcBorders>
              <w:top w:val="single" w:sz="4" w:space="0" w:color="auto"/>
              <w:left w:val="single" w:sz="4" w:space="0" w:color="auto"/>
              <w:bottom w:val="single" w:sz="4" w:space="0" w:color="auto"/>
              <w:right w:val="single" w:sz="4" w:space="0" w:color="auto"/>
            </w:tcBorders>
            <w:vAlign w:val="center"/>
          </w:tcPr>
          <w:p w14:paraId="79611C32"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Bandwidth</w:t>
            </w:r>
          </w:p>
        </w:tc>
        <w:tc>
          <w:tcPr>
            <w:tcW w:w="2217" w:type="dxa"/>
            <w:tcBorders>
              <w:top w:val="single" w:sz="4" w:space="0" w:color="auto"/>
              <w:left w:val="single" w:sz="4" w:space="0" w:color="auto"/>
              <w:bottom w:val="single" w:sz="4" w:space="0" w:color="auto"/>
              <w:right w:val="single" w:sz="4" w:space="0" w:color="auto"/>
            </w:tcBorders>
            <w:vAlign w:val="center"/>
          </w:tcPr>
          <w:p w14:paraId="1D83A2BA"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Inspection</w:t>
            </w:r>
          </w:p>
        </w:tc>
        <w:tc>
          <w:tcPr>
            <w:tcW w:w="1941" w:type="dxa"/>
            <w:tcBorders>
              <w:top w:val="single" w:sz="4" w:space="0" w:color="auto"/>
              <w:left w:val="single" w:sz="4" w:space="0" w:color="auto"/>
              <w:bottom w:val="single" w:sz="4" w:space="0" w:color="auto"/>
              <w:right w:val="single" w:sz="4" w:space="0" w:color="auto"/>
            </w:tcBorders>
            <w:vAlign w:val="center"/>
          </w:tcPr>
          <w:p w14:paraId="5E067716"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7.2.13</w:t>
            </w:r>
          </w:p>
        </w:tc>
        <w:tc>
          <w:tcPr>
            <w:tcW w:w="2037" w:type="dxa"/>
            <w:tcBorders>
              <w:top w:val="single" w:sz="4" w:space="0" w:color="auto"/>
              <w:left w:val="single" w:sz="4" w:space="0" w:color="auto"/>
              <w:bottom w:val="single" w:sz="4" w:space="0" w:color="auto"/>
              <w:right w:val="single" w:sz="4" w:space="0" w:color="auto"/>
            </w:tcBorders>
          </w:tcPr>
          <w:p w14:paraId="391365B4"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N/A</w:t>
            </w:r>
          </w:p>
        </w:tc>
        <w:tc>
          <w:tcPr>
            <w:tcW w:w="1834" w:type="dxa"/>
            <w:tcBorders>
              <w:top w:val="single" w:sz="4" w:space="0" w:color="auto"/>
              <w:left w:val="single" w:sz="4" w:space="0" w:color="auto"/>
              <w:bottom w:val="single" w:sz="4" w:space="0" w:color="auto"/>
              <w:right w:val="single" w:sz="4" w:space="0" w:color="auto"/>
            </w:tcBorders>
          </w:tcPr>
          <w:p w14:paraId="383174A5"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No</w:t>
            </w:r>
          </w:p>
        </w:tc>
      </w:tr>
    </w:tbl>
    <w:p w14:paraId="3923E4F1" w14:textId="77777777" w:rsidR="00EF613A" w:rsidRDefault="00EF613A">
      <w:pPr>
        <w:ind w:left="1988" w:hanging="1988"/>
        <w:jc w:val="both"/>
        <w:rPr>
          <w:rFonts w:ascii="Arial" w:hAnsi="Arial"/>
          <w:sz w:val="24"/>
        </w:rPr>
      </w:pPr>
    </w:p>
    <w:p w14:paraId="3112BE94" w14:textId="77777777" w:rsidR="00EF613A" w:rsidRDefault="00C11C58">
      <w:pPr>
        <w:ind w:left="1988" w:hanging="1988"/>
        <w:jc w:val="both"/>
      </w:pPr>
      <w:r>
        <w:t>Regarding general scenarios (orbit / frequency / types of receiver), the following points summarize the input from companies:</w:t>
      </w:r>
    </w:p>
    <w:p w14:paraId="3726031E" w14:textId="77777777" w:rsidR="00EF613A" w:rsidRDefault="00C11C58">
      <w:pPr>
        <w:pStyle w:val="af4"/>
        <w:numPr>
          <w:ilvl w:val="0"/>
          <w:numId w:val="6"/>
        </w:numPr>
        <w:jc w:val="both"/>
        <w:rPr>
          <w:rFonts w:eastAsia="Times New Roman"/>
        </w:rPr>
      </w:pPr>
      <w:r>
        <w:rPr>
          <w:rFonts w:eastAsia="Times New Roman"/>
        </w:rPr>
        <w:t>Focus on transparent payload only without ISL as baseline (HW, NK)</w:t>
      </w:r>
    </w:p>
    <w:p w14:paraId="48525716" w14:textId="77777777" w:rsidR="00EF613A" w:rsidRDefault="00C11C58">
      <w:pPr>
        <w:pStyle w:val="af4"/>
        <w:numPr>
          <w:ilvl w:val="0"/>
          <w:numId w:val="6"/>
        </w:numPr>
        <w:jc w:val="both"/>
        <w:rPr>
          <w:rFonts w:eastAsia="Times New Roman"/>
        </w:rPr>
      </w:pPr>
      <w:r>
        <w:rPr>
          <w:rFonts w:eastAsia="Times New Roman"/>
        </w:rPr>
        <w:t xml:space="preserve">Focus on S-band LEO-600 (Pana, QC, Th, MTK) </w:t>
      </w:r>
    </w:p>
    <w:p w14:paraId="19E3C1E2" w14:textId="77777777" w:rsidR="00EF613A" w:rsidRDefault="00C11C58">
      <w:pPr>
        <w:pStyle w:val="af4"/>
        <w:numPr>
          <w:ilvl w:val="0"/>
          <w:numId w:val="6"/>
        </w:numPr>
        <w:jc w:val="both"/>
        <w:rPr>
          <w:rFonts w:eastAsia="Times New Roman"/>
        </w:rPr>
      </w:pPr>
      <w:r>
        <w:rPr>
          <w:rFonts w:eastAsia="Times New Roman"/>
        </w:rPr>
        <w:t>S-band, LEO-600 &amp; GEO (ZTE)</w:t>
      </w:r>
    </w:p>
    <w:p w14:paraId="5191BB3D" w14:textId="77777777" w:rsidR="00EF613A" w:rsidRDefault="00C11C58">
      <w:pPr>
        <w:pStyle w:val="af4"/>
        <w:numPr>
          <w:ilvl w:val="0"/>
          <w:numId w:val="6"/>
        </w:numPr>
        <w:jc w:val="both"/>
        <w:rPr>
          <w:rFonts w:eastAsia="Times New Roman"/>
        </w:rPr>
      </w:pPr>
      <w:r>
        <w:rPr>
          <w:rFonts w:eastAsia="Times New Roman"/>
        </w:rPr>
        <w:t>For peak data rate, evaluate VSAT + Ka band (ZTE)</w:t>
      </w:r>
    </w:p>
    <w:p w14:paraId="5EC8FF94" w14:textId="77777777" w:rsidR="00EF613A" w:rsidRDefault="00C11C58">
      <w:pPr>
        <w:pStyle w:val="af4"/>
        <w:numPr>
          <w:ilvl w:val="0"/>
          <w:numId w:val="6"/>
        </w:numPr>
        <w:jc w:val="both"/>
        <w:rPr>
          <w:rFonts w:eastAsia="Times New Roman"/>
        </w:rPr>
      </w:pPr>
      <w:r>
        <w:rPr>
          <w:rFonts w:eastAsia="Times New Roman"/>
        </w:rPr>
        <w:t>Include Ka band and S band, GEO and LEO (CATT, CAICT)</w:t>
      </w:r>
    </w:p>
    <w:p w14:paraId="6001CA99" w14:textId="77777777" w:rsidR="00EF613A" w:rsidRDefault="00C11C58">
      <w:pPr>
        <w:pStyle w:val="af4"/>
        <w:numPr>
          <w:ilvl w:val="0"/>
          <w:numId w:val="6"/>
        </w:numPr>
        <w:jc w:val="both"/>
        <w:rPr>
          <w:rFonts w:eastAsia="Times New Roman"/>
          <w:lang w:val="es-ES"/>
        </w:rPr>
      </w:pPr>
      <w:r>
        <w:rPr>
          <w:rFonts w:eastAsia="Times New Roman"/>
          <w:lang w:val="es-ES"/>
        </w:rPr>
        <w:t>Handheld terminal (NK, ZTE, Pana, QC)</w:t>
      </w:r>
    </w:p>
    <w:p w14:paraId="3FC636C2" w14:textId="77777777" w:rsidR="00EF613A" w:rsidRDefault="00C11C58">
      <w:pPr>
        <w:pStyle w:val="af4"/>
        <w:numPr>
          <w:ilvl w:val="0"/>
          <w:numId w:val="6"/>
        </w:numPr>
        <w:jc w:val="both"/>
        <w:rPr>
          <w:rFonts w:eastAsia="Times New Roman"/>
        </w:rPr>
      </w:pPr>
      <w:r>
        <w:rPr>
          <w:rFonts w:eastAsia="Times New Roman"/>
        </w:rPr>
        <w:lastRenderedPageBreak/>
        <w:t>MTD and directional terminals (CATT, CAICT)</w:t>
      </w:r>
    </w:p>
    <w:p w14:paraId="322F8EE3" w14:textId="77777777" w:rsidR="00EF613A" w:rsidRDefault="00C11C58">
      <w:pPr>
        <w:jc w:val="both"/>
      </w:pPr>
      <w:r>
        <w:t>Based on the input above and the guidelines for [1] (where only evaluations for handheld terminal are mandatory), the following proposal is made:</w:t>
      </w:r>
    </w:p>
    <w:p w14:paraId="65896F35" w14:textId="77777777" w:rsidR="00EF613A" w:rsidRDefault="00C11C58">
      <w:pPr>
        <w:ind w:left="1988" w:hanging="1988"/>
        <w:jc w:val="both"/>
        <w:rPr>
          <w:b/>
          <w:bCs/>
        </w:rPr>
      </w:pPr>
      <w:r>
        <w:rPr>
          <w:b/>
          <w:bCs/>
          <w:u w:val="single"/>
        </w:rPr>
        <w:t>Proposal 2.2:</w:t>
      </w:r>
      <w:r>
        <w:rPr>
          <w:b/>
          <w:bCs/>
        </w:rPr>
        <w:t xml:space="preserve"> The evaluation performed by RAN1 will consider at least the following scenario:</w:t>
      </w:r>
    </w:p>
    <w:p w14:paraId="647C2ECD" w14:textId="77777777" w:rsidR="00EF613A" w:rsidRDefault="00C11C58">
      <w:pPr>
        <w:pStyle w:val="af4"/>
        <w:numPr>
          <w:ilvl w:val="0"/>
          <w:numId w:val="7"/>
        </w:numPr>
        <w:jc w:val="both"/>
        <w:rPr>
          <w:b/>
          <w:bCs/>
        </w:rPr>
      </w:pPr>
      <w:r>
        <w:rPr>
          <w:b/>
          <w:bCs/>
        </w:rPr>
        <w:t>Transparent payload without ISL</w:t>
      </w:r>
    </w:p>
    <w:p w14:paraId="0B1C538E" w14:textId="77777777" w:rsidR="00EF613A" w:rsidRDefault="00C11C58">
      <w:pPr>
        <w:pStyle w:val="af4"/>
        <w:numPr>
          <w:ilvl w:val="0"/>
          <w:numId w:val="7"/>
        </w:numPr>
        <w:jc w:val="both"/>
        <w:rPr>
          <w:b/>
          <w:bCs/>
        </w:rPr>
      </w:pPr>
      <w:r>
        <w:rPr>
          <w:b/>
          <w:bCs/>
        </w:rPr>
        <w:t>S-band (2GHz)</w:t>
      </w:r>
    </w:p>
    <w:p w14:paraId="58BE2356" w14:textId="77777777" w:rsidR="00EF613A" w:rsidRDefault="00C11C58">
      <w:pPr>
        <w:pStyle w:val="af4"/>
        <w:numPr>
          <w:ilvl w:val="0"/>
          <w:numId w:val="7"/>
        </w:numPr>
        <w:jc w:val="both"/>
        <w:rPr>
          <w:b/>
          <w:bCs/>
        </w:rPr>
      </w:pPr>
      <w:r>
        <w:rPr>
          <w:b/>
          <w:bCs/>
        </w:rPr>
        <w:t>LEO-600</w:t>
      </w:r>
    </w:p>
    <w:p w14:paraId="115E6F4A" w14:textId="77777777" w:rsidR="00EF613A" w:rsidRDefault="00C11C58">
      <w:pPr>
        <w:pStyle w:val="af4"/>
        <w:numPr>
          <w:ilvl w:val="0"/>
          <w:numId w:val="7"/>
        </w:numPr>
        <w:jc w:val="both"/>
        <w:rPr>
          <w:b/>
          <w:bCs/>
        </w:rPr>
      </w:pPr>
      <w:r>
        <w:rPr>
          <w:b/>
          <w:bCs/>
        </w:rPr>
        <w:t>Handheld UEs</w:t>
      </w:r>
    </w:p>
    <w:p w14:paraId="6EE02393" w14:textId="77777777" w:rsidR="00EF613A" w:rsidRDefault="00C11C58">
      <w:pPr>
        <w:jc w:val="both"/>
        <w:rPr>
          <w:b/>
          <w:bCs/>
        </w:rPr>
      </w:pPr>
      <w:r>
        <w:rPr>
          <w:b/>
          <w:bCs/>
        </w:rPr>
        <w:t>FFS: If additionally RAN1 evaluates MTD UEs, GEO, directional terminals, and Ka band.</w:t>
      </w:r>
    </w:p>
    <w:p w14:paraId="27C1B95D" w14:textId="77777777" w:rsidR="00EF613A" w:rsidRDefault="00C11C58">
      <w:pPr>
        <w:pStyle w:val="2"/>
      </w:pPr>
      <w:r>
        <w:t>Q2.1: Please provide comments on proposals 2.1 and 2.2</w:t>
      </w:r>
    </w:p>
    <w:p w14:paraId="4DF0DB1C" w14:textId="77777777" w:rsidR="00EF613A" w:rsidRDefault="00EF613A">
      <w:pPr>
        <w:rPr>
          <w:b/>
          <w:bCs/>
        </w:rPr>
      </w:pPr>
    </w:p>
    <w:tbl>
      <w:tblPr>
        <w:tblStyle w:val="4-11"/>
        <w:tblW w:w="0" w:type="auto"/>
        <w:tblLook w:val="04A0" w:firstRow="1" w:lastRow="0" w:firstColumn="1" w:lastColumn="0" w:noHBand="0" w:noVBand="1"/>
      </w:tblPr>
      <w:tblGrid>
        <w:gridCol w:w="1586"/>
        <w:gridCol w:w="12692"/>
      </w:tblGrid>
      <w:tr w:rsidR="00EF613A" w14:paraId="6562B49D"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6" w:type="dxa"/>
          </w:tcPr>
          <w:p w14:paraId="2C128F19" w14:textId="77777777" w:rsidR="00EF613A" w:rsidRDefault="00C11C58">
            <w:pPr>
              <w:rPr>
                <w:b w:val="0"/>
                <w:bCs w:val="0"/>
              </w:rPr>
            </w:pPr>
            <w:r>
              <w:t>Company</w:t>
            </w:r>
          </w:p>
        </w:tc>
        <w:tc>
          <w:tcPr>
            <w:tcW w:w="12692" w:type="dxa"/>
          </w:tcPr>
          <w:p w14:paraId="5F088853"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7BF21CA8" w14:textId="77777777" w:rsidTr="00EF613A">
        <w:tc>
          <w:tcPr>
            <w:cnfStyle w:val="001000000000" w:firstRow="0" w:lastRow="0" w:firstColumn="1" w:lastColumn="0" w:oddVBand="0" w:evenVBand="0" w:oddHBand="0" w:evenHBand="0" w:firstRowFirstColumn="0" w:firstRowLastColumn="0" w:lastRowFirstColumn="0" w:lastRowLastColumn="0"/>
            <w:tcW w:w="1586" w:type="dxa"/>
            <w:shd w:val="clear" w:color="auto" w:fill="D9E2F3" w:themeFill="accent1" w:themeFillTint="33"/>
          </w:tcPr>
          <w:p w14:paraId="16B7CA6C" w14:textId="77777777" w:rsidR="00EF613A" w:rsidRDefault="00C11C58">
            <w:pPr>
              <w:rPr>
                <w:rFonts w:eastAsia="SimSun"/>
                <w:b w:val="0"/>
                <w:bCs w:val="0"/>
                <w:lang w:val="en-US" w:eastAsia="zh-CN"/>
              </w:rPr>
            </w:pPr>
            <w:r>
              <w:rPr>
                <w:rFonts w:eastAsia="SimSun" w:hint="eastAsia"/>
                <w:lang w:val="en-US" w:eastAsia="zh-CN"/>
              </w:rPr>
              <w:t>ZTE</w:t>
            </w:r>
          </w:p>
        </w:tc>
        <w:tc>
          <w:tcPr>
            <w:tcW w:w="12692" w:type="dxa"/>
            <w:shd w:val="clear" w:color="auto" w:fill="D9E2F3" w:themeFill="accent1" w:themeFillTint="33"/>
          </w:tcPr>
          <w:p w14:paraId="1E45F249" w14:textId="77777777" w:rsidR="00B40160"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Agree. </w:t>
            </w:r>
          </w:p>
          <w:p w14:paraId="662D3F7D" w14:textId="76B2BE8E" w:rsidR="00B40160" w:rsidRDefault="00B40160">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Regarding the GEO</w:t>
            </w:r>
            <w:r w:rsidR="00860F66">
              <w:rPr>
                <w:rFonts w:eastAsia="SimSun"/>
                <w:lang w:val="en-US" w:eastAsia="zh-CN"/>
              </w:rPr>
              <w:t xml:space="preserve"> in proposal 2.2</w:t>
            </w:r>
            <w:r>
              <w:rPr>
                <w:rFonts w:eastAsia="SimSun"/>
                <w:lang w:val="en-US" w:eastAsia="zh-CN"/>
              </w:rPr>
              <w:t xml:space="preserve">, maybe we can only focus on the IoT part since </w:t>
            </w:r>
            <w:proofErr w:type="gramStart"/>
            <w:r>
              <w:rPr>
                <w:rFonts w:eastAsia="SimSun"/>
                <w:lang w:val="en-US" w:eastAsia="zh-CN"/>
              </w:rPr>
              <w:t>it’s</w:t>
            </w:r>
            <w:proofErr w:type="gramEnd"/>
            <w:r>
              <w:rPr>
                <w:rFonts w:eastAsia="SimSun"/>
                <w:lang w:val="en-US" w:eastAsia="zh-CN"/>
              </w:rPr>
              <w:t xml:space="preserve"> more </w:t>
            </w:r>
            <w:r>
              <w:rPr>
                <w:rFonts w:eastAsia="SimSun" w:hint="eastAsia"/>
                <w:lang w:val="en-US" w:eastAsia="zh-CN"/>
              </w:rPr>
              <w:t>promising</w:t>
            </w:r>
            <w:r>
              <w:rPr>
                <w:rFonts w:eastAsia="SimSun"/>
                <w:lang w:val="en-US" w:eastAsia="zh-CN"/>
              </w:rPr>
              <w:t xml:space="preserve"> deployment scenarios.</w:t>
            </w:r>
          </w:p>
          <w:p w14:paraId="23DD4D7B" w14:textId="3BE074C6" w:rsidR="00EF613A" w:rsidRDefault="00B40160">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We are open to consider the VSAT if there is </w:t>
            </w:r>
            <w:r>
              <w:rPr>
                <w:rFonts w:eastAsia="SimSun" w:hint="eastAsia"/>
                <w:lang w:val="en-US" w:eastAsia="zh-CN"/>
              </w:rPr>
              <w:t>sufficient</w:t>
            </w:r>
            <w:r>
              <w:rPr>
                <w:rFonts w:eastAsia="SimSun"/>
                <w:lang w:val="en-US" w:eastAsia="zh-CN"/>
              </w:rPr>
              <w:t xml:space="preserve"> </w:t>
            </w:r>
            <w:r>
              <w:rPr>
                <w:rFonts w:eastAsia="SimSun" w:hint="eastAsia"/>
                <w:lang w:val="en-US" w:eastAsia="zh-CN"/>
              </w:rPr>
              <w:t>time</w:t>
            </w:r>
            <w:r>
              <w:rPr>
                <w:rFonts w:eastAsia="SimSun"/>
                <w:lang w:val="en-US" w:eastAsia="zh-CN"/>
              </w:rPr>
              <w:t xml:space="preserve"> (e.g., for peak data rate analysis).</w:t>
            </w:r>
          </w:p>
        </w:tc>
      </w:tr>
      <w:tr w:rsidR="009656D7" w14:paraId="5A8355D3" w14:textId="77777777" w:rsidTr="00EF613A">
        <w:tc>
          <w:tcPr>
            <w:cnfStyle w:val="001000000000" w:firstRow="0" w:lastRow="0" w:firstColumn="1" w:lastColumn="0" w:oddVBand="0" w:evenVBand="0" w:oddHBand="0" w:evenHBand="0" w:firstRowFirstColumn="0" w:firstRowLastColumn="0" w:lastRowFirstColumn="0" w:lastRowLastColumn="0"/>
            <w:tcW w:w="1586" w:type="dxa"/>
            <w:shd w:val="clear" w:color="auto" w:fill="D9E2F3" w:themeFill="accent1" w:themeFillTint="33"/>
          </w:tcPr>
          <w:p w14:paraId="4E5EBBE0" w14:textId="05796F5F" w:rsidR="009656D7" w:rsidRDefault="009656D7">
            <w:pPr>
              <w:rPr>
                <w:rFonts w:eastAsia="SimSun"/>
                <w:lang w:val="en-US" w:eastAsia="zh-CN"/>
              </w:rPr>
            </w:pPr>
            <w:r>
              <w:rPr>
                <w:rFonts w:eastAsia="SimSun"/>
                <w:lang w:val="en-US" w:eastAsia="zh-CN"/>
              </w:rPr>
              <w:t>MediaTek</w:t>
            </w:r>
          </w:p>
        </w:tc>
        <w:tc>
          <w:tcPr>
            <w:tcW w:w="12692" w:type="dxa"/>
            <w:shd w:val="clear" w:color="auto" w:fill="D9E2F3" w:themeFill="accent1" w:themeFillTint="33"/>
          </w:tcPr>
          <w:p w14:paraId="23CEC054" w14:textId="77777777" w:rsidR="009656D7" w:rsidRDefault="009656D7">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Agree. </w:t>
            </w:r>
          </w:p>
          <w:p w14:paraId="235A4E87" w14:textId="1062A9F4" w:rsidR="009656D7" w:rsidRDefault="009656D7">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In our paper (R1-2303346) we propose to cover both Handheld UEs and MTD UEs for the Connection Density requirement. However, we apply common UE parameters for both (see Table A3) which we think is a reasonable assumption, and therefore the additional simulation effort would be zero.</w:t>
            </w:r>
          </w:p>
        </w:tc>
      </w:tr>
      <w:tr w:rsidR="002F1988" w14:paraId="6959A4D0" w14:textId="77777777" w:rsidTr="00EF613A">
        <w:tc>
          <w:tcPr>
            <w:cnfStyle w:val="001000000000" w:firstRow="0" w:lastRow="0" w:firstColumn="1" w:lastColumn="0" w:oddVBand="0" w:evenVBand="0" w:oddHBand="0" w:evenHBand="0" w:firstRowFirstColumn="0" w:firstRowLastColumn="0" w:lastRowFirstColumn="0" w:lastRowLastColumn="0"/>
            <w:tcW w:w="1586" w:type="dxa"/>
            <w:shd w:val="clear" w:color="auto" w:fill="D9E2F3" w:themeFill="accent1" w:themeFillTint="33"/>
          </w:tcPr>
          <w:p w14:paraId="12D81810" w14:textId="207BCCFB" w:rsidR="002F1988" w:rsidRDefault="002F1988" w:rsidP="002F1988">
            <w:pPr>
              <w:rPr>
                <w:rFonts w:eastAsia="SimSun"/>
                <w:lang w:val="en-US" w:eastAsia="zh-CN"/>
              </w:rPr>
            </w:pPr>
            <w:r>
              <w:rPr>
                <w:rFonts w:eastAsia="Yu Mincho" w:hint="eastAsia"/>
                <w:lang w:eastAsia="ja-JP"/>
              </w:rPr>
              <w:t>P</w:t>
            </w:r>
            <w:r>
              <w:rPr>
                <w:rFonts w:eastAsia="Yu Mincho"/>
                <w:lang w:eastAsia="ja-JP"/>
              </w:rPr>
              <w:t>anasonic</w:t>
            </w:r>
          </w:p>
        </w:tc>
        <w:tc>
          <w:tcPr>
            <w:tcW w:w="12692" w:type="dxa"/>
            <w:shd w:val="clear" w:color="auto" w:fill="D9E2F3" w:themeFill="accent1" w:themeFillTint="33"/>
          </w:tcPr>
          <w:p w14:paraId="071FC873" w14:textId="48737414" w:rsidR="002F1988" w:rsidRDefault="002F1988" w:rsidP="002F198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Yu Mincho"/>
                <w:lang w:eastAsia="ja-JP"/>
              </w:rPr>
              <w:t xml:space="preserve">Fine with proposals 2.1 and 2.2. </w:t>
            </w:r>
          </w:p>
        </w:tc>
      </w:tr>
      <w:tr w:rsidR="00C51FF9" w14:paraId="78DFD12E" w14:textId="77777777" w:rsidTr="00EF613A">
        <w:tc>
          <w:tcPr>
            <w:cnfStyle w:val="001000000000" w:firstRow="0" w:lastRow="0" w:firstColumn="1" w:lastColumn="0" w:oddVBand="0" w:evenVBand="0" w:oddHBand="0" w:evenHBand="0" w:firstRowFirstColumn="0" w:firstRowLastColumn="0" w:lastRowFirstColumn="0" w:lastRowLastColumn="0"/>
            <w:tcW w:w="1586" w:type="dxa"/>
            <w:shd w:val="clear" w:color="auto" w:fill="D9E2F3" w:themeFill="accent1" w:themeFillTint="33"/>
          </w:tcPr>
          <w:p w14:paraId="17516B6B" w14:textId="2F8B2150" w:rsidR="00C51FF9" w:rsidRDefault="00C51FF9" w:rsidP="00C51FF9">
            <w:pPr>
              <w:rPr>
                <w:rFonts w:eastAsia="Yu Mincho" w:hint="eastAsia"/>
                <w:lang w:eastAsia="ja-JP"/>
              </w:rPr>
            </w:pPr>
            <w:r>
              <w:rPr>
                <w:rFonts w:eastAsia="맑은 고딕" w:hint="eastAsia"/>
                <w:lang w:eastAsia="ko-KR"/>
              </w:rPr>
              <w:t>Samsung</w:t>
            </w:r>
          </w:p>
        </w:tc>
        <w:tc>
          <w:tcPr>
            <w:tcW w:w="12692" w:type="dxa"/>
            <w:shd w:val="clear" w:color="auto" w:fill="D9E2F3" w:themeFill="accent1" w:themeFillTint="33"/>
          </w:tcPr>
          <w:p w14:paraId="5961FF1B" w14:textId="1A6802E4" w:rsidR="00C51FF9" w:rsidRDefault="00C51FF9" w:rsidP="00C51FF9">
            <w:pPr>
              <w:cnfStyle w:val="000000000000" w:firstRow="0" w:lastRow="0" w:firstColumn="0" w:lastColumn="0" w:oddVBand="0" w:evenVBand="0" w:oddHBand="0" w:evenHBand="0" w:firstRowFirstColumn="0" w:firstRowLastColumn="0" w:lastRowFirstColumn="0" w:lastRowLastColumn="0"/>
              <w:rPr>
                <w:rFonts w:eastAsia="맑은 고딕"/>
                <w:lang w:eastAsia="ko-KR"/>
              </w:rPr>
            </w:pPr>
            <w:r>
              <w:rPr>
                <w:rFonts w:eastAsia="맑은 고딕"/>
                <w:lang w:eastAsia="ko-KR"/>
              </w:rPr>
              <w:t>General</w:t>
            </w:r>
            <w:r>
              <w:rPr>
                <w:rFonts w:eastAsia="맑은 고딕"/>
                <w:lang w:eastAsia="ko-KR"/>
              </w:rPr>
              <w:t>ly</w:t>
            </w:r>
            <w:r>
              <w:rPr>
                <w:rFonts w:eastAsia="맑은 고딕"/>
                <w:lang w:eastAsia="ko-KR"/>
              </w:rPr>
              <w:t xml:space="preserve"> fine with the two proposals. </w:t>
            </w:r>
          </w:p>
          <w:p w14:paraId="29929EB8" w14:textId="763B8AA1" w:rsidR="00C51FF9" w:rsidRDefault="00C51FF9" w:rsidP="00C51FF9">
            <w:p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맑은 고딕"/>
                <w:lang w:eastAsia="ko-KR"/>
              </w:rPr>
              <w:t xml:space="preserve">For proposal 2.1, we have one clarification question on the meaning of “needed assumption”. For example, for evaluating user plane latency, 37.910 showed assumptions of procedures such as BS processing delay and UE processing delay. </w:t>
            </w:r>
            <w:r>
              <w:rPr>
                <w:rFonts w:eastAsia="맑은 고딕" w:hint="eastAsia"/>
                <w:lang w:eastAsia="ko-KR"/>
              </w:rPr>
              <w:t>T</w:t>
            </w:r>
            <w:r>
              <w:rPr>
                <w:rFonts w:eastAsia="맑은 고딕"/>
                <w:lang w:eastAsia="ko-KR"/>
              </w:rPr>
              <w:t xml:space="preserve">hus, we may need to discuss assumption for satellite processing delay since we are assuming transparent payload as a baseline. That’s why we think that proper assumptions are necessary for user/control plane latency. </w:t>
            </w:r>
          </w:p>
        </w:tc>
      </w:tr>
    </w:tbl>
    <w:p w14:paraId="124242FC" w14:textId="77777777" w:rsidR="00EF613A" w:rsidRDefault="00EF613A">
      <w:pPr>
        <w:ind w:left="1988" w:hanging="1988"/>
        <w:jc w:val="both"/>
        <w:rPr>
          <w:rFonts w:ascii="Arial" w:hAnsi="Arial"/>
          <w:sz w:val="24"/>
        </w:rPr>
      </w:pPr>
    </w:p>
    <w:p w14:paraId="13106B08" w14:textId="77777777" w:rsidR="00EF613A" w:rsidRDefault="00C11C58">
      <w:pPr>
        <w:ind w:left="1988" w:hanging="1988"/>
        <w:jc w:val="both"/>
      </w:pPr>
      <w:r>
        <w:t xml:space="preserve">For the general evaluation assumptions, the following tables (Table 1 in </w:t>
      </w:r>
      <w:r>
        <w:rPr>
          <w:lang w:eastAsia="zh-CN"/>
        </w:rPr>
        <w:t>8.2.3 and Table in 8.2.1.5 from [1]</w:t>
      </w:r>
      <w:r>
        <w:t>) are taken as a baseline:</w:t>
      </w:r>
    </w:p>
    <w:p w14:paraId="77E6CF32" w14:textId="77777777" w:rsidR="00EF613A" w:rsidRDefault="00EF613A">
      <w:pPr>
        <w:ind w:left="1988" w:hanging="1988"/>
        <w:jc w:val="both"/>
      </w:pPr>
    </w:p>
    <w:p w14:paraId="6CA7A154" w14:textId="77777777" w:rsidR="00EF613A" w:rsidRDefault="00C11C58">
      <w:pPr>
        <w:ind w:left="1988" w:hanging="1988"/>
        <w:jc w:val="both"/>
      </w:pPr>
      <w:r>
        <w:rPr>
          <w:b/>
          <w:bCs/>
          <w:u w:val="single"/>
        </w:rPr>
        <w:lastRenderedPageBreak/>
        <w:t>Proposal 2.3:</w:t>
      </w:r>
      <w:r>
        <w:rPr>
          <w:b/>
          <w:bCs/>
        </w:rPr>
        <w:t xml:space="preserve"> The following tables (Table 1 in M.2510-0 without MTD terminal type, and Table in 8.2.1.5) are taken as baseline for the RAN1 evaluations: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0"/>
        <w:gridCol w:w="2801"/>
        <w:gridCol w:w="5603"/>
        <w:gridCol w:w="2804"/>
      </w:tblGrid>
      <w:tr w:rsidR="00EF613A" w14:paraId="3CFD60E1" w14:textId="77777777">
        <w:trPr>
          <w:cantSplit/>
          <w:jc w:val="center"/>
        </w:trPr>
        <w:tc>
          <w:tcPr>
            <w:tcW w:w="1075" w:type="pct"/>
            <w:vMerge w:val="restart"/>
            <w:tcBorders>
              <w:top w:val="single" w:sz="4" w:space="0" w:color="000000"/>
              <w:left w:val="single" w:sz="4" w:space="0" w:color="000000"/>
              <w:bottom w:val="single" w:sz="4" w:space="0" w:color="000000"/>
              <w:right w:val="single" w:sz="4" w:space="0" w:color="000000"/>
            </w:tcBorders>
            <w:vAlign w:val="center"/>
          </w:tcPr>
          <w:p w14:paraId="75E51091" w14:textId="77777777" w:rsidR="00EF613A" w:rsidRDefault="00C11C58">
            <w:pPr>
              <w:pStyle w:val="Tablehead"/>
              <w:rPr>
                <w:szCs w:val="22"/>
                <w:lang w:val="en-GB"/>
              </w:rPr>
            </w:pPr>
            <w:r>
              <w:rPr>
                <w:szCs w:val="22"/>
                <w:lang w:val="en-GB"/>
              </w:rPr>
              <w:t>Parameters</w:t>
            </w:r>
          </w:p>
        </w:tc>
        <w:tc>
          <w:tcPr>
            <w:tcW w:w="3925" w:type="pct"/>
            <w:gridSpan w:val="3"/>
            <w:tcBorders>
              <w:top w:val="single" w:sz="4" w:space="0" w:color="000000"/>
              <w:left w:val="single" w:sz="4" w:space="0" w:color="000000"/>
              <w:bottom w:val="single" w:sz="4" w:space="0" w:color="000000"/>
              <w:right w:val="single" w:sz="4" w:space="0" w:color="000000"/>
            </w:tcBorders>
          </w:tcPr>
          <w:p w14:paraId="6FB99105" w14:textId="77777777" w:rsidR="00EF613A" w:rsidRDefault="00C11C58">
            <w:pPr>
              <w:pStyle w:val="Tablehead"/>
              <w:rPr>
                <w:szCs w:val="22"/>
                <w:lang w:val="en-GB"/>
              </w:rPr>
            </w:pPr>
            <w:r>
              <w:rPr>
                <w:szCs w:val="22"/>
                <w:lang w:val="en-GB"/>
              </w:rPr>
              <w:t>Values/Types/Configurations</w:t>
            </w:r>
          </w:p>
        </w:tc>
      </w:tr>
      <w:tr w:rsidR="00EF613A" w14:paraId="045CEF1C" w14:textId="77777777">
        <w:trPr>
          <w:cantSplit/>
          <w:jc w:val="center"/>
        </w:trPr>
        <w:tc>
          <w:tcPr>
            <w:tcW w:w="1075" w:type="pct"/>
            <w:vMerge/>
            <w:tcBorders>
              <w:top w:val="single" w:sz="4" w:space="0" w:color="000000"/>
              <w:left w:val="single" w:sz="4" w:space="0" w:color="000000"/>
              <w:bottom w:val="single" w:sz="4" w:space="0" w:color="000000"/>
              <w:right w:val="single" w:sz="4" w:space="0" w:color="000000"/>
            </w:tcBorders>
            <w:vAlign w:val="center"/>
          </w:tcPr>
          <w:p w14:paraId="5F7A7F83" w14:textId="77777777" w:rsidR="00EF613A" w:rsidRDefault="00EF613A">
            <w:pPr>
              <w:rPr>
                <w:rFonts w:ascii="Times New Roman Bold" w:hAnsi="Times New Roman Bold" w:cs="Times New Roman Bold"/>
                <w:b/>
                <w:sz w:val="22"/>
                <w:szCs w:val="22"/>
              </w:rPr>
            </w:pPr>
          </w:p>
        </w:tc>
        <w:tc>
          <w:tcPr>
            <w:tcW w:w="981" w:type="pct"/>
            <w:tcBorders>
              <w:top w:val="single" w:sz="4" w:space="0" w:color="000000"/>
              <w:left w:val="single" w:sz="4" w:space="0" w:color="000000"/>
              <w:bottom w:val="single" w:sz="4" w:space="0" w:color="000000"/>
              <w:right w:val="single" w:sz="4" w:space="0" w:color="000000"/>
            </w:tcBorders>
            <w:vAlign w:val="center"/>
          </w:tcPr>
          <w:p w14:paraId="797AB461" w14:textId="77777777" w:rsidR="00EF613A" w:rsidRDefault="00C11C58">
            <w:pPr>
              <w:pStyle w:val="Tablehead"/>
              <w:rPr>
                <w:szCs w:val="22"/>
                <w:lang w:val="en-GB"/>
              </w:rPr>
            </w:pPr>
            <w:r>
              <w:rPr>
                <w:szCs w:val="22"/>
                <w:lang w:val="en-GB"/>
              </w:rPr>
              <w:t>Rural-</w:t>
            </w:r>
            <w:proofErr w:type="spellStart"/>
            <w:r>
              <w:rPr>
                <w:szCs w:val="22"/>
                <w:lang w:val="en-GB"/>
              </w:rPr>
              <w:t>eMBB</w:t>
            </w:r>
            <w:proofErr w:type="spellEnd"/>
            <w:r>
              <w:rPr>
                <w:szCs w:val="22"/>
                <w:lang w:val="en-GB"/>
              </w:rPr>
              <w:t>-s</w:t>
            </w:r>
          </w:p>
        </w:tc>
        <w:tc>
          <w:tcPr>
            <w:tcW w:w="1962" w:type="pct"/>
            <w:tcBorders>
              <w:top w:val="single" w:sz="4" w:space="0" w:color="000000"/>
              <w:left w:val="single" w:sz="4" w:space="0" w:color="000000"/>
              <w:bottom w:val="single" w:sz="4" w:space="0" w:color="000000"/>
              <w:right w:val="single" w:sz="4" w:space="0" w:color="000000"/>
            </w:tcBorders>
            <w:vAlign w:val="center"/>
          </w:tcPr>
          <w:p w14:paraId="7366EDBD" w14:textId="77777777" w:rsidR="00EF613A" w:rsidRDefault="00C11C58">
            <w:pPr>
              <w:pStyle w:val="Tablehead"/>
              <w:rPr>
                <w:szCs w:val="22"/>
                <w:lang w:val="en-GB"/>
              </w:rPr>
            </w:pPr>
            <w:r>
              <w:rPr>
                <w:szCs w:val="22"/>
                <w:lang w:val="en-GB"/>
              </w:rPr>
              <w:t>Rural-</w:t>
            </w:r>
            <w:proofErr w:type="spellStart"/>
            <w:r>
              <w:rPr>
                <w:szCs w:val="22"/>
                <w:lang w:val="en-GB"/>
              </w:rPr>
              <w:t>mMTC</w:t>
            </w:r>
            <w:proofErr w:type="spellEnd"/>
            <w:r>
              <w:rPr>
                <w:szCs w:val="22"/>
                <w:lang w:val="en-GB"/>
              </w:rPr>
              <w:t>-s</w:t>
            </w:r>
          </w:p>
        </w:tc>
        <w:tc>
          <w:tcPr>
            <w:tcW w:w="982" w:type="pct"/>
            <w:tcBorders>
              <w:top w:val="single" w:sz="4" w:space="0" w:color="000000"/>
              <w:left w:val="single" w:sz="4" w:space="0" w:color="000000"/>
              <w:bottom w:val="single" w:sz="4" w:space="0" w:color="000000"/>
              <w:right w:val="single" w:sz="4" w:space="0" w:color="000000"/>
            </w:tcBorders>
            <w:vAlign w:val="center"/>
          </w:tcPr>
          <w:p w14:paraId="4EBB5948" w14:textId="77777777" w:rsidR="00EF613A" w:rsidRDefault="00C11C58">
            <w:pPr>
              <w:pStyle w:val="Tablehead"/>
              <w:rPr>
                <w:szCs w:val="22"/>
                <w:lang w:val="en-GB"/>
              </w:rPr>
            </w:pPr>
            <w:r>
              <w:rPr>
                <w:szCs w:val="22"/>
                <w:lang w:val="en-GB"/>
              </w:rPr>
              <w:t>Rural-HRC-s</w:t>
            </w:r>
          </w:p>
        </w:tc>
      </w:tr>
      <w:tr w:rsidR="00EF613A" w14:paraId="404AC4F6"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7C4DB160" w14:textId="77777777" w:rsidR="00EF613A" w:rsidRDefault="00C11C58">
            <w:pPr>
              <w:pStyle w:val="Tabletext"/>
              <w:rPr>
                <w:szCs w:val="22"/>
                <w:lang w:val="en-GB"/>
              </w:rPr>
            </w:pPr>
            <w:r>
              <w:rPr>
                <w:szCs w:val="22"/>
                <w:lang w:val="en-GB"/>
              </w:rPr>
              <w:t xml:space="preserve">Terminal type </w:t>
            </w:r>
            <w:r>
              <w:rPr>
                <w:szCs w:val="22"/>
                <w:lang w:val="en-GB"/>
              </w:rPr>
              <w:br/>
              <w:t>(see § 8.2.1.5)</w:t>
            </w:r>
          </w:p>
        </w:tc>
        <w:tc>
          <w:tcPr>
            <w:tcW w:w="981" w:type="pct"/>
            <w:tcBorders>
              <w:top w:val="single" w:sz="4" w:space="0" w:color="000000"/>
              <w:left w:val="single" w:sz="4" w:space="0" w:color="000000"/>
              <w:bottom w:val="single" w:sz="4" w:space="0" w:color="000000"/>
              <w:right w:val="single" w:sz="4" w:space="0" w:color="000000"/>
            </w:tcBorders>
          </w:tcPr>
          <w:p w14:paraId="4B9AB685" w14:textId="77777777" w:rsidR="00EF613A" w:rsidRDefault="00C11C58">
            <w:pPr>
              <w:pStyle w:val="Tabletext"/>
              <w:jc w:val="center"/>
              <w:rPr>
                <w:szCs w:val="22"/>
                <w:lang w:val="en-GB"/>
              </w:rPr>
            </w:pPr>
            <w:r>
              <w:rPr>
                <w:szCs w:val="22"/>
                <w:lang w:val="en-GB"/>
              </w:rPr>
              <w:t>Handheld</w:t>
            </w:r>
          </w:p>
        </w:tc>
        <w:tc>
          <w:tcPr>
            <w:tcW w:w="1962" w:type="pct"/>
            <w:tcBorders>
              <w:top w:val="single" w:sz="4" w:space="0" w:color="000000"/>
              <w:left w:val="single" w:sz="4" w:space="0" w:color="000000"/>
              <w:bottom w:val="single" w:sz="4" w:space="0" w:color="000000"/>
              <w:right w:val="single" w:sz="4" w:space="0" w:color="000000"/>
            </w:tcBorders>
          </w:tcPr>
          <w:p w14:paraId="0958F5E5" w14:textId="77777777" w:rsidR="00EF613A" w:rsidRDefault="00C11C58">
            <w:pPr>
              <w:pStyle w:val="Tabletext"/>
              <w:jc w:val="center"/>
              <w:rPr>
                <w:szCs w:val="22"/>
                <w:lang w:val="en-GB"/>
              </w:rPr>
            </w:pPr>
            <w:r>
              <w:rPr>
                <w:szCs w:val="22"/>
                <w:lang w:val="en-GB"/>
              </w:rPr>
              <w:t>Handheld</w:t>
            </w:r>
          </w:p>
          <w:p w14:paraId="34DE030C" w14:textId="77777777" w:rsidR="00EF613A" w:rsidRDefault="00EF613A">
            <w:pPr>
              <w:pStyle w:val="Tabletext"/>
              <w:jc w:val="center"/>
              <w:rPr>
                <w:szCs w:val="22"/>
                <w:lang w:val="en-GB"/>
              </w:rPr>
            </w:pPr>
          </w:p>
        </w:tc>
        <w:tc>
          <w:tcPr>
            <w:tcW w:w="982" w:type="pct"/>
            <w:tcBorders>
              <w:top w:val="single" w:sz="4" w:space="0" w:color="000000"/>
              <w:left w:val="single" w:sz="4" w:space="0" w:color="000000"/>
              <w:bottom w:val="single" w:sz="4" w:space="0" w:color="000000"/>
              <w:right w:val="single" w:sz="4" w:space="0" w:color="000000"/>
            </w:tcBorders>
          </w:tcPr>
          <w:p w14:paraId="4427A752" w14:textId="77777777" w:rsidR="00EF613A" w:rsidRDefault="00C11C58">
            <w:pPr>
              <w:pStyle w:val="Tabletext"/>
              <w:jc w:val="center"/>
              <w:rPr>
                <w:szCs w:val="22"/>
                <w:lang w:val="en-GB"/>
              </w:rPr>
            </w:pPr>
            <w:r>
              <w:rPr>
                <w:szCs w:val="22"/>
                <w:lang w:val="en-GB"/>
              </w:rPr>
              <w:t>Handheld</w:t>
            </w:r>
          </w:p>
        </w:tc>
      </w:tr>
      <w:tr w:rsidR="00EF613A" w14:paraId="3A4FA297"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0F72F8D9" w14:textId="77777777" w:rsidR="00EF613A" w:rsidRDefault="00C11C58">
            <w:pPr>
              <w:pStyle w:val="Tabletext"/>
              <w:rPr>
                <w:szCs w:val="22"/>
                <w:lang w:val="en-GB"/>
              </w:rPr>
            </w:pPr>
            <w:r>
              <w:rPr>
                <w:szCs w:val="22"/>
                <w:lang w:val="en-GB"/>
              </w:rPr>
              <w:t>Satellite orbit configuration</w:t>
            </w:r>
          </w:p>
        </w:tc>
        <w:tc>
          <w:tcPr>
            <w:tcW w:w="3925" w:type="pct"/>
            <w:gridSpan w:val="3"/>
            <w:tcBorders>
              <w:top w:val="single" w:sz="4" w:space="0" w:color="000000"/>
              <w:left w:val="single" w:sz="4" w:space="0" w:color="000000"/>
              <w:bottom w:val="single" w:sz="4" w:space="0" w:color="000000"/>
              <w:right w:val="single" w:sz="4" w:space="0" w:color="000000"/>
            </w:tcBorders>
          </w:tcPr>
          <w:p w14:paraId="48C14A63" w14:textId="77777777" w:rsidR="00EF613A" w:rsidRDefault="00C11C58">
            <w:pPr>
              <w:pStyle w:val="Tabletext"/>
              <w:jc w:val="center"/>
              <w:rPr>
                <w:szCs w:val="22"/>
                <w:lang w:val="en-GB"/>
              </w:rPr>
            </w:pPr>
            <w:r>
              <w:rPr>
                <w:szCs w:val="22"/>
                <w:lang w:val="en-GB"/>
              </w:rPr>
              <w:t>LEO, 600 km altitude</w:t>
            </w:r>
          </w:p>
        </w:tc>
      </w:tr>
      <w:tr w:rsidR="00EF613A" w14:paraId="7C70AC87"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1C1D408B" w14:textId="77777777" w:rsidR="00EF613A" w:rsidRDefault="00C11C58">
            <w:pPr>
              <w:pStyle w:val="Tabletext"/>
              <w:rPr>
                <w:szCs w:val="22"/>
                <w:lang w:val="en-GB"/>
              </w:rPr>
            </w:pPr>
            <w:r>
              <w:rPr>
                <w:szCs w:val="22"/>
                <w:lang w:val="en-GB"/>
              </w:rPr>
              <w:t xml:space="preserve">Spot beam pattern </w:t>
            </w:r>
          </w:p>
        </w:tc>
        <w:tc>
          <w:tcPr>
            <w:tcW w:w="3925" w:type="pct"/>
            <w:gridSpan w:val="3"/>
            <w:tcBorders>
              <w:top w:val="single" w:sz="4" w:space="0" w:color="000000"/>
              <w:left w:val="single" w:sz="4" w:space="0" w:color="000000"/>
              <w:bottom w:val="single" w:sz="4" w:space="0" w:color="000000"/>
              <w:right w:val="single" w:sz="4" w:space="0" w:color="000000"/>
            </w:tcBorders>
          </w:tcPr>
          <w:p w14:paraId="2941C520" w14:textId="77777777" w:rsidR="00EF613A" w:rsidRDefault="00C11C58">
            <w:pPr>
              <w:pStyle w:val="Tabletext"/>
              <w:jc w:val="center"/>
              <w:rPr>
                <w:szCs w:val="22"/>
                <w:lang w:val="en-GB"/>
              </w:rPr>
            </w:pPr>
            <w:r>
              <w:rPr>
                <w:szCs w:val="22"/>
                <w:lang w:val="en-GB"/>
              </w:rPr>
              <w:t>Hexagonal pattern, at least 19 spot beams</w:t>
            </w:r>
          </w:p>
          <w:p w14:paraId="5B34320B" w14:textId="77777777" w:rsidR="00EF613A" w:rsidRDefault="00C11C58">
            <w:pPr>
              <w:pStyle w:val="Tabletext"/>
              <w:jc w:val="center"/>
              <w:rPr>
                <w:szCs w:val="22"/>
                <w:lang w:val="en-GB"/>
              </w:rPr>
            </w:pPr>
            <w:r>
              <w:rPr>
                <w:szCs w:val="22"/>
                <w:lang w:val="en-GB"/>
              </w:rPr>
              <w:t xml:space="preserve">Influence of adjacent beam interference on the results should be accounted for, </w:t>
            </w:r>
            <w:r>
              <w:rPr>
                <w:szCs w:val="22"/>
                <w:lang w:val="en-GB"/>
              </w:rPr>
              <w:br/>
              <w:t>e.g. by collecting statistics only from the inner spot beams</w:t>
            </w:r>
          </w:p>
        </w:tc>
      </w:tr>
      <w:tr w:rsidR="00EF613A" w14:paraId="4332C3D2"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0997C3C3" w14:textId="77777777" w:rsidR="00EF613A" w:rsidRDefault="00C11C58">
            <w:pPr>
              <w:pStyle w:val="Tabletext"/>
              <w:rPr>
                <w:szCs w:val="22"/>
                <w:lang w:val="en-GB"/>
              </w:rPr>
            </w:pPr>
            <w:r>
              <w:rPr>
                <w:szCs w:val="22"/>
                <w:lang w:val="en-GB"/>
              </w:rPr>
              <w:t xml:space="preserve">Service link frequency </w:t>
            </w:r>
            <w:r>
              <w:rPr>
                <w:szCs w:val="22"/>
                <w:vertAlign w:val="superscript"/>
                <w:lang w:val="en-GB"/>
              </w:rPr>
              <w:t>(1)</w:t>
            </w:r>
          </w:p>
        </w:tc>
        <w:tc>
          <w:tcPr>
            <w:tcW w:w="3925" w:type="pct"/>
            <w:gridSpan w:val="3"/>
            <w:tcBorders>
              <w:top w:val="single" w:sz="4" w:space="0" w:color="000000"/>
              <w:left w:val="single" w:sz="4" w:space="0" w:color="000000"/>
              <w:bottom w:val="single" w:sz="4" w:space="0" w:color="000000"/>
              <w:right w:val="single" w:sz="4" w:space="0" w:color="000000"/>
            </w:tcBorders>
          </w:tcPr>
          <w:p w14:paraId="1E3DC81D" w14:textId="77777777" w:rsidR="00EF613A" w:rsidRDefault="00C11C58">
            <w:pPr>
              <w:pStyle w:val="Tabletext"/>
              <w:jc w:val="center"/>
              <w:rPr>
                <w:szCs w:val="22"/>
                <w:lang w:val="en-GB"/>
              </w:rPr>
            </w:pPr>
            <w:r>
              <w:rPr>
                <w:szCs w:val="22"/>
                <w:lang w:val="en-GB"/>
              </w:rPr>
              <w:t xml:space="preserve">2 GHz </w:t>
            </w:r>
          </w:p>
        </w:tc>
      </w:tr>
      <w:tr w:rsidR="00EF613A" w14:paraId="18D1F532"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0D8F2D7A" w14:textId="77777777" w:rsidR="00EF613A" w:rsidRDefault="00C11C58">
            <w:pPr>
              <w:pStyle w:val="Tabletext"/>
              <w:rPr>
                <w:szCs w:val="22"/>
                <w:lang w:val="en-GB"/>
              </w:rPr>
            </w:pPr>
            <w:r>
              <w:rPr>
                <w:szCs w:val="22"/>
                <w:lang w:val="en-GB"/>
              </w:rPr>
              <w:t>Channel bandwidth</w:t>
            </w:r>
          </w:p>
        </w:tc>
        <w:tc>
          <w:tcPr>
            <w:tcW w:w="981" w:type="pct"/>
            <w:tcBorders>
              <w:top w:val="single" w:sz="4" w:space="0" w:color="000000"/>
              <w:left w:val="single" w:sz="4" w:space="0" w:color="000000"/>
              <w:bottom w:val="single" w:sz="4" w:space="0" w:color="000000"/>
              <w:right w:val="single" w:sz="4" w:space="0" w:color="000000"/>
            </w:tcBorders>
          </w:tcPr>
          <w:p w14:paraId="48D06129" w14:textId="77777777" w:rsidR="00EF613A" w:rsidRDefault="00C11C58">
            <w:pPr>
              <w:pStyle w:val="Tabletext"/>
              <w:jc w:val="center"/>
              <w:rPr>
                <w:szCs w:val="22"/>
                <w:lang w:val="en-GB"/>
              </w:rPr>
            </w:pPr>
            <w:r>
              <w:rPr>
                <w:szCs w:val="22"/>
                <w:lang w:val="en-GB"/>
              </w:rPr>
              <w:t>30 MHz</w:t>
            </w:r>
          </w:p>
        </w:tc>
        <w:tc>
          <w:tcPr>
            <w:tcW w:w="1962" w:type="pct"/>
            <w:tcBorders>
              <w:top w:val="single" w:sz="4" w:space="0" w:color="000000"/>
              <w:left w:val="single" w:sz="4" w:space="0" w:color="000000"/>
              <w:bottom w:val="single" w:sz="4" w:space="0" w:color="000000"/>
              <w:right w:val="single" w:sz="4" w:space="0" w:color="000000"/>
            </w:tcBorders>
          </w:tcPr>
          <w:p w14:paraId="7D2C3270" w14:textId="77777777" w:rsidR="00EF613A" w:rsidRDefault="00C11C58">
            <w:pPr>
              <w:pStyle w:val="Tabletext"/>
              <w:jc w:val="center"/>
              <w:rPr>
                <w:szCs w:val="22"/>
                <w:lang w:val="en-GB"/>
              </w:rPr>
            </w:pPr>
            <w:r>
              <w:rPr>
                <w:szCs w:val="22"/>
                <w:lang w:val="en-GB"/>
              </w:rPr>
              <w:t xml:space="preserve">30 MHz </w:t>
            </w:r>
          </w:p>
        </w:tc>
        <w:tc>
          <w:tcPr>
            <w:tcW w:w="982" w:type="pct"/>
            <w:tcBorders>
              <w:top w:val="single" w:sz="4" w:space="0" w:color="000000"/>
              <w:left w:val="single" w:sz="4" w:space="0" w:color="000000"/>
              <w:bottom w:val="single" w:sz="4" w:space="0" w:color="000000"/>
              <w:right w:val="single" w:sz="4" w:space="0" w:color="000000"/>
            </w:tcBorders>
          </w:tcPr>
          <w:p w14:paraId="2397FD02" w14:textId="77777777" w:rsidR="00EF613A" w:rsidRDefault="00C11C58">
            <w:pPr>
              <w:pStyle w:val="Tabletext"/>
              <w:jc w:val="center"/>
              <w:rPr>
                <w:szCs w:val="22"/>
                <w:lang w:val="en-GB"/>
              </w:rPr>
            </w:pPr>
            <w:r>
              <w:rPr>
                <w:szCs w:val="22"/>
                <w:lang w:val="en-GB"/>
              </w:rPr>
              <w:t>30 MHz</w:t>
            </w:r>
          </w:p>
        </w:tc>
      </w:tr>
      <w:tr w:rsidR="00EF613A" w14:paraId="06058A10"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49B82CDF" w14:textId="77777777" w:rsidR="00EF613A" w:rsidRDefault="00C11C58">
            <w:pPr>
              <w:pStyle w:val="Tabletext"/>
              <w:rPr>
                <w:szCs w:val="22"/>
                <w:lang w:val="en-GB"/>
              </w:rPr>
            </w:pPr>
            <w:r>
              <w:rPr>
                <w:szCs w:val="22"/>
                <w:lang w:val="en-GB"/>
              </w:rPr>
              <w:t>3 dB beam width</w:t>
            </w:r>
          </w:p>
        </w:tc>
        <w:tc>
          <w:tcPr>
            <w:tcW w:w="3925" w:type="pct"/>
            <w:gridSpan w:val="3"/>
            <w:tcBorders>
              <w:top w:val="single" w:sz="4" w:space="0" w:color="000000"/>
              <w:left w:val="single" w:sz="4" w:space="0" w:color="000000"/>
              <w:bottom w:val="single" w:sz="4" w:space="0" w:color="000000"/>
              <w:right w:val="single" w:sz="4" w:space="0" w:color="000000"/>
            </w:tcBorders>
          </w:tcPr>
          <w:p w14:paraId="399E3935" w14:textId="77777777" w:rsidR="00EF613A" w:rsidRDefault="00C11C58">
            <w:pPr>
              <w:pStyle w:val="Tabletext"/>
              <w:jc w:val="center"/>
              <w:rPr>
                <w:szCs w:val="22"/>
                <w:lang w:val="en-GB"/>
              </w:rPr>
            </w:pPr>
            <w:r>
              <w:rPr>
                <w:szCs w:val="22"/>
                <w:lang w:val="en-GB"/>
              </w:rPr>
              <w:t>4.41 degrees</w:t>
            </w:r>
          </w:p>
        </w:tc>
      </w:tr>
      <w:tr w:rsidR="00EF613A" w14:paraId="2AC9270A"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1D8E3931" w14:textId="77777777" w:rsidR="00EF613A" w:rsidRDefault="00C11C58">
            <w:pPr>
              <w:pStyle w:val="Tabletext"/>
              <w:rPr>
                <w:szCs w:val="22"/>
                <w:lang w:val="en-GB"/>
              </w:rPr>
            </w:pPr>
            <w:r>
              <w:rPr>
                <w:szCs w:val="22"/>
                <w:lang w:val="en-GB"/>
              </w:rPr>
              <w:t>Satellite antenna gain</w:t>
            </w:r>
          </w:p>
        </w:tc>
        <w:tc>
          <w:tcPr>
            <w:tcW w:w="3925" w:type="pct"/>
            <w:gridSpan w:val="3"/>
            <w:tcBorders>
              <w:top w:val="single" w:sz="4" w:space="0" w:color="000000"/>
              <w:left w:val="single" w:sz="4" w:space="0" w:color="000000"/>
              <w:bottom w:val="single" w:sz="4" w:space="0" w:color="000000"/>
              <w:right w:val="single" w:sz="4" w:space="0" w:color="000000"/>
            </w:tcBorders>
          </w:tcPr>
          <w:p w14:paraId="7434DB2C" w14:textId="77777777" w:rsidR="00EF613A" w:rsidRDefault="00C11C58">
            <w:pPr>
              <w:pStyle w:val="Tabletext"/>
              <w:jc w:val="center"/>
              <w:rPr>
                <w:szCs w:val="22"/>
                <w:lang w:val="en-GB"/>
              </w:rPr>
            </w:pPr>
            <w:r>
              <w:rPr>
                <w:szCs w:val="22"/>
                <w:lang w:val="en-GB"/>
              </w:rPr>
              <w:t xml:space="preserve">30 </w:t>
            </w:r>
            <w:proofErr w:type="spellStart"/>
            <w:r>
              <w:rPr>
                <w:szCs w:val="22"/>
                <w:lang w:val="en-GB"/>
              </w:rPr>
              <w:t>dBi</w:t>
            </w:r>
            <w:proofErr w:type="spellEnd"/>
          </w:p>
        </w:tc>
      </w:tr>
      <w:tr w:rsidR="00EF613A" w14:paraId="46F64906"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01EB6E72" w14:textId="77777777" w:rsidR="00EF613A" w:rsidRDefault="00C11C58">
            <w:pPr>
              <w:pStyle w:val="Tabletext"/>
              <w:rPr>
                <w:szCs w:val="22"/>
                <w:lang w:val="en-GB"/>
              </w:rPr>
            </w:pPr>
            <w:r>
              <w:rPr>
                <w:szCs w:val="22"/>
                <w:lang w:val="en-GB"/>
              </w:rPr>
              <w:t>Satellite G/T</w:t>
            </w:r>
          </w:p>
        </w:tc>
        <w:tc>
          <w:tcPr>
            <w:tcW w:w="3925" w:type="pct"/>
            <w:gridSpan w:val="3"/>
            <w:tcBorders>
              <w:top w:val="single" w:sz="4" w:space="0" w:color="000000"/>
              <w:left w:val="single" w:sz="4" w:space="0" w:color="000000"/>
              <w:bottom w:val="single" w:sz="4" w:space="0" w:color="000000"/>
              <w:right w:val="single" w:sz="4" w:space="0" w:color="000000"/>
            </w:tcBorders>
          </w:tcPr>
          <w:p w14:paraId="3FF8CDA7" w14:textId="77777777" w:rsidR="00EF613A" w:rsidRDefault="00C11C58">
            <w:pPr>
              <w:pStyle w:val="Tabletext"/>
              <w:jc w:val="center"/>
              <w:rPr>
                <w:szCs w:val="22"/>
                <w:lang w:val="en-GB"/>
              </w:rPr>
            </w:pPr>
            <w:r>
              <w:rPr>
                <w:szCs w:val="22"/>
                <w:lang w:val="en-GB"/>
              </w:rPr>
              <w:t>1.1 dB/K</w:t>
            </w:r>
          </w:p>
        </w:tc>
      </w:tr>
      <w:tr w:rsidR="00EF613A" w14:paraId="75EC9AF6"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715C555A" w14:textId="77777777" w:rsidR="00EF613A" w:rsidRDefault="00C11C58">
            <w:pPr>
              <w:pStyle w:val="Tabletext"/>
              <w:rPr>
                <w:szCs w:val="22"/>
                <w:lang w:val="en-GB"/>
              </w:rPr>
            </w:pPr>
            <w:r>
              <w:rPr>
                <w:szCs w:val="22"/>
                <w:lang w:val="en-GB"/>
              </w:rPr>
              <w:t>Device deployment</w:t>
            </w:r>
          </w:p>
        </w:tc>
        <w:tc>
          <w:tcPr>
            <w:tcW w:w="3925" w:type="pct"/>
            <w:gridSpan w:val="3"/>
            <w:tcBorders>
              <w:top w:val="single" w:sz="4" w:space="0" w:color="000000"/>
              <w:left w:val="single" w:sz="4" w:space="0" w:color="000000"/>
              <w:bottom w:val="single" w:sz="4" w:space="0" w:color="000000"/>
              <w:right w:val="single" w:sz="4" w:space="0" w:color="000000"/>
            </w:tcBorders>
          </w:tcPr>
          <w:p w14:paraId="7E43464B" w14:textId="77777777" w:rsidR="00EF613A" w:rsidRDefault="00C11C58">
            <w:pPr>
              <w:pStyle w:val="Tabletext"/>
              <w:jc w:val="center"/>
              <w:rPr>
                <w:szCs w:val="22"/>
                <w:lang w:val="en-GB"/>
              </w:rPr>
            </w:pPr>
            <w:r>
              <w:rPr>
                <w:szCs w:val="22"/>
                <w:lang w:val="en-GB"/>
              </w:rPr>
              <w:t>100% outdoor, randomly and uniformly distributed over the area</w:t>
            </w:r>
          </w:p>
        </w:tc>
      </w:tr>
      <w:tr w:rsidR="00EF613A" w14:paraId="6494CA9F"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1101C8FB" w14:textId="77777777" w:rsidR="00EF613A" w:rsidRDefault="00C11C58">
            <w:pPr>
              <w:pStyle w:val="Tabletext"/>
              <w:rPr>
                <w:szCs w:val="22"/>
                <w:lang w:val="en-GB"/>
              </w:rPr>
            </w:pPr>
            <w:r>
              <w:rPr>
                <w:szCs w:val="22"/>
                <w:lang w:val="en-GB"/>
              </w:rPr>
              <w:t>UE density</w:t>
            </w:r>
          </w:p>
        </w:tc>
        <w:tc>
          <w:tcPr>
            <w:tcW w:w="981" w:type="pct"/>
            <w:tcBorders>
              <w:top w:val="single" w:sz="4" w:space="0" w:color="000000"/>
              <w:left w:val="single" w:sz="4" w:space="0" w:color="000000"/>
              <w:bottom w:val="single" w:sz="4" w:space="0" w:color="000000"/>
              <w:right w:val="single" w:sz="4" w:space="0" w:color="000000"/>
            </w:tcBorders>
          </w:tcPr>
          <w:p w14:paraId="0C87F12C" w14:textId="77777777" w:rsidR="00EF613A" w:rsidRDefault="00C11C58">
            <w:pPr>
              <w:pStyle w:val="Tabletext"/>
              <w:jc w:val="center"/>
              <w:rPr>
                <w:szCs w:val="22"/>
                <w:lang w:val="en-GB"/>
              </w:rPr>
            </w:pPr>
            <w:r>
              <w:rPr>
                <w:szCs w:val="22"/>
                <w:lang w:val="en-GB"/>
              </w:rPr>
              <w:t>10 UEs per spot beam</w:t>
            </w:r>
          </w:p>
        </w:tc>
        <w:tc>
          <w:tcPr>
            <w:tcW w:w="1962" w:type="pct"/>
            <w:tcBorders>
              <w:top w:val="single" w:sz="4" w:space="0" w:color="000000"/>
              <w:left w:val="single" w:sz="4" w:space="0" w:color="000000"/>
              <w:bottom w:val="single" w:sz="4" w:space="0" w:color="000000"/>
              <w:right w:val="single" w:sz="4" w:space="0" w:color="000000"/>
            </w:tcBorders>
          </w:tcPr>
          <w:p w14:paraId="563BC9FF" w14:textId="77777777" w:rsidR="00EF613A" w:rsidRDefault="00C11C58">
            <w:pPr>
              <w:pStyle w:val="Tabletext"/>
              <w:jc w:val="center"/>
              <w:rPr>
                <w:szCs w:val="22"/>
                <w:lang w:val="en-GB"/>
              </w:rPr>
            </w:pPr>
            <w:r>
              <w:rPr>
                <w:szCs w:val="22"/>
                <w:lang w:val="en-GB"/>
              </w:rPr>
              <w:t>At least 500 per km</w:t>
            </w:r>
            <w:r>
              <w:rPr>
                <w:szCs w:val="22"/>
                <w:vertAlign w:val="superscript"/>
                <w:lang w:val="en-GB"/>
              </w:rPr>
              <w:t>2</w:t>
            </w:r>
          </w:p>
        </w:tc>
        <w:tc>
          <w:tcPr>
            <w:tcW w:w="982" w:type="pct"/>
            <w:tcBorders>
              <w:top w:val="single" w:sz="4" w:space="0" w:color="000000"/>
              <w:left w:val="single" w:sz="4" w:space="0" w:color="000000"/>
              <w:bottom w:val="single" w:sz="4" w:space="0" w:color="000000"/>
              <w:right w:val="single" w:sz="4" w:space="0" w:color="000000"/>
            </w:tcBorders>
          </w:tcPr>
          <w:p w14:paraId="4EC13180" w14:textId="77777777" w:rsidR="00EF613A" w:rsidRDefault="00C11C58">
            <w:pPr>
              <w:pStyle w:val="Tabletext"/>
              <w:jc w:val="center"/>
              <w:rPr>
                <w:szCs w:val="22"/>
                <w:lang w:val="en-GB"/>
              </w:rPr>
            </w:pPr>
            <w:r>
              <w:rPr>
                <w:szCs w:val="22"/>
                <w:lang w:val="en-GB"/>
              </w:rPr>
              <w:t>10 UEs per spot beam</w:t>
            </w:r>
          </w:p>
        </w:tc>
      </w:tr>
      <w:tr w:rsidR="00EF613A" w14:paraId="4394A18C"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3B2E2EC6" w14:textId="77777777" w:rsidR="00EF613A" w:rsidRDefault="00C11C58">
            <w:pPr>
              <w:pStyle w:val="Tabletext"/>
              <w:rPr>
                <w:szCs w:val="22"/>
                <w:lang w:val="en-GB"/>
              </w:rPr>
            </w:pPr>
            <w:r>
              <w:rPr>
                <w:szCs w:val="22"/>
                <w:lang w:val="en-GB"/>
              </w:rPr>
              <w:t>UE mobility model</w:t>
            </w:r>
          </w:p>
        </w:tc>
        <w:tc>
          <w:tcPr>
            <w:tcW w:w="981" w:type="pct"/>
            <w:tcBorders>
              <w:top w:val="single" w:sz="4" w:space="0" w:color="000000"/>
              <w:left w:val="single" w:sz="4" w:space="0" w:color="000000"/>
              <w:bottom w:val="single" w:sz="4" w:space="0" w:color="000000"/>
              <w:right w:val="single" w:sz="4" w:space="0" w:color="000000"/>
            </w:tcBorders>
          </w:tcPr>
          <w:p w14:paraId="75C522D1" w14:textId="77777777" w:rsidR="00EF613A" w:rsidRDefault="00C11C58">
            <w:pPr>
              <w:pStyle w:val="Tabletext"/>
              <w:jc w:val="center"/>
              <w:rPr>
                <w:szCs w:val="22"/>
                <w:lang w:val="en-GB"/>
              </w:rPr>
            </w:pPr>
            <w:r>
              <w:rPr>
                <w:szCs w:val="22"/>
                <w:lang w:val="en-GB"/>
              </w:rPr>
              <w:t xml:space="preserve">For mobility evaluations: </w:t>
            </w:r>
            <w:r>
              <w:rPr>
                <w:szCs w:val="22"/>
                <w:lang w:val="en-GB"/>
              </w:rPr>
              <w:br/>
              <w:t>Fixed and identical speed of 250 km/h of all UEs, randomly and uniformly distributed direction.</w:t>
            </w:r>
          </w:p>
          <w:p w14:paraId="26D5914E" w14:textId="77777777" w:rsidR="00EF613A" w:rsidRDefault="00C11C58">
            <w:pPr>
              <w:pStyle w:val="Tabletext"/>
              <w:jc w:val="center"/>
              <w:rPr>
                <w:szCs w:val="22"/>
                <w:lang w:val="en-GB"/>
              </w:rPr>
            </w:pPr>
            <w:r>
              <w:rPr>
                <w:szCs w:val="22"/>
                <w:lang w:val="en-GB"/>
              </w:rPr>
              <w:t>For all other evaluations: Stationary</w:t>
            </w:r>
          </w:p>
        </w:tc>
        <w:tc>
          <w:tcPr>
            <w:tcW w:w="1962" w:type="pct"/>
            <w:tcBorders>
              <w:top w:val="single" w:sz="4" w:space="0" w:color="000000"/>
              <w:left w:val="single" w:sz="4" w:space="0" w:color="000000"/>
              <w:bottom w:val="single" w:sz="4" w:space="0" w:color="000000"/>
              <w:right w:val="single" w:sz="4" w:space="0" w:color="000000"/>
            </w:tcBorders>
          </w:tcPr>
          <w:p w14:paraId="6A342E08" w14:textId="77777777" w:rsidR="00EF613A" w:rsidRDefault="00C11C58">
            <w:pPr>
              <w:pStyle w:val="Tabletext"/>
              <w:jc w:val="center"/>
              <w:rPr>
                <w:szCs w:val="22"/>
                <w:lang w:val="en-GB"/>
              </w:rPr>
            </w:pPr>
            <w:r>
              <w:rPr>
                <w:szCs w:val="22"/>
                <w:lang w:val="en-GB"/>
              </w:rPr>
              <w:t>Stationary</w:t>
            </w:r>
          </w:p>
        </w:tc>
        <w:tc>
          <w:tcPr>
            <w:tcW w:w="982" w:type="pct"/>
            <w:tcBorders>
              <w:top w:val="single" w:sz="4" w:space="0" w:color="000000"/>
              <w:left w:val="single" w:sz="4" w:space="0" w:color="000000"/>
              <w:bottom w:val="single" w:sz="4" w:space="0" w:color="000000"/>
              <w:right w:val="single" w:sz="4" w:space="0" w:color="000000"/>
            </w:tcBorders>
          </w:tcPr>
          <w:p w14:paraId="6ED6DACB" w14:textId="77777777" w:rsidR="00EF613A" w:rsidRDefault="00C11C58">
            <w:pPr>
              <w:pStyle w:val="Tabletext"/>
              <w:jc w:val="center"/>
              <w:rPr>
                <w:szCs w:val="22"/>
                <w:lang w:val="en-GB"/>
              </w:rPr>
            </w:pPr>
            <w:r>
              <w:rPr>
                <w:szCs w:val="22"/>
                <w:lang w:val="en-GB"/>
              </w:rPr>
              <w:t>Fixed and identical speed of 30 km/h of all UEs, randomly and uniformly distributed direction</w:t>
            </w:r>
          </w:p>
        </w:tc>
      </w:tr>
      <w:tr w:rsidR="00EF613A" w14:paraId="17BBF8F3"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38063ED1" w14:textId="77777777" w:rsidR="00EF613A" w:rsidRDefault="00C11C58">
            <w:pPr>
              <w:pStyle w:val="Tabletext"/>
              <w:rPr>
                <w:szCs w:val="22"/>
                <w:lang w:val="en-GB"/>
              </w:rPr>
            </w:pPr>
            <w:r>
              <w:rPr>
                <w:szCs w:val="22"/>
                <w:lang w:val="en-GB"/>
              </w:rPr>
              <w:lastRenderedPageBreak/>
              <w:t>Traffic model</w:t>
            </w:r>
          </w:p>
        </w:tc>
        <w:tc>
          <w:tcPr>
            <w:tcW w:w="981" w:type="pct"/>
            <w:tcBorders>
              <w:top w:val="single" w:sz="4" w:space="0" w:color="000000"/>
              <w:left w:val="single" w:sz="4" w:space="0" w:color="000000"/>
              <w:bottom w:val="single" w:sz="4" w:space="0" w:color="000000"/>
              <w:right w:val="single" w:sz="4" w:space="0" w:color="000000"/>
            </w:tcBorders>
          </w:tcPr>
          <w:p w14:paraId="62A4B24A" w14:textId="77777777" w:rsidR="00EF613A" w:rsidRDefault="00C11C58">
            <w:pPr>
              <w:pStyle w:val="Tabletext"/>
              <w:jc w:val="center"/>
              <w:rPr>
                <w:szCs w:val="22"/>
                <w:lang w:val="en-GB"/>
              </w:rPr>
            </w:pPr>
            <w:r>
              <w:rPr>
                <w:szCs w:val="22"/>
                <w:lang w:val="en-GB"/>
              </w:rPr>
              <w:t xml:space="preserve">Full buffer </w:t>
            </w:r>
          </w:p>
        </w:tc>
        <w:tc>
          <w:tcPr>
            <w:tcW w:w="1962" w:type="pct"/>
            <w:tcBorders>
              <w:top w:val="single" w:sz="4" w:space="0" w:color="000000"/>
              <w:left w:val="single" w:sz="4" w:space="0" w:color="000000"/>
              <w:bottom w:val="single" w:sz="4" w:space="0" w:color="000000"/>
              <w:right w:val="single" w:sz="4" w:space="0" w:color="000000"/>
            </w:tcBorders>
          </w:tcPr>
          <w:p w14:paraId="63589CF8" w14:textId="77777777" w:rsidR="00EF613A" w:rsidRDefault="00C11C58">
            <w:pPr>
              <w:pStyle w:val="Tabletext"/>
              <w:jc w:val="center"/>
              <w:rPr>
                <w:szCs w:val="22"/>
                <w:lang w:val="en-GB"/>
              </w:rPr>
            </w:pPr>
            <w:r>
              <w:rPr>
                <w:szCs w:val="22"/>
                <w:lang w:val="en-GB"/>
              </w:rPr>
              <w:t>With layer 2 PDU (Protocol Data Unit) message size of 32 bytes:</w:t>
            </w:r>
          </w:p>
          <w:p w14:paraId="598AB8FF" w14:textId="77777777" w:rsidR="00EF613A" w:rsidRDefault="00C11C58">
            <w:pPr>
              <w:pStyle w:val="Tabletext"/>
              <w:jc w:val="center"/>
              <w:rPr>
                <w:szCs w:val="22"/>
                <w:lang w:val="en-GB"/>
              </w:rPr>
            </w:pPr>
            <w:r>
              <w:rPr>
                <w:szCs w:val="22"/>
                <w:lang w:val="en-GB"/>
              </w:rPr>
              <w:t>1 message/day/device</w:t>
            </w:r>
          </w:p>
          <w:p w14:paraId="39E805D9" w14:textId="77777777" w:rsidR="00EF613A" w:rsidRDefault="00C11C58">
            <w:pPr>
              <w:pStyle w:val="Tabletext"/>
              <w:jc w:val="center"/>
              <w:rPr>
                <w:szCs w:val="22"/>
                <w:lang w:val="en-GB"/>
              </w:rPr>
            </w:pPr>
            <w:r>
              <w:rPr>
                <w:szCs w:val="22"/>
                <w:lang w:val="en-GB"/>
              </w:rPr>
              <w:t>or</w:t>
            </w:r>
          </w:p>
          <w:p w14:paraId="15352F4D" w14:textId="77777777" w:rsidR="00EF613A" w:rsidRDefault="00C11C58">
            <w:pPr>
              <w:pStyle w:val="Tabletext"/>
              <w:jc w:val="center"/>
              <w:rPr>
                <w:szCs w:val="22"/>
                <w:lang w:val="en-GB"/>
              </w:rPr>
            </w:pPr>
            <w:r>
              <w:rPr>
                <w:szCs w:val="22"/>
                <w:lang w:val="en-GB"/>
              </w:rPr>
              <w:t>1 message/2 hours/device</w:t>
            </w:r>
          </w:p>
          <w:p w14:paraId="34644BCE" w14:textId="77777777" w:rsidR="00EF613A" w:rsidRDefault="00C11C58">
            <w:pPr>
              <w:pStyle w:val="Tabletext"/>
              <w:jc w:val="center"/>
              <w:rPr>
                <w:szCs w:val="22"/>
                <w:lang w:val="en-GB"/>
              </w:rPr>
            </w:pPr>
            <w:r>
              <w:rPr>
                <w:szCs w:val="22"/>
                <w:lang w:val="en-GB"/>
              </w:rPr>
              <w:t>Packet arrival follows Poisson arrival process for non-full buffer system-level simulation</w:t>
            </w:r>
          </w:p>
        </w:tc>
        <w:tc>
          <w:tcPr>
            <w:tcW w:w="982" w:type="pct"/>
            <w:tcBorders>
              <w:top w:val="single" w:sz="4" w:space="0" w:color="000000"/>
              <w:left w:val="single" w:sz="4" w:space="0" w:color="000000"/>
              <w:bottom w:val="single" w:sz="4" w:space="0" w:color="000000"/>
              <w:right w:val="single" w:sz="4" w:space="0" w:color="000000"/>
            </w:tcBorders>
          </w:tcPr>
          <w:p w14:paraId="06BCE579" w14:textId="77777777" w:rsidR="00EF613A" w:rsidRDefault="00C11C58">
            <w:pPr>
              <w:pStyle w:val="Tabletext"/>
              <w:jc w:val="center"/>
              <w:rPr>
                <w:szCs w:val="22"/>
                <w:lang w:val="en-GB"/>
              </w:rPr>
            </w:pPr>
            <w:r>
              <w:rPr>
                <w:szCs w:val="22"/>
                <w:lang w:val="en-GB"/>
              </w:rPr>
              <w:t>Full buffer</w:t>
            </w:r>
          </w:p>
        </w:tc>
      </w:tr>
      <w:tr w:rsidR="00EF613A" w14:paraId="61B4AF45"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214A3947" w14:textId="77777777" w:rsidR="00EF613A" w:rsidRDefault="00C11C58">
            <w:pPr>
              <w:pStyle w:val="Tabletext"/>
              <w:rPr>
                <w:szCs w:val="22"/>
                <w:lang w:val="en-GB"/>
              </w:rPr>
            </w:pPr>
            <w:r>
              <w:rPr>
                <w:szCs w:val="22"/>
                <w:lang w:val="en-GB"/>
              </w:rPr>
              <w:t>UE antenna height</w:t>
            </w:r>
          </w:p>
        </w:tc>
        <w:tc>
          <w:tcPr>
            <w:tcW w:w="3925" w:type="pct"/>
            <w:gridSpan w:val="3"/>
            <w:tcBorders>
              <w:top w:val="single" w:sz="4" w:space="0" w:color="000000"/>
              <w:left w:val="single" w:sz="4" w:space="0" w:color="000000"/>
              <w:bottom w:val="single" w:sz="4" w:space="0" w:color="000000"/>
              <w:right w:val="single" w:sz="4" w:space="0" w:color="000000"/>
            </w:tcBorders>
          </w:tcPr>
          <w:p w14:paraId="378418B5" w14:textId="77777777" w:rsidR="00EF613A" w:rsidRDefault="00C11C58">
            <w:pPr>
              <w:pStyle w:val="Tabletext"/>
              <w:jc w:val="center"/>
              <w:rPr>
                <w:szCs w:val="22"/>
                <w:lang w:val="en-GB"/>
              </w:rPr>
            </w:pPr>
            <w:r>
              <w:rPr>
                <w:szCs w:val="22"/>
                <w:lang w:val="en-GB"/>
              </w:rPr>
              <w:t>1.5 m</w:t>
            </w:r>
          </w:p>
        </w:tc>
      </w:tr>
    </w:tbl>
    <w:p w14:paraId="6BB4C9E6" w14:textId="77777777" w:rsidR="00EF613A" w:rsidRDefault="00EF613A">
      <w:pPr>
        <w:ind w:left="1988" w:hanging="1988"/>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2"/>
        <w:gridCol w:w="6736"/>
      </w:tblGrid>
      <w:tr w:rsidR="00EF613A" w14:paraId="09D91F19" w14:textId="77777777">
        <w:tc>
          <w:tcPr>
            <w:tcW w:w="1323" w:type="pct"/>
            <w:shd w:val="clear" w:color="auto" w:fill="auto"/>
          </w:tcPr>
          <w:p w14:paraId="11B2629C" w14:textId="77777777" w:rsidR="00EF613A" w:rsidRDefault="00C11C58">
            <w:pPr>
              <w:pStyle w:val="Tablehead"/>
              <w:rPr>
                <w:lang w:val="en-GB"/>
              </w:rPr>
            </w:pPr>
            <w:r>
              <w:rPr>
                <w:lang w:val="en-GB"/>
              </w:rPr>
              <w:t>Terminal types</w:t>
            </w:r>
          </w:p>
        </w:tc>
        <w:tc>
          <w:tcPr>
            <w:tcW w:w="1182" w:type="pct"/>
            <w:shd w:val="clear" w:color="auto" w:fill="auto"/>
          </w:tcPr>
          <w:p w14:paraId="037DBD70" w14:textId="77777777" w:rsidR="00EF613A" w:rsidRDefault="00C11C58">
            <w:pPr>
              <w:pStyle w:val="Tablehead"/>
              <w:rPr>
                <w:lang w:val="en-GB"/>
              </w:rPr>
            </w:pPr>
            <w:r>
              <w:rPr>
                <w:lang w:val="en-GB"/>
              </w:rPr>
              <w:t>Handheld</w:t>
            </w:r>
          </w:p>
        </w:tc>
      </w:tr>
      <w:tr w:rsidR="00EF613A" w14:paraId="3AEC64FF" w14:textId="77777777">
        <w:tc>
          <w:tcPr>
            <w:tcW w:w="1323" w:type="pct"/>
            <w:shd w:val="clear" w:color="auto" w:fill="auto"/>
          </w:tcPr>
          <w:p w14:paraId="698AB867" w14:textId="77777777" w:rsidR="00EF613A" w:rsidRDefault="00C11C58">
            <w:pPr>
              <w:pStyle w:val="Tabletext"/>
              <w:spacing w:before="20" w:after="20"/>
              <w:rPr>
                <w:lang w:val="en-GB"/>
              </w:rPr>
            </w:pPr>
            <w:r>
              <w:rPr>
                <w:lang w:val="en-GB"/>
              </w:rPr>
              <w:t>Examples</w:t>
            </w:r>
          </w:p>
        </w:tc>
        <w:tc>
          <w:tcPr>
            <w:tcW w:w="1182" w:type="pct"/>
            <w:shd w:val="clear" w:color="auto" w:fill="auto"/>
          </w:tcPr>
          <w:p w14:paraId="09D13BB6" w14:textId="77777777" w:rsidR="00EF613A" w:rsidRDefault="00C11C58">
            <w:pPr>
              <w:pStyle w:val="Tabletext"/>
              <w:spacing w:before="20" w:after="20"/>
              <w:jc w:val="center"/>
              <w:rPr>
                <w:lang w:val="en-GB"/>
              </w:rPr>
            </w:pPr>
            <w:r>
              <w:rPr>
                <w:lang w:val="en-GB"/>
              </w:rPr>
              <w:t>Handset, smartphone</w:t>
            </w:r>
          </w:p>
        </w:tc>
      </w:tr>
      <w:tr w:rsidR="00EF613A" w14:paraId="657AFCD6" w14:textId="77777777">
        <w:tc>
          <w:tcPr>
            <w:tcW w:w="1323" w:type="pct"/>
            <w:shd w:val="clear" w:color="auto" w:fill="auto"/>
          </w:tcPr>
          <w:p w14:paraId="19EB671A" w14:textId="77777777" w:rsidR="00EF613A" w:rsidRDefault="00C11C58">
            <w:pPr>
              <w:pStyle w:val="Tabletext"/>
              <w:spacing w:before="20" w:after="20"/>
              <w:rPr>
                <w:lang w:val="en-GB"/>
              </w:rPr>
            </w:pPr>
            <w:r>
              <w:rPr>
                <w:lang w:val="en-GB"/>
              </w:rPr>
              <w:t>Antenna type and configuration</w:t>
            </w:r>
          </w:p>
        </w:tc>
        <w:tc>
          <w:tcPr>
            <w:tcW w:w="1182" w:type="pct"/>
            <w:shd w:val="clear" w:color="auto" w:fill="auto"/>
          </w:tcPr>
          <w:p w14:paraId="76DF0976" w14:textId="77777777" w:rsidR="00EF613A" w:rsidRDefault="00C11C58">
            <w:pPr>
              <w:pStyle w:val="Tabletext"/>
              <w:spacing w:before="20" w:after="20"/>
              <w:jc w:val="center"/>
              <w:rPr>
                <w:lang w:val="en-GB"/>
              </w:rPr>
            </w:pPr>
            <w:r>
              <w:rPr>
                <w:lang w:val="en-GB"/>
              </w:rPr>
              <w:t>Omni-directional</w:t>
            </w:r>
          </w:p>
        </w:tc>
      </w:tr>
      <w:tr w:rsidR="00EF613A" w14:paraId="64F8B7AC" w14:textId="77777777">
        <w:tc>
          <w:tcPr>
            <w:tcW w:w="1323" w:type="pct"/>
            <w:shd w:val="clear" w:color="auto" w:fill="auto"/>
          </w:tcPr>
          <w:p w14:paraId="3A427915" w14:textId="77777777" w:rsidR="00EF613A" w:rsidRDefault="00C11C58">
            <w:pPr>
              <w:pStyle w:val="Tabletext"/>
              <w:spacing w:before="20" w:after="20"/>
              <w:rPr>
                <w:lang w:val="en-GB"/>
              </w:rPr>
            </w:pPr>
            <w:r>
              <w:rPr>
                <w:lang w:val="en-GB"/>
              </w:rPr>
              <w:t>Polarisation</w:t>
            </w:r>
          </w:p>
        </w:tc>
        <w:tc>
          <w:tcPr>
            <w:tcW w:w="1182" w:type="pct"/>
            <w:shd w:val="clear" w:color="auto" w:fill="auto"/>
          </w:tcPr>
          <w:p w14:paraId="232BDE37" w14:textId="77777777" w:rsidR="00EF613A" w:rsidRDefault="00C11C58">
            <w:pPr>
              <w:pStyle w:val="Tabletext"/>
              <w:spacing w:before="20" w:after="20"/>
              <w:jc w:val="center"/>
              <w:rPr>
                <w:lang w:val="en-GB"/>
              </w:rPr>
            </w:pPr>
            <w:r>
              <w:rPr>
                <w:lang w:val="en-GB"/>
              </w:rPr>
              <w:t>Linear: ±45°X-pol</w:t>
            </w:r>
          </w:p>
        </w:tc>
      </w:tr>
      <w:tr w:rsidR="00EF613A" w14:paraId="60F95013" w14:textId="77777777">
        <w:tc>
          <w:tcPr>
            <w:tcW w:w="1323" w:type="pct"/>
            <w:shd w:val="clear" w:color="auto" w:fill="auto"/>
          </w:tcPr>
          <w:p w14:paraId="34AB3D91" w14:textId="77777777" w:rsidR="00EF613A" w:rsidRDefault="00C11C58">
            <w:pPr>
              <w:pStyle w:val="Tabletext"/>
              <w:spacing w:before="20" w:after="20"/>
              <w:rPr>
                <w:lang w:val="en-GB"/>
              </w:rPr>
            </w:pPr>
            <w:r>
              <w:rPr>
                <w:lang w:val="en-GB"/>
              </w:rPr>
              <w:t>Antenna gain (</w:t>
            </w:r>
            <w:proofErr w:type="spellStart"/>
            <w:r>
              <w:rPr>
                <w:lang w:val="en-GB"/>
              </w:rPr>
              <w:t>dBi</w:t>
            </w:r>
            <w:proofErr w:type="spellEnd"/>
            <w:r>
              <w:rPr>
                <w:lang w:val="en-GB"/>
              </w:rPr>
              <w:t>)</w:t>
            </w:r>
          </w:p>
        </w:tc>
        <w:tc>
          <w:tcPr>
            <w:tcW w:w="1182" w:type="pct"/>
            <w:shd w:val="clear" w:color="auto" w:fill="auto"/>
          </w:tcPr>
          <w:p w14:paraId="2865B5B9" w14:textId="77777777" w:rsidR="00EF613A" w:rsidRDefault="00C11C58">
            <w:pPr>
              <w:pStyle w:val="Tabletext"/>
              <w:spacing w:before="20" w:after="20"/>
              <w:jc w:val="center"/>
              <w:rPr>
                <w:lang w:val="en-GB"/>
              </w:rPr>
            </w:pPr>
            <w:r>
              <w:rPr>
                <w:lang w:val="en-GB"/>
              </w:rPr>
              <w:t>0</w:t>
            </w:r>
          </w:p>
        </w:tc>
      </w:tr>
      <w:tr w:rsidR="00EF613A" w14:paraId="2BCCA517" w14:textId="77777777">
        <w:tc>
          <w:tcPr>
            <w:tcW w:w="1323" w:type="pct"/>
            <w:shd w:val="clear" w:color="auto" w:fill="auto"/>
          </w:tcPr>
          <w:p w14:paraId="5781C8E2" w14:textId="77777777" w:rsidR="00EF613A" w:rsidRDefault="00C11C58">
            <w:pPr>
              <w:pStyle w:val="Tabletext"/>
              <w:spacing w:before="20" w:after="20"/>
              <w:rPr>
                <w:lang w:val="en-GB"/>
              </w:rPr>
            </w:pPr>
            <w:r>
              <w:rPr>
                <w:lang w:val="en-GB"/>
              </w:rPr>
              <w:t>Antenna temperature (K)</w:t>
            </w:r>
          </w:p>
        </w:tc>
        <w:tc>
          <w:tcPr>
            <w:tcW w:w="1182" w:type="pct"/>
            <w:shd w:val="clear" w:color="auto" w:fill="auto"/>
          </w:tcPr>
          <w:p w14:paraId="29047A18" w14:textId="77777777" w:rsidR="00EF613A" w:rsidRDefault="00C11C58">
            <w:pPr>
              <w:pStyle w:val="Tabletext"/>
              <w:spacing w:before="20" w:after="20"/>
              <w:jc w:val="center"/>
              <w:rPr>
                <w:lang w:val="en-GB"/>
              </w:rPr>
            </w:pPr>
            <w:r>
              <w:rPr>
                <w:lang w:val="en-GB"/>
              </w:rPr>
              <w:t>290</w:t>
            </w:r>
          </w:p>
        </w:tc>
      </w:tr>
      <w:tr w:rsidR="00EF613A" w14:paraId="7766353A" w14:textId="77777777">
        <w:tc>
          <w:tcPr>
            <w:tcW w:w="1323" w:type="pct"/>
            <w:shd w:val="clear" w:color="auto" w:fill="auto"/>
          </w:tcPr>
          <w:p w14:paraId="64E629F0" w14:textId="77777777" w:rsidR="00EF613A" w:rsidRDefault="00C11C58">
            <w:pPr>
              <w:pStyle w:val="Tabletext"/>
              <w:spacing w:before="20" w:after="20"/>
              <w:rPr>
                <w:lang w:val="en-GB"/>
              </w:rPr>
            </w:pPr>
            <w:r>
              <w:rPr>
                <w:lang w:val="en-GB"/>
              </w:rPr>
              <w:t>Noise figure (dB)</w:t>
            </w:r>
          </w:p>
        </w:tc>
        <w:tc>
          <w:tcPr>
            <w:tcW w:w="1182" w:type="pct"/>
            <w:shd w:val="clear" w:color="auto" w:fill="auto"/>
          </w:tcPr>
          <w:p w14:paraId="6CE3BA12" w14:textId="77777777" w:rsidR="00EF613A" w:rsidRDefault="00C11C58">
            <w:pPr>
              <w:pStyle w:val="Tabletext"/>
              <w:spacing w:before="20" w:after="20"/>
              <w:jc w:val="center"/>
              <w:rPr>
                <w:lang w:val="en-GB"/>
              </w:rPr>
            </w:pPr>
            <w:r>
              <w:rPr>
                <w:lang w:val="en-GB"/>
              </w:rPr>
              <w:t>7</w:t>
            </w:r>
          </w:p>
        </w:tc>
      </w:tr>
      <w:tr w:rsidR="00EF613A" w14:paraId="76C90935" w14:textId="77777777">
        <w:tc>
          <w:tcPr>
            <w:tcW w:w="1323" w:type="pct"/>
            <w:shd w:val="clear" w:color="auto" w:fill="auto"/>
          </w:tcPr>
          <w:p w14:paraId="2714F978" w14:textId="77777777" w:rsidR="00EF613A" w:rsidRDefault="00C11C58">
            <w:pPr>
              <w:pStyle w:val="Tabletext"/>
              <w:spacing w:before="20" w:after="20"/>
              <w:rPr>
                <w:lang w:val="en-GB"/>
              </w:rPr>
            </w:pPr>
            <w:r>
              <w:rPr>
                <w:lang w:val="en-GB"/>
              </w:rPr>
              <w:t>Tx transmit power</w:t>
            </w:r>
          </w:p>
        </w:tc>
        <w:tc>
          <w:tcPr>
            <w:tcW w:w="1182" w:type="pct"/>
            <w:shd w:val="clear" w:color="auto" w:fill="auto"/>
          </w:tcPr>
          <w:p w14:paraId="6AB32CC2" w14:textId="77777777" w:rsidR="00EF613A" w:rsidRDefault="00C11C58">
            <w:pPr>
              <w:pStyle w:val="Tabletext"/>
              <w:spacing w:before="20" w:after="20"/>
              <w:jc w:val="center"/>
              <w:rPr>
                <w:lang w:val="en-GB"/>
              </w:rPr>
            </w:pPr>
            <w:r>
              <w:rPr>
                <w:lang w:val="en-GB"/>
              </w:rPr>
              <w:t xml:space="preserve">200 </w:t>
            </w:r>
            <w:proofErr w:type="spellStart"/>
            <w:r>
              <w:rPr>
                <w:lang w:val="en-GB"/>
              </w:rPr>
              <w:t>mW</w:t>
            </w:r>
            <w:proofErr w:type="spellEnd"/>
            <w:r>
              <w:rPr>
                <w:lang w:val="en-GB"/>
              </w:rPr>
              <w:t xml:space="preserve"> (23 </w:t>
            </w:r>
            <w:proofErr w:type="spellStart"/>
            <w:r>
              <w:rPr>
                <w:lang w:val="en-GB"/>
              </w:rPr>
              <w:t>dBm</w:t>
            </w:r>
            <w:proofErr w:type="spellEnd"/>
            <w:r>
              <w:rPr>
                <w:lang w:val="en-GB"/>
              </w:rPr>
              <w:t>)</w:t>
            </w:r>
          </w:p>
        </w:tc>
      </w:tr>
    </w:tbl>
    <w:p w14:paraId="19732454" w14:textId="77777777" w:rsidR="00EF613A" w:rsidRDefault="00EF613A">
      <w:pPr>
        <w:ind w:left="1988" w:hanging="1988"/>
        <w:jc w:val="both"/>
      </w:pPr>
    </w:p>
    <w:p w14:paraId="7145578B" w14:textId="77777777" w:rsidR="00EF613A" w:rsidRDefault="00EF613A">
      <w:pPr>
        <w:ind w:left="1988" w:hanging="1988"/>
        <w:jc w:val="both"/>
      </w:pPr>
    </w:p>
    <w:p w14:paraId="0C3C7612" w14:textId="77777777" w:rsidR="00EF613A" w:rsidRDefault="00C11C58">
      <w:pPr>
        <w:ind w:left="1988" w:hanging="1988"/>
        <w:jc w:val="both"/>
      </w:pPr>
      <w:r>
        <w:t>Regarding other deployment parameters (SLS) not included in M.2510, the following table summarizes the input from multiple companies, mostly reusing the values in 38.811:</w:t>
      </w:r>
    </w:p>
    <w:p w14:paraId="068A4CB6" w14:textId="77777777" w:rsidR="00EF613A" w:rsidRDefault="00EF613A">
      <w:pPr>
        <w:ind w:left="1988" w:hanging="1988"/>
        <w:jc w:val="both"/>
      </w:pPr>
    </w:p>
    <w:tbl>
      <w:tblPr>
        <w:tblStyle w:val="4-11"/>
        <w:tblW w:w="0" w:type="auto"/>
        <w:tblLook w:val="04A0" w:firstRow="1" w:lastRow="0" w:firstColumn="1" w:lastColumn="0" w:noHBand="0" w:noVBand="1"/>
      </w:tblPr>
      <w:tblGrid>
        <w:gridCol w:w="2695"/>
        <w:gridCol w:w="11583"/>
      </w:tblGrid>
      <w:tr w:rsidR="00EF613A" w14:paraId="39E40734"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02AD9021" w14:textId="77777777" w:rsidR="00EF613A" w:rsidRDefault="00C11C58">
            <w:pPr>
              <w:rPr>
                <w:rFonts w:ascii="Arial" w:hAnsi="Arial"/>
                <w:b w:val="0"/>
                <w:bCs w:val="0"/>
                <w:sz w:val="18"/>
              </w:rPr>
            </w:pPr>
            <w:r>
              <w:rPr>
                <w:rFonts w:ascii="Arial" w:hAnsi="Arial"/>
                <w:sz w:val="18"/>
              </w:rPr>
              <w:t>Parameter</w:t>
            </w:r>
          </w:p>
        </w:tc>
        <w:tc>
          <w:tcPr>
            <w:tcW w:w="11583" w:type="dxa"/>
          </w:tcPr>
          <w:p w14:paraId="577EE355" w14:textId="77777777" w:rsidR="00EF613A" w:rsidRDefault="00C11C58">
            <w:pPr>
              <w:cnfStyle w:val="100000000000" w:firstRow="1" w:lastRow="0" w:firstColumn="0" w:lastColumn="0" w:oddVBand="0" w:evenVBand="0" w:oddHBand="0" w:evenHBand="0" w:firstRowFirstColumn="0" w:firstRowLastColumn="0" w:lastRowFirstColumn="0" w:lastRowLastColumn="0"/>
              <w:rPr>
                <w:rFonts w:ascii="Arial" w:hAnsi="Arial"/>
                <w:b w:val="0"/>
                <w:bCs w:val="0"/>
                <w:sz w:val="18"/>
              </w:rPr>
            </w:pPr>
            <w:r>
              <w:rPr>
                <w:rFonts w:ascii="Arial" w:hAnsi="Arial"/>
                <w:sz w:val="18"/>
              </w:rPr>
              <w:t>Input</w:t>
            </w:r>
          </w:p>
        </w:tc>
      </w:tr>
      <w:tr w:rsidR="00EF613A" w14:paraId="2BE666EF"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7BF51FC4" w14:textId="77777777" w:rsidR="00EF613A" w:rsidRDefault="00C11C58">
            <w:pPr>
              <w:rPr>
                <w:rFonts w:ascii="Arial" w:hAnsi="Arial"/>
                <w:b w:val="0"/>
                <w:bCs w:val="0"/>
                <w:sz w:val="18"/>
              </w:rPr>
            </w:pPr>
            <w:r>
              <w:rPr>
                <w:rFonts w:ascii="Arial" w:hAnsi="Arial"/>
                <w:sz w:val="18"/>
              </w:rPr>
              <w:t>Satellite antenna pattern</w:t>
            </w:r>
          </w:p>
        </w:tc>
        <w:tc>
          <w:tcPr>
            <w:tcW w:w="11583" w:type="dxa"/>
            <w:shd w:val="clear" w:color="auto" w:fill="D9E2F3" w:themeFill="accent1" w:themeFillTint="33"/>
          </w:tcPr>
          <w:p w14:paraId="05D0A628" w14:textId="77777777" w:rsidR="00EF613A" w:rsidRDefault="00C11C58">
            <w:pPr>
              <w:pStyle w:val="af4"/>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HW: Section 6.4.1 in TR 38.811</w:t>
            </w:r>
          </w:p>
          <w:p w14:paraId="3082FB10" w14:textId="77777777" w:rsidR="00EF613A" w:rsidRDefault="00C11C58">
            <w:pPr>
              <w:pStyle w:val="af4"/>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QC, ZTE: Bessel function in 38.811</w:t>
            </w:r>
          </w:p>
        </w:tc>
      </w:tr>
      <w:tr w:rsidR="00EF613A" w14:paraId="6C1097F9"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4107BBA9" w14:textId="77777777" w:rsidR="00EF613A" w:rsidRDefault="00C11C58">
            <w:pPr>
              <w:rPr>
                <w:rFonts w:ascii="Arial" w:hAnsi="Arial"/>
                <w:b w:val="0"/>
                <w:bCs w:val="0"/>
                <w:sz w:val="18"/>
              </w:rPr>
            </w:pPr>
            <w:r>
              <w:rPr>
                <w:rFonts w:ascii="Arial" w:hAnsi="Arial"/>
                <w:sz w:val="18"/>
              </w:rPr>
              <w:t>Satellite antenna polarization configuration</w:t>
            </w:r>
          </w:p>
        </w:tc>
        <w:tc>
          <w:tcPr>
            <w:tcW w:w="11583" w:type="dxa"/>
          </w:tcPr>
          <w:p w14:paraId="60B71E41" w14:textId="77777777" w:rsidR="00EF613A" w:rsidRDefault="00C11C58">
            <w:pPr>
              <w:pStyle w:val="af4"/>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HW, ZTE, QC: Circular</w:t>
            </w:r>
          </w:p>
        </w:tc>
      </w:tr>
      <w:tr w:rsidR="00EF613A" w14:paraId="3AA536A5"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53A32F08" w14:textId="77777777" w:rsidR="00EF613A" w:rsidRDefault="00C11C58">
            <w:pPr>
              <w:rPr>
                <w:rFonts w:ascii="Arial" w:hAnsi="Arial"/>
                <w:b w:val="0"/>
                <w:bCs w:val="0"/>
                <w:sz w:val="18"/>
              </w:rPr>
            </w:pPr>
            <w:r>
              <w:rPr>
                <w:rFonts w:ascii="Arial" w:hAnsi="Arial"/>
                <w:sz w:val="18"/>
              </w:rPr>
              <w:t>Central beam elevation</w:t>
            </w:r>
          </w:p>
        </w:tc>
        <w:tc>
          <w:tcPr>
            <w:tcW w:w="11583" w:type="dxa"/>
            <w:shd w:val="clear" w:color="auto" w:fill="D9E2F3" w:themeFill="accent1" w:themeFillTint="33"/>
          </w:tcPr>
          <w:p w14:paraId="36501E3F" w14:textId="77777777" w:rsidR="00EF613A" w:rsidRDefault="00C11C58">
            <w:pPr>
              <w:pStyle w:val="af4"/>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HW: 90 degrees</w:t>
            </w:r>
          </w:p>
        </w:tc>
      </w:tr>
      <w:tr w:rsidR="00EF613A" w14:paraId="50E9C35F"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6F2E3706" w14:textId="77777777" w:rsidR="00EF613A" w:rsidRDefault="00C11C58">
            <w:pPr>
              <w:rPr>
                <w:rFonts w:ascii="Arial" w:hAnsi="Arial"/>
                <w:b w:val="0"/>
                <w:bCs w:val="0"/>
                <w:sz w:val="18"/>
              </w:rPr>
            </w:pPr>
            <w:r>
              <w:rPr>
                <w:rFonts w:ascii="Arial" w:hAnsi="Arial"/>
                <w:sz w:val="18"/>
              </w:rPr>
              <w:lastRenderedPageBreak/>
              <w:t>Beam layout definition and wrap-around</w:t>
            </w:r>
          </w:p>
        </w:tc>
        <w:tc>
          <w:tcPr>
            <w:tcW w:w="11583" w:type="dxa"/>
          </w:tcPr>
          <w:p w14:paraId="5B01CE46" w14:textId="77777777" w:rsidR="00EF613A" w:rsidRDefault="00C11C58">
            <w:pPr>
              <w:pStyle w:val="af4"/>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ZTE: Hexagonal pattern, 19 inner beams,</w:t>
            </w:r>
          </w:p>
          <w:p w14:paraId="6F533F40" w14:textId="77777777" w:rsidR="00EF613A" w:rsidRDefault="00C11C58">
            <w:pPr>
              <w:pStyle w:val="af4"/>
              <w:numPr>
                <w:ilvl w:val="1"/>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Total beams: 61 beams for FRF=1,</w:t>
            </w:r>
          </w:p>
          <w:p w14:paraId="67AE62B3" w14:textId="77777777" w:rsidR="00EF613A" w:rsidRDefault="00C11C58">
            <w:pPr>
              <w:pStyle w:val="af4"/>
              <w:numPr>
                <w:ilvl w:val="1"/>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127 beams for FRF=3.</w:t>
            </w:r>
          </w:p>
          <w:p w14:paraId="280D4EF6" w14:textId="77777777" w:rsidR="00EF613A" w:rsidRDefault="00C11C58">
            <w:pPr>
              <w:pStyle w:val="af4"/>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HW: 6.1.1.1 of TR 38.821</w:t>
            </w:r>
          </w:p>
          <w:p w14:paraId="219AF65B" w14:textId="77777777" w:rsidR="00EF613A" w:rsidRDefault="00C11C58">
            <w:pPr>
              <w:pStyle w:val="af4"/>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QC: Table 6.1.1.1-4 of 38.821</w:t>
            </w:r>
          </w:p>
        </w:tc>
      </w:tr>
      <w:tr w:rsidR="00EF613A" w14:paraId="45B9D26C"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32F8E3D6" w14:textId="77777777" w:rsidR="00EF613A" w:rsidRDefault="00C11C58">
            <w:pPr>
              <w:rPr>
                <w:rFonts w:ascii="Arial" w:hAnsi="Arial"/>
                <w:b w:val="0"/>
                <w:bCs w:val="0"/>
                <w:sz w:val="18"/>
              </w:rPr>
            </w:pPr>
            <w:r>
              <w:rPr>
                <w:rFonts w:ascii="Arial" w:hAnsi="Arial"/>
                <w:sz w:val="18"/>
              </w:rPr>
              <w:t>Frequency re-use factor</w:t>
            </w:r>
          </w:p>
        </w:tc>
        <w:tc>
          <w:tcPr>
            <w:tcW w:w="11583" w:type="dxa"/>
            <w:shd w:val="clear" w:color="auto" w:fill="D9E2F3" w:themeFill="accent1" w:themeFillTint="33"/>
          </w:tcPr>
          <w:p w14:paraId="114957CB" w14:textId="77777777" w:rsidR="00EF613A" w:rsidRDefault="00C11C58">
            <w:pPr>
              <w:pStyle w:val="af4"/>
              <w:numPr>
                <w:ilvl w:val="0"/>
                <w:numId w:val="8"/>
              </w:num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eastAsia="Times New Roman" w:hAnsi="Arial"/>
                <w:sz w:val="18"/>
              </w:rPr>
              <w:t>HW, ZTE, QC: 1 or 3</w:t>
            </w:r>
          </w:p>
        </w:tc>
      </w:tr>
      <w:tr w:rsidR="00EF613A" w14:paraId="5F72026B"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04CA649C" w14:textId="77777777" w:rsidR="00EF613A" w:rsidRDefault="00C11C58">
            <w:pPr>
              <w:rPr>
                <w:rFonts w:ascii="Arial" w:hAnsi="Arial"/>
                <w:b w:val="0"/>
                <w:bCs w:val="0"/>
                <w:sz w:val="18"/>
              </w:rPr>
            </w:pPr>
            <w:r>
              <w:rPr>
                <w:rFonts w:ascii="Arial" w:hAnsi="Arial"/>
                <w:sz w:val="18"/>
              </w:rPr>
              <w:t>Propagation conditions</w:t>
            </w:r>
          </w:p>
        </w:tc>
        <w:tc>
          <w:tcPr>
            <w:tcW w:w="11583" w:type="dxa"/>
          </w:tcPr>
          <w:p w14:paraId="6382734F" w14:textId="77777777" w:rsidR="00EF613A" w:rsidRDefault="00C11C58">
            <w:pPr>
              <w:pStyle w:val="af4"/>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QC: Clear Sky, Line of Sight</w:t>
            </w:r>
          </w:p>
          <w:p w14:paraId="1E8E9836" w14:textId="77777777" w:rsidR="00EF613A" w:rsidRDefault="00C11C58">
            <w:pPr>
              <w:pStyle w:val="af4"/>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proofErr w:type="spellStart"/>
            <w:r>
              <w:rPr>
                <w:rFonts w:ascii="Arial" w:eastAsia="Times New Roman" w:hAnsi="Arial"/>
                <w:sz w:val="18"/>
              </w:rPr>
              <w:t>Nk</w:t>
            </w:r>
            <w:proofErr w:type="spellEnd"/>
            <w:r>
              <w:rPr>
                <w:rFonts w:ascii="Arial" w:eastAsia="Times New Roman" w:hAnsi="Arial"/>
                <w:sz w:val="18"/>
              </w:rPr>
              <w:t>: RAN1 to discuss if we can assume 100% LOS</w:t>
            </w:r>
          </w:p>
        </w:tc>
      </w:tr>
      <w:tr w:rsidR="00EF613A" w14:paraId="5EFFEAF8"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33D3A28E" w14:textId="77777777" w:rsidR="00EF613A" w:rsidRDefault="00C11C58">
            <w:pPr>
              <w:rPr>
                <w:rFonts w:ascii="Arial" w:hAnsi="Arial"/>
                <w:b w:val="0"/>
                <w:bCs w:val="0"/>
                <w:sz w:val="18"/>
              </w:rPr>
            </w:pPr>
            <w:r>
              <w:rPr>
                <w:rFonts w:ascii="Arial" w:hAnsi="Arial"/>
                <w:sz w:val="18"/>
              </w:rPr>
              <w:t>Channel model</w:t>
            </w:r>
          </w:p>
        </w:tc>
        <w:tc>
          <w:tcPr>
            <w:tcW w:w="11583" w:type="dxa"/>
            <w:shd w:val="clear" w:color="auto" w:fill="D9E2F3" w:themeFill="accent1" w:themeFillTint="33"/>
          </w:tcPr>
          <w:p w14:paraId="590FF9B3" w14:textId="77777777" w:rsidR="00EF613A" w:rsidRDefault="00C11C58">
            <w:pPr>
              <w:pStyle w:val="af4"/>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QC (for SLS), Pana: Large scale model of 38.811</w:t>
            </w:r>
          </w:p>
          <w:p w14:paraId="54EB393E" w14:textId="77777777" w:rsidR="00EF613A" w:rsidRDefault="00C11C58">
            <w:pPr>
              <w:pStyle w:val="af4"/>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ZTE (for LLS): NTN-CDL-C or NTN-CDL-D</w:t>
            </w:r>
          </w:p>
        </w:tc>
      </w:tr>
      <w:tr w:rsidR="00EF613A" w14:paraId="476EE256"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1AE61811" w14:textId="77777777" w:rsidR="00EF613A" w:rsidRDefault="00C11C58">
            <w:pPr>
              <w:rPr>
                <w:rFonts w:ascii="Arial" w:hAnsi="Arial"/>
                <w:b w:val="0"/>
                <w:bCs w:val="0"/>
                <w:sz w:val="18"/>
              </w:rPr>
            </w:pPr>
            <w:r>
              <w:rPr>
                <w:rFonts w:ascii="Arial" w:hAnsi="Arial"/>
                <w:sz w:val="18"/>
              </w:rPr>
              <w:t>Handover margin</w:t>
            </w:r>
          </w:p>
        </w:tc>
        <w:tc>
          <w:tcPr>
            <w:tcW w:w="11583" w:type="dxa"/>
          </w:tcPr>
          <w:p w14:paraId="08361434" w14:textId="77777777" w:rsidR="00EF613A" w:rsidRDefault="00C11C58">
            <w:pPr>
              <w:pStyle w:val="af4"/>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ZTE, Pana: 0dB</w:t>
            </w:r>
          </w:p>
          <w:p w14:paraId="1DB1C212" w14:textId="77777777" w:rsidR="00EF613A" w:rsidRDefault="00EF613A">
            <w:pPr>
              <w:pStyle w:val="af4"/>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p>
        </w:tc>
      </w:tr>
      <w:tr w:rsidR="00EF613A" w14:paraId="13E471F8"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03EDE71F" w14:textId="77777777" w:rsidR="00EF613A" w:rsidRDefault="00C11C58">
            <w:pPr>
              <w:rPr>
                <w:rFonts w:ascii="Arial" w:hAnsi="Arial"/>
                <w:b w:val="0"/>
                <w:bCs w:val="0"/>
                <w:sz w:val="18"/>
              </w:rPr>
            </w:pPr>
            <w:r>
              <w:rPr>
                <w:rFonts w:ascii="Arial" w:hAnsi="Arial"/>
                <w:sz w:val="18"/>
              </w:rPr>
              <w:t>UE attachment</w:t>
            </w:r>
          </w:p>
        </w:tc>
        <w:tc>
          <w:tcPr>
            <w:tcW w:w="11583" w:type="dxa"/>
            <w:shd w:val="clear" w:color="auto" w:fill="D9E2F3" w:themeFill="accent1" w:themeFillTint="33"/>
          </w:tcPr>
          <w:p w14:paraId="58C836A0" w14:textId="77777777" w:rsidR="00EF613A" w:rsidRDefault="00C11C58">
            <w:pPr>
              <w:pStyle w:val="af4"/>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ZTE, QC, Pana: RSRP</w:t>
            </w:r>
          </w:p>
        </w:tc>
      </w:tr>
      <w:tr w:rsidR="00EF613A" w14:paraId="35416D6D"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3DF4E267" w14:textId="77777777" w:rsidR="00EF613A" w:rsidRDefault="00C11C58">
            <w:pPr>
              <w:rPr>
                <w:rFonts w:ascii="Arial" w:hAnsi="Arial"/>
                <w:b w:val="0"/>
                <w:bCs w:val="0"/>
                <w:sz w:val="18"/>
              </w:rPr>
            </w:pPr>
            <w:r>
              <w:rPr>
                <w:rFonts w:ascii="Arial" w:hAnsi="Arial"/>
                <w:sz w:val="18"/>
              </w:rPr>
              <w:t>Receiver type (for SLS)</w:t>
            </w:r>
          </w:p>
        </w:tc>
        <w:tc>
          <w:tcPr>
            <w:tcW w:w="11583" w:type="dxa"/>
          </w:tcPr>
          <w:p w14:paraId="769E62CE" w14:textId="77777777" w:rsidR="00EF613A" w:rsidRDefault="00C11C58">
            <w:pPr>
              <w:pStyle w:val="af4"/>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ZTE: MMSE-IRC</w:t>
            </w:r>
          </w:p>
        </w:tc>
      </w:tr>
      <w:tr w:rsidR="00EF613A" w14:paraId="430DD95E"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2A0FBA5A" w14:textId="77777777" w:rsidR="00EF613A" w:rsidRDefault="00C11C58">
            <w:pPr>
              <w:rPr>
                <w:rFonts w:ascii="Arial" w:hAnsi="Arial"/>
                <w:b w:val="0"/>
                <w:bCs w:val="0"/>
                <w:sz w:val="18"/>
              </w:rPr>
            </w:pPr>
            <w:r>
              <w:rPr>
                <w:rFonts w:ascii="Arial" w:hAnsi="Arial"/>
                <w:sz w:val="18"/>
              </w:rPr>
              <w:t>Channel Estimation (for SLS)</w:t>
            </w:r>
          </w:p>
        </w:tc>
        <w:tc>
          <w:tcPr>
            <w:tcW w:w="11583" w:type="dxa"/>
            <w:shd w:val="clear" w:color="auto" w:fill="D9E2F3" w:themeFill="accent1" w:themeFillTint="33"/>
          </w:tcPr>
          <w:p w14:paraId="386CDAAC" w14:textId="77777777" w:rsidR="00EF613A" w:rsidRDefault="00C11C58">
            <w:pPr>
              <w:pStyle w:val="af4"/>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ZTE: Realistic</w:t>
            </w:r>
          </w:p>
        </w:tc>
      </w:tr>
      <w:tr w:rsidR="00EF613A" w14:paraId="192B7E26"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0558BFAC" w14:textId="77777777" w:rsidR="00EF613A" w:rsidRDefault="00C11C58">
            <w:pPr>
              <w:rPr>
                <w:rFonts w:ascii="Arial" w:hAnsi="Arial"/>
                <w:b w:val="0"/>
                <w:bCs w:val="0"/>
                <w:sz w:val="18"/>
              </w:rPr>
            </w:pPr>
            <w:r>
              <w:rPr>
                <w:rFonts w:ascii="Arial" w:hAnsi="Arial"/>
                <w:sz w:val="18"/>
              </w:rPr>
              <w:t>Satellite antenna configuration</w:t>
            </w:r>
          </w:p>
        </w:tc>
        <w:tc>
          <w:tcPr>
            <w:tcW w:w="11583" w:type="dxa"/>
          </w:tcPr>
          <w:p w14:paraId="38BDD8C4" w14:textId="77777777" w:rsidR="00EF613A" w:rsidRDefault="00C11C58">
            <w:pPr>
              <w:pStyle w:val="af4"/>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ZTE: 1Tx/Rx</w:t>
            </w:r>
          </w:p>
          <w:p w14:paraId="6631A247" w14:textId="77777777" w:rsidR="00EF613A" w:rsidRDefault="00C11C58">
            <w:pPr>
              <w:pStyle w:val="af4"/>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QC: 1Tx/Rx per beam</w:t>
            </w:r>
          </w:p>
        </w:tc>
      </w:tr>
      <w:tr w:rsidR="00EF613A" w14:paraId="223B89FD"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vAlign w:val="center"/>
          </w:tcPr>
          <w:p w14:paraId="3493310D" w14:textId="77777777" w:rsidR="00EF613A" w:rsidRDefault="00C11C58">
            <w:pPr>
              <w:rPr>
                <w:rFonts w:ascii="Arial" w:hAnsi="Arial"/>
                <w:b w:val="0"/>
                <w:bCs w:val="0"/>
                <w:sz w:val="18"/>
              </w:rPr>
            </w:pPr>
            <w:r>
              <w:rPr>
                <w:rFonts w:ascii="Arial" w:hAnsi="Arial"/>
                <w:sz w:val="18"/>
              </w:rPr>
              <w:t>Polarization reuse</w:t>
            </w:r>
          </w:p>
        </w:tc>
        <w:tc>
          <w:tcPr>
            <w:tcW w:w="11583" w:type="dxa"/>
            <w:shd w:val="clear" w:color="auto" w:fill="D9E2F3" w:themeFill="accent1" w:themeFillTint="33"/>
            <w:vAlign w:val="center"/>
          </w:tcPr>
          <w:p w14:paraId="0DCD90E0" w14:textId="77777777" w:rsidR="00EF613A" w:rsidRDefault="00C11C58">
            <w:pPr>
              <w:pStyle w:val="af4"/>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Pana: Disabled</w:t>
            </w:r>
          </w:p>
        </w:tc>
      </w:tr>
    </w:tbl>
    <w:p w14:paraId="6129739E" w14:textId="77777777" w:rsidR="00EF613A" w:rsidRDefault="00EF613A">
      <w:pPr>
        <w:ind w:left="1988" w:hanging="1988"/>
        <w:jc w:val="both"/>
        <w:rPr>
          <w:lang w:val="en-US"/>
        </w:rPr>
      </w:pPr>
    </w:p>
    <w:p w14:paraId="0E4563E5" w14:textId="77777777" w:rsidR="00EF613A" w:rsidRDefault="00C11C58">
      <w:pPr>
        <w:jc w:val="both"/>
        <w:rPr>
          <w:lang w:val="en-US"/>
        </w:rPr>
      </w:pPr>
      <w:r>
        <w:rPr>
          <w:lang w:val="en-US"/>
        </w:rPr>
        <w:t>In view of the above, the only controversial issue seems to be how to define the propagation conditions (i.e., if we can assume 100% LOS). The rest seems to be common across companies:</w:t>
      </w:r>
    </w:p>
    <w:p w14:paraId="17160676" w14:textId="77777777" w:rsidR="00EF613A" w:rsidRDefault="00C11C58">
      <w:pPr>
        <w:ind w:left="1988" w:hanging="1988"/>
        <w:jc w:val="both"/>
        <w:rPr>
          <w:lang w:val="en-US"/>
        </w:rPr>
      </w:pPr>
      <w:r>
        <w:rPr>
          <w:b/>
          <w:bCs/>
          <w:u w:val="single"/>
        </w:rPr>
        <w:t>Proposal 2.4:</w:t>
      </w:r>
      <w:r>
        <w:rPr>
          <w:b/>
          <w:bCs/>
        </w:rPr>
        <w:t xml:space="preserve"> The following table is agreed as additional parameters for RAN1 evaluations.</w:t>
      </w:r>
    </w:p>
    <w:tbl>
      <w:tblPr>
        <w:tblStyle w:val="4-11"/>
        <w:tblW w:w="0" w:type="auto"/>
        <w:tblLook w:val="04A0" w:firstRow="1" w:lastRow="0" w:firstColumn="1" w:lastColumn="0" w:noHBand="0" w:noVBand="1"/>
      </w:tblPr>
      <w:tblGrid>
        <w:gridCol w:w="2695"/>
        <w:gridCol w:w="11583"/>
      </w:tblGrid>
      <w:tr w:rsidR="00EF613A" w14:paraId="4316DB23"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43028E2C" w14:textId="77777777" w:rsidR="00EF613A" w:rsidRDefault="00C11C58">
            <w:pPr>
              <w:rPr>
                <w:rFonts w:ascii="Arial" w:hAnsi="Arial"/>
                <w:b w:val="0"/>
                <w:bCs w:val="0"/>
                <w:sz w:val="18"/>
              </w:rPr>
            </w:pPr>
            <w:r>
              <w:rPr>
                <w:rFonts w:ascii="Arial" w:hAnsi="Arial"/>
                <w:sz w:val="18"/>
              </w:rPr>
              <w:t>Parameter</w:t>
            </w:r>
          </w:p>
        </w:tc>
        <w:tc>
          <w:tcPr>
            <w:tcW w:w="11583" w:type="dxa"/>
          </w:tcPr>
          <w:p w14:paraId="5414F564" w14:textId="77777777" w:rsidR="00EF613A" w:rsidRDefault="00C11C58">
            <w:pPr>
              <w:cnfStyle w:val="100000000000" w:firstRow="1" w:lastRow="0" w:firstColumn="0" w:lastColumn="0" w:oddVBand="0" w:evenVBand="0" w:oddHBand="0" w:evenHBand="0" w:firstRowFirstColumn="0" w:firstRowLastColumn="0" w:lastRowFirstColumn="0" w:lastRowLastColumn="0"/>
              <w:rPr>
                <w:rFonts w:ascii="Arial" w:hAnsi="Arial"/>
                <w:b w:val="0"/>
                <w:bCs w:val="0"/>
                <w:sz w:val="18"/>
              </w:rPr>
            </w:pPr>
            <w:r>
              <w:rPr>
                <w:rFonts w:ascii="Arial" w:hAnsi="Arial"/>
                <w:sz w:val="18"/>
              </w:rPr>
              <w:t>Input</w:t>
            </w:r>
          </w:p>
        </w:tc>
      </w:tr>
      <w:tr w:rsidR="00EF613A" w14:paraId="08F6A231"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5EE1B770" w14:textId="77777777" w:rsidR="00EF613A" w:rsidRDefault="00C11C58">
            <w:pPr>
              <w:rPr>
                <w:rFonts w:ascii="Arial" w:hAnsi="Arial"/>
                <w:b w:val="0"/>
                <w:bCs w:val="0"/>
                <w:sz w:val="18"/>
              </w:rPr>
            </w:pPr>
            <w:r>
              <w:rPr>
                <w:rFonts w:ascii="Arial" w:hAnsi="Arial"/>
                <w:sz w:val="18"/>
              </w:rPr>
              <w:t>Satellite antenna pattern</w:t>
            </w:r>
          </w:p>
        </w:tc>
        <w:tc>
          <w:tcPr>
            <w:tcW w:w="11583" w:type="dxa"/>
            <w:shd w:val="clear" w:color="auto" w:fill="D9E2F3" w:themeFill="accent1" w:themeFillTint="33"/>
          </w:tcPr>
          <w:p w14:paraId="144728D8"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Bessel function as in Section 6.4.1 in TR 38.811</w:t>
            </w:r>
          </w:p>
        </w:tc>
      </w:tr>
      <w:tr w:rsidR="00EF613A" w14:paraId="5083C3B5"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78B8DC5B" w14:textId="77777777" w:rsidR="00EF613A" w:rsidRDefault="00C11C58">
            <w:pPr>
              <w:rPr>
                <w:rFonts w:ascii="Arial" w:hAnsi="Arial"/>
                <w:b w:val="0"/>
                <w:bCs w:val="0"/>
                <w:sz w:val="18"/>
              </w:rPr>
            </w:pPr>
            <w:r>
              <w:rPr>
                <w:rFonts w:ascii="Arial" w:hAnsi="Arial"/>
                <w:sz w:val="18"/>
              </w:rPr>
              <w:t>Satellite antenna polarization configuration</w:t>
            </w:r>
          </w:p>
        </w:tc>
        <w:tc>
          <w:tcPr>
            <w:tcW w:w="11583" w:type="dxa"/>
          </w:tcPr>
          <w:p w14:paraId="66EA95DA"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Circular</w:t>
            </w:r>
          </w:p>
        </w:tc>
      </w:tr>
      <w:tr w:rsidR="00EF613A" w14:paraId="21ED9213"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69F7C5BA" w14:textId="77777777" w:rsidR="00EF613A" w:rsidRDefault="00C11C58">
            <w:pPr>
              <w:rPr>
                <w:rFonts w:ascii="Arial" w:hAnsi="Arial"/>
                <w:b w:val="0"/>
                <w:bCs w:val="0"/>
                <w:sz w:val="18"/>
              </w:rPr>
            </w:pPr>
            <w:r>
              <w:rPr>
                <w:rFonts w:ascii="Arial" w:hAnsi="Arial"/>
                <w:sz w:val="18"/>
              </w:rPr>
              <w:lastRenderedPageBreak/>
              <w:t>Central beam elevation</w:t>
            </w:r>
          </w:p>
        </w:tc>
        <w:tc>
          <w:tcPr>
            <w:tcW w:w="11583" w:type="dxa"/>
            <w:shd w:val="clear" w:color="auto" w:fill="D9E2F3" w:themeFill="accent1" w:themeFillTint="33"/>
          </w:tcPr>
          <w:p w14:paraId="61695BA4"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90 degrees</w:t>
            </w:r>
          </w:p>
        </w:tc>
      </w:tr>
      <w:tr w:rsidR="00EF613A" w14:paraId="525BCC4A"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3209A12B" w14:textId="77777777" w:rsidR="00EF613A" w:rsidRDefault="00C11C58">
            <w:pPr>
              <w:rPr>
                <w:rFonts w:ascii="Arial" w:hAnsi="Arial"/>
                <w:b w:val="0"/>
                <w:bCs w:val="0"/>
                <w:sz w:val="18"/>
              </w:rPr>
            </w:pPr>
            <w:r>
              <w:rPr>
                <w:rFonts w:ascii="Arial" w:hAnsi="Arial"/>
                <w:sz w:val="18"/>
              </w:rPr>
              <w:t>Beam layout definition and wrap-around</w:t>
            </w:r>
          </w:p>
        </w:tc>
        <w:tc>
          <w:tcPr>
            <w:tcW w:w="11583" w:type="dxa"/>
          </w:tcPr>
          <w:p w14:paraId="3678C64A"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As described in 6.1.1.1 of TR 38.821</w:t>
            </w:r>
          </w:p>
        </w:tc>
      </w:tr>
      <w:tr w:rsidR="00EF613A" w14:paraId="4B1F0B55"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26B910B2" w14:textId="77777777" w:rsidR="00EF613A" w:rsidRDefault="00C11C58">
            <w:pPr>
              <w:rPr>
                <w:rFonts w:ascii="Arial" w:hAnsi="Arial"/>
                <w:b w:val="0"/>
                <w:bCs w:val="0"/>
                <w:sz w:val="18"/>
              </w:rPr>
            </w:pPr>
            <w:r>
              <w:rPr>
                <w:rFonts w:ascii="Arial" w:hAnsi="Arial"/>
                <w:sz w:val="18"/>
              </w:rPr>
              <w:t>Frequency re-use factor</w:t>
            </w:r>
          </w:p>
        </w:tc>
        <w:tc>
          <w:tcPr>
            <w:tcW w:w="11583" w:type="dxa"/>
            <w:shd w:val="clear" w:color="auto" w:fill="D9E2F3" w:themeFill="accent1" w:themeFillTint="33"/>
          </w:tcPr>
          <w:p w14:paraId="24C24007"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1 or 3</w:t>
            </w:r>
          </w:p>
        </w:tc>
      </w:tr>
      <w:tr w:rsidR="00EF613A" w14:paraId="37EE7251"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01029DF7" w14:textId="77777777" w:rsidR="00EF613A" w:rsidRDefault="00C11C58">
            <w:pPr>
              <w:rPr>
                <w:rFonts w:ascii="Arial" w:hAnsi="Arial"/>
                <w:b w:val="0"/>
                <w:bCs w:val="0"/>
                <w:sz w:val="18"/>
              </w:rPr>
            </w:pPr>
            <w:r>
              <w:rPr>
                <w:rFonts w:ascii="Arial" w:hAnsi="Arial"/>
                <w:sz w:val="18"/>
              </w:rPr>
              <w:t>Propagation conditions</w:t>
            </w:r>
          </w:p>
        </w:tc>
        <w:tc>
          <w:tcPr>
            <w:tcW w:w="11583" w:type="dxa"/>
          </w:tcPr>
          <w:p w14:paraId="5C72B74A"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FFS: Whether 100% LOS probability is assumed or not</w:t>
            </w:r>
          </w:p>
        </w:tc>
      </w:tr>
      <w:tr w:rsidR="00EF613A" w14:paraId="31C9B954"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51A469F6" w14:textId="77777777" w:rsidR="00EF613A" w:rsidRDefault="00C11C58">
            <w:pPr>
              <w:rPr>
                <w:rFonts w:ascii="Arial" w:hAnsi="Arial"/>
                <w:b w:val="0"/>
                <w:bCs w:val="0"/>
                <w:sz w:val="18"/>
              </w:rPr>
            </w:pPr>
            <w:r>
              <w:rPr>
                <w:rFonts w:ascii="Arial" w:hAnsi="Arial"/>
                <w:sz w:val="18"/>
              </w:rPr>
              <w:t>Large scale Channel model</w:t>
            </w:r>
          </w:p>
        </w:tc>
        <w:tc>
          <w:tcPr>
            <w:tcW w:w="11583" w:type="dxa"/>
            <w:shd w:val="clear" w:color="auto" w:fill="D9E2F3" w:themeFill="accent1" w:themeFillTint="33"/>
          </w:tcPr>
          <w:p w14:paraId="2B81E8B9"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Large scale model of 38.811</w:t>
            </w:r>
          </w:p>
        </w:tc>
      </w:tr>
      <w:tr w:rsidR="00EF613A" w14:paraId="50FEE797"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22D7A73B" w14:textId="77777777" w:rsidR="00EF613A" w:rsidRDefault="00C11C58">
            <w:pPr>
              <w:rPr>
                <w:rFonts w:ascii="Arial" w:hAnsi="Arial"/>
                <w:b w:val="0"/>
                <w:bCs w:val="0"/>
                <w:sz w:val="18"/>
              </w:rPr>
            </w:pPr>
            <w:r>
              <w:rPr>
                <w:rFonts w:ascii="Arial" w:hAnsi="Arial"/>
                <w:sz w:val="18"/>
              </w:rPr>
              <w:t>Small scale</w:t>
            </w:r>
          </w:p>
        </w:tc>
        <w:tc>
          <w:tcPr>
            <w:tcW w:w="11583" w:type="dxa"/>
          </w:tcPr>
          <w:p w14:paraId="4637427F"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TBD</w:t>
            </w:r>
          </w:p>
        </w:tc>
      </w:tr>
      <w:tr w:rsidR="00EF613A" w14:paraId="3A89E1FF"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5E076372" w14:textId="77777777" w:rsidR="00EF613A" w:rsidRDefault="00C11C58">
            <w:pPr>
              <w:rPr>
                <w:rFonts w:ascii="Arial" w:hAnsi="Arial"/>
                <w:b w:val="0"/>
                <w:bCs w:val="0"/>
                <w:sz w:val="18"/>
              </w:rPr>
            </w:pPr>
            <w:r>
              <w:rPr>
                <w:rFonts w:ascii="Arial" w:hAnsi="Arial"/>
                <w:sz w:val="18"/>
              </w:rPr>
              <w:t>Handover margin</w:t>
            </w:r>
          </w:p>
        </w:tc>
        <w:tc>
          <w:tcPr>
            <w:tcW w:w="11583" w:type="dxa"/>
            <w:shd w:val="clear" w:color="auto" w:fill="D9E2F3" w:themeFill="accent1" w:themeFillTint="33"/>
          </w:tcPr>
          <w:p w14:paraId="5C7EF337"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0dB</w:t>
            </w:r>
          </w:p>
          <w:p w14:paraId="0D4566EA" w14:textId="77777777" w:rsidR="00EF613A" w:rsidRDefault="00EF613A">
            <w:pPr>
              <w:pStyle w:val="af4"/>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p>
        </w:tc>
      </w:tr>
      <w:tr w:rsidR="00EF613A" w14:paraId="1E3811FF"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56AFB5F2" w14:textId="77777777" w:rsidR="00EF613A" w:rsidRDefault="00C11C58">
            <w:pPr>
              <w:rPr>
                <w:rFonts w:ascii="Arial" w:hAnsi="Arial"/>
                <w:b w:val="0"/>
                <w:bCs w:val="0"/>
                <w:sz w:val="18"/>
              </w:rPr>
            </w:pPr>
            <w:r>
              <w:rPr>
                <w:rFonts w:ascii="Arial" w:hAnsi="Arial"/>
                <w:sz w:val="18"/>
              </w:rPr>
              <w:t>UE attachment</w:t>
            </w:r>
          </w:p>
        </w:tc>
        <w:tc>
          <w:tcPr>
            <w:tcW w:w="11583" w:type="dxa"/>
          </w:tcPr>
          <w:p w14:paraId="2DE3FB9A"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RSRP</w:t>
            </w:r>
          </w:p>
        </w:tc>
      </w:tr>
      <w:tr w:rsidR="00EF613A" w14:paraId="0E80B655"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68172F50" w14:textId="77777777" w:rsidR="00EF613A" w:rsidRDefault="00C11C58">
            <w:pPr>
              <w:rPr>
                <w:rFonts w:ascii="Arial" w:hAnsi="Arial"/>
                <w:b w:val="0"/>
                <w:bCs w:val="0"/>
                <w:sz w:val="18"/>
              </w:rPr>
            </w:pPr>
            <w:r>
              <w:rPr>
                <w:rFonts w:ascii="Arial" w:hAnsi="Arial"/>
                <w:sz w:val="18"/>
              </w:rPr>
              <w:t>Receiver type (for SLS)</w:t>
            </w:r>
          </w:p>
        </w:tc>
        <w:tc>
          <w:tcPr>
            <w:tcW w:w="11583" w:type="dxa"/>
            <w:shd w:val="clear" w:color="auto" w:fill="D9E2F3" w:themeFill="accent1" w:themeFillTint="33"/>
          </w:tcPr>
          <w:p w14:paraId="5C7EFB6F"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MMSE-IRC</w:t>
            </w:r>
          </w:p>
        </w:tc>
      </w:tr>
      <w:tr w:rsidR="00EF613A" w14:paraId="1B7211C9"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7ADF88A8" w14:textId="77777777" w:rsidR="00EF613A" w:rsidRDefault="00C11C58">
            <w:pPr>
              <w:rPr>
                <w:rFonts w:ascii="Arial" w:hAnsi="Arial"/>
                <w:b w:val="0"/>
                <w:bCs w:val="0"/>
                <w:sz w:val="18"/>
              </w:rPr>
            </w:pPr>
            <w:r>
              <w:rPr>
                <w:rFonts w:ascii="Arial" w:hAnsi="Arial"/>
                <w:sz w:val="18"/>
              </w:rPr>
              <w:t>Channel Estimation (for SLS)</w:t>
            </w:r>
          </w:p>
        </w:tc>
        <w:tc>
          <w:tcPr>
            <w:tcW w:w="11583" w:type="dxa"/>
          </w:tcPr>
          <w:p w14:paraId="6C8A948F"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Realistic</w:t>
            </w:r>
          </w:p>
        </w:tc>
      </w:tr>
      <w:tr w:rsidR="00EF613A" w14:paraId="1E3AC0AA" w14:textId="77777777" w:rsidTr="00EF613A">
        <w:trPr>
          <w:trHeight w:val="404"/>
        </w:trPr>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02210BCA" w14:textId="77777777" w:rsidR="00EF613A" w:rsidRDefault="00C11C58">
            <w:pPr>
              <w:rPr>
                <w:rFonts w:ascii="Arial" w:hAnsi="Arial"/>
                <w:b w:val="0"/>
                <w:bCs w:val="0"/>
                <w:sz w:val="18"/>
              </w:rPr>
            </w:pPr>
            <w:r>
              <w:rPr>
                <w:rFonts w:ascii="Arial" w:hAnsi="Arial"/>
                <w:sz w:val="18"/>
              </w:rPr>
              <w:t>Satellite antenna configuration</w:t>
            </w:r>
          </w:p>
        </w:tc>
        <w:tc>
          <w:tcPr>
            <w:tcW w:w="11583" w:type="dxa"/>
            <w:shd w:val="clear" w:color="auto" w:fill="D9E2F3" w:themeFill="accent1" w:themeFillTint="33"/>
          </w:tcPr>
          <w:p w14:paraId="48CDE799"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1Rx / 1Tx per beam</w:t>
            </w:r>
          </w:p>
        </w:tc>
      </w:tr>
      <w:tr w:rsidR="00EF613A" w14:paraId="18CF9AAC" w14:textId="77777777" w:rsidTr="00EF613A">
        <w:trPr>
          <w:trHeight w:val="404"/>
        </w:trPr>
        <w:tc>
          <w:tcPr>
            <w:cnfStyle w:val="001000000000" w:firstRow="0" w:lastRow="0" w:firstColumn="1" w:lastColumn="0" w:oddVBand="0" w:evenVBand="0" w:oddHBand="0" w:evenHBand="0" w:firstRowFirstColumn="0" w:firstRowLastColumn="0" w:lastRowFirstColumn="0" w:lastRowLastColumn="0"/>
            <w:tcW w:w="2695" w:type="dxa"/>
            <w:vAlign w:val="center"/>
          </w:tcPr>
          <w:p w14:paraId="4EFDE956" w14:textId="77777777" w:rsidR="00EF613A" w:rsidRDefault="00C11C58">
            <w:pPr>
              <w:rPr>
                <w:rFonts w:ascii="Arial" w:hAnsi="Arial"/>
                <w:b w:val="0"/>
                <w:bCs w:val="0"/>
                <w:sz w:val="18"/>
              </w:rPr>
            </w:pPr>
            <w:r>
              <w:rPr>
                <w:rFonts w:ascii="Arial" w:hAnsi="Arial"/>
                <w:sz w:val="18"/>
              </w:rPr>
              <w:t>Polarization reuse</w:t>
            </w:r>
          </w:p>
        </w:tc>
        <w:tc>
          <w:tcPr>
            <w:tcW w:w="11583" w:type="dxa"/>
            <w:vAlign w:val="center"/>
          </w:tcPr>
          <w:p w14:paraId="7DED6F31"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Disabled</w:t>
            </w:r>
          </w:p>
        </w:tc>
      </w:tr>
    </w:tbl>
    <w:p w14:paraId="6F6D734D" w14:textId="77777777" w:rsidR="00EF613A" w:rsidRDefault="00EF613A">
      <w:pPr>
        <w:ind w:left="1988" w:hanging="1988"/>
        <w:jc w:val="both"/>
      </w:pPr>
    </w:p>
    <w:p w14:paraId="54ED415D" w14:textId="77777777" w:rsidR="00EF613A" w:rsidRDefault="00C11C58">
      <w:pPr>
        <w:pStyle w:val="2"/>
      </w:pPr>
      <w:r>
        <w:t>Q2.2: Please provide comments on proposals 2.3 and 2.4</w:t>
      </w:r>
    </w:p>
    <w:p w14:paraId="2CF1784F" w14:textId="77777777" w:rsidR="00EF613A" w:rsidRDefault="00EF613A">
      <w:pPr>
        <w:rPr>
          <w:b/>
          <w:bCs/>
        </w:rPr>
      </w:pPr>
    </w:p>
    <w:tbl>
      <w:tblPr>
        <w:tblStyle w:val="4-11"/>
        <w:tblW w:w="0" w:type="auto"/>
        <w:tblLook w:val="04A0" w:firstRow="1" w:lastRow="0" w:firstColumn="1" w:lastColumn="0" w:noHBand="0" w:noVBand="1"/>
      </w:tblPr>
      <w:tblGrid>
        <w:gridCol w:w="1586"/>
        <w:gridCol w:w="12692"/>
      </w:tblGrid>
      <w:tr w:rsidR="00EF613A" w14:paraId="6F4B2C93"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6" w:type="dxa"/>
          </w:tcPr>
          <w:p w14:paraId="46A13B47" w14:textId="77777777" w:rsidR="00EF613A" w:rsidRDefault="00C11C58">
            <w:pPr>
              <w:rPr>
                <w:b w:val="0"/>
                <w:bCs w:val="0"/>
              </w:rPr>
            </w:pPr>
            <w:r>
              <w:t>Company</w:t>
            </w:r>
          </w:p>
        </w:tc>
        <w:tc>
          <w:tcPr>
            <w:tcW w:w="12692" w:type="dxa"/>
          </w:tcPr>
          <w:p w14:paraId="326BDEB2"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7B0C1231" w14:textId="77777777" w:rsidTr="00EF613A">
        <w:tc>
          <w:tcPr>
            <w:cnfStyle w:val="001000000000" w:firstRow="0" w:lastRow="0" w:firstColumn="1" w:lastColumn="0" w:oddVBand="0" w:evenVBand="0" w:oddHBand="0" w:evenHBand="0" w:firstRowFirstColumn="0" w:firstRowLastColumn="0" w:lastRowFirstColumn="0" w:lastRowLastColumn="0"/>
            <w:tcW w:w="1586" w:type="dxa"/>
            <w:shd w:val="clear" w:color="auto" w:fill="D9E2F3" w:themeFill="accent1" w:themeFillTint="33"/>
          </w:tcPr>
          <w:p w14:paraId="31FA0268" w14:textId="77777777" w:rsidR="00EF613A" w:rsidRDefault="00C11C58">
            <w:pPr>
              <w:rPr>
                <w:rFonts w:eastAsia="SimSun"/>
                <w:b w:val="0"/>
                <w:bCs w:val="0"/>
                <w:lang w:val="en-US" w:eastAsia="zh-CN"/>
              </w:rPr>
            </w:pPr>
            <w:r>
              <w:rPr>
                <w:rFonts w:eastAsia="SimSun" w:hint="eastAsia"/>
                <w:lang w:val="en-US" w:eastAsia="zh-CN"/>
              </w:rPr>
              <w:t>ZTE</w:t>
            </w:r>
          </w:p>
        </w:tc>
        <w:tc>
          <w:tcPr>
            <w:tcW w:w="12692" w:type="dxa"/>
            <w:shd w:val="clear" w:color="auto" w:fill="D9E2F3" w:themeFill="accent1" w:themeFillTint="33"/>
          </w:tcPr>
          <w:p w14:paraId="62552F2D" w14:textId="1D82A86A" w:rsidR="00C11C58"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Agree 2.3</w:t>
            </w:r>
            <w:r>
              <w:rPr>
                <w:rFonts w:eastAsia="SimSun"/>
                <w:lang w:val="en-US" w:eastAsia="zh-CN"/>
              </w:rPr>
              <w:t xml:space="preserve"> to take it as baseline.</w:t>
            </w:r>
          </w:p>
          <w:p w14:paraId="6DB64BA3"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For 2.4</w:t>
            </w:r>
            <w:proofErr w:type="gramStart"/>
            <w:r>
              <w:rPr>
                <w:rFonts w:eastAsia="SimSun" w:hint="eastAsia"/>
                <w:lang w:val="en-US" w:eastAsia="zh-CN"/>
              </w:rPr>
              <w:t xml:space="preserve">, </w:t>
            </w:r>
            <w:r>
              <w:rPr>
                <w:rFonts w:eastAsia="SimSun"/>
                <w:lang w:val="en-US" w:eastAsia="zh-CN"/>
              </w:rPr>
              <w:t xml:space="preserve"> we</w:t>
            </w:r>
            <w:proofErr w:type="gramEnd"/>
            <w:r>
              <w:rPr>
                <w:rFonts w:eastAsia="SimSun"/>
                <w:lang w:val="en-US" w:eastAsia="zh-CN"/>
              </w:rPr>
              <w:t xml:space="preserve"> are fine to take central beam evaluation as 90 degree. </w:t>
            </w:r>
          </w:p>
          <w:p w14:paraId="5F3B251F" w14:textId="00A8F188" w:rsidR="00C11C58"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Regarding the channel condition, </w:t>
            </w:r>
            <w:r>
              <w:rPr>
                <w:rFonts w:eastAsia="SimSun" w:hint="eastAsia"/>
                <w:lang w:val="en-US" w:eastAsia="zh-CN"/>
              </w:rPr>
              <w:t>since</w:t>
            </w:r>
            <w:r>
              <w:rPr>
                <w:rFonts w:eastAsia="SimSun"/>
                <w:lang w:val="en-US" w:eastAsia="zh-CN"/>
              </w:rPr>
              <w:t xml:space="preserve"> in the link budget analysis, we only focus on the </w:t>
            </w:r>
            <w:proofErr w:type="spellStart"/>
            <w:r>
              <w:rPr>
                <w:rFonts w:eastAsia="SimSun"/>
                <w:lang w:val="en-US" w:eastAsia="zh-CN"/>
              </w:rPr>
              <w:t>LoS</w:t>
            </w:r>
            <w:proofErr w:type="spellEnd"/>
            <w:r>
              <w:rPr>
                <w:rFonts w:eastAsia="SimSun"/>
                <w:lang w:val="en-US" w:eastAsia="zh-CN"/>
              </w:rPr>
              <w:t xml:space="preserve"> case for both NR and IoT. So, it’s straightforward to take it as baseline, which is also similar</w:t>
            </w:r>
            <w:r w:rsidR="003231F2">
              <w:rPr>
                <w:rFonts w:eastAsia="SimSun"/>
                <w:lang w:val="en-US" w:eastAsia="zh-CN"/>
              </w:rPr>
              <w:t>/</w:t>
            </w:r>
            <w:r w:rsidR="003231F2">
              <w:rPr>
                <w:rFonts w:eastAsia="SimSun" w:hint="eastAsia"/>
                <w:lang w:val="en-US" w:eastAsia="zh-CN"/>
              </w:rPr>
              <w:t>proximity</w:t>
            </w:r>
            <w:r w:rsidR="003231F2">
              <w:rPr>
                <w:rFonts w:eastAsia="SimSun"/>
                <w:lang w:val="en-US" w:eastAsia="zh-CN"/>
              </w:rPr>
              <w:t xml:space="preserve"> to the rural case.</w:t>
            </w:r>
          </w:p>
        </w:tc>
      </w:tr>
      <w:tr w:rsidR="009656D7" w14:paraId="60E3355D" w14:textId="77777777" w:rsidTr="00EF613A">
        <w:tc>
          <w:tcPr>
            <w:cnfStyle w:val="001000000000" w:firstRow="0" w:lastRow="0" w:firstColumn="1" w:lastColumn="0" w:oddVBand="0" w:evenVBand="0" w:oddHBand="0" w:evenHBand="0" w:firstRowFirstColumn="0" w:firstRowLastColumn="0" w:lastRowFirstColumn="0" w:lastRowLastColumn="0"/>
            <w:tcW w:w="1586" w:type="dxa"/>
            <w:shd w:val="clear" w:color="auto" w:fill="D9E2F3" w:themeFill="accent1" w:themeFillTint="33"/>
          </w:tcPr>
          <w:p w14:paraId="5F3821D2" w14:textId="109F8C8C" w:rsidR="009656D7" w:rsidRDefault="009656D7">
            <w:pPr>
              <w:rPr>
                <w:rFonts w:eastAsia="SimSun"/>
                <w:lang w:val="en-US" w:eastAsia="zh-CN"/>
              </w:rPr>
            </w:pPr>
            <w:r>
              <w:rPr>
                <w:rFonts w:eastAsia="SimSun"/>
                <w:lang w:val="en-US" w:eastAsia="zh-CN"/>
              </w:rPr>
              <w:lastRenderedPageBreak/>
              <w:t>MediaTek</w:t>
            </w:r>
          </w:p>
        </w:tc>
        <w:tc>
          <w:tcPr>
            <w:tcW w:w="12692" w:type="dxa"/>
            <w:shd w:val="clear" w:color="auto" w:fill="D9E2F3" w:themeFill="accent1" w:themeFillTint="33"/>
          </w:tcPr>
          <w:p w14:paraId="429B8B72" w14:textId="136227B3" w:rsidR="009656D7" w:rsidRDefault="00F43E2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Most of</w:t>
            </w:r>
            <w:r w:rsidR="009656D7">
              <w:rPr>
                <w:rFonts w:eastAsia="SimSun"/>
                <w:lang w:val="en-US" w:eastAsia="zh-CN"/>
              </w:rPr>
              <w:t xml:space="preserve"> Proposal 2.3</w:t>
            </w:r>
            <w:r>
              <w:rPr>
                <w:rFonts w:eastAsia="SimSun"/>
                <w:lang w:val="en-US" w:eastAsia="zh-CN"/>
              </w:rPr>
              <w:t xml:space="preserve"> is fine</w:t>
            </w:r>
            <w:r w:rsidR="009656D7">
              <w:rPr>
                <w:rFonts w:eastAsia="SimSun"/>
                <w:lang w:val="en-US" w:eastAsia="zh-CN"/>
              </w:rPr>
              <w:t xml:space="preserve">, </w:t>
            </w:r>
            <w:r>
              <w:rPr>
                <w:rFonts w:eastAsia="SimSun"/>
                <w:lang w:val="en-US" w:eastAsia="zh-CN"/>
              </w:rPr>
              <w:t xml:space="preserve">but </w:t>
            </w:r>
            <w:r w:rsidR="009656D7">
              <w:rPr>
                <w:rFonts w:eastAsia="SimSun"/>
                <w:lang w:val="en-US" w:eastAsia="zh-CN"/>
              </w:rPr>
              <w:t>we would like to clarify some points:</w:t>
            </w:r>
          </w:p>
          <w:p w14:paraId="76CC669F" w14:textId="2835E60A" w:rsidR="009656D7" w:rsidRDefault="009656D7" w:rsidP="00F43E28">
            <w:pPr>
              <w:pStyle w:val="af4"/>
              <w:numPr>
                <w:ilvl w:val="0"/>
                <w:numId w:val="14"/>
              </w:numPr>
              <w:cnfStyle w:val="000000000000" w:firstRow="0" w:lastRow="0" w:firstColumn="0" w:lastColumn="0" w:oddVBand="0" w:evenVBand="0" w:oddHBand="0" w:evenHBand="0" w:firstRowFirstColumn="0" w:firstRowLastColumn="0" w:lastRowFirstColumn="0" w:lastRowLastColumn="0"/>
              <w:rPr>
                <w:lang w:val="en-US" w:eastAsia="zh-CN"/>
              </w:rPr>
            </w:pPr>
            <w:r w:rsidRPr="00F43E28">
              <w:rPr>
                <w:lang w:val="en-US" w:eastAsia="zh-CN"/>
              </w:rPr>
              <w:t>Channel BW</w:t>
            </w:r>
            <w:r w:rsidR="00F43E28">
              <w:rPr>
                <w:lang w:val="en-US" w:eastAsia="zh-CN"/>
              </w:rPr>
              <w:t>:</w:t>
            </w:r>
            <w:r w:rsidRPr="00F43E28">
              <w:rPr>
                <w:lang w:val="en-US" w:eastAsia="zh-CN"/>
              </w:rPr>
              <w:t xml:space="preserve"> in IMT-2020 for Connection Density it was required to report the required bandwidth over which the density requirement is met, which for LTE was </w:t>
            </w:r>
            <w:r w:rsidR="00F43E28" w:rsidRPr="00F43E28">
              <w:rPr>
                <w:lang w:val="en-US" w:eastAsia="zh-CN"/>
              </w:rPr>
              <w:t xml:space="preserve">multiple </w:t>
            </w:r>
            <w:r w:rsidR="00F43E28">
              <w:rPr>
                <w:lang w:val="en-US" w:eastAsia="zh-CN"/>
              </w:rPr>
              <w:t xml:space="preserve">narrow </w:t>
            </w:r>
            <w:r w:rsidR="00F43E28" w:rsidRPr="00F43E28">
              <w:rPr>
                <w:lang w:val="en-US" w:eastAsia="zh-CN"/>
              </w:rPr>
              <w:t>channels</w:t>
            </w:r>
            <w:r w:rsidR="00F43E28">
              <w:rPr>
                <w:lang w:val="en-US" w:eastAsia="zh-CN"/>
              </w:rPr>
              <w:t xml:space="preserve"> to create the capacity, so 30MHz would be an upper bound in that sense</w:t>
            </w:r>
            <w:r w:rsidRPr="00F43E28">
              <w:rPr>
                <w:lang w:val="en-US" w:eastAsia="zh-CN"/>
              </w:rPr>
              <w:t>.</w:t>
            </w:r>
            <w:r w:rsidR="00F43E28" w:rsidRPr="00F43E28">
              <w:rPr>
                <w:lang w:val="en-US" w:eastAsia="zh-CN"/>
              </w:rPr>
              <w:t xml:space="preserve"> So </w:t>
            </w:r>
            <w:r w:rsidR="00F43E28">
              <w:rPr>
                <w:lang w:val="en-US" w:eastAsia="zh-CN"/>
              </w:rPr>
              <w:t>we would like</w:t>
            </w:r>
            <w:r w:rsidR="00F43E28" w:rsidRPr="00F43E28">
              <w:rPr>
                <w:lang w:val="en-US" w:eastAsia="zh-CN"/>
              </w:rPr>
              <w:t xml:space="preserve"> to clarify that</w:t>
            </w:r>
            <w:r w:rsidR="00F43E28">
              <w:rPr>
                <w:lang w:val="en-US" w:eastAsia="zh-CN"/>
              </w:rPr>
              <w:t xml:space="preserve"> we take the same approach here for IoT NTN, as highlighted in our paper.</w:t>
            </w:r>
          </w:p>
          <w:p w14:paraId="25512783" w14:textId="77777777" w:rsidR="00F43E28" w:rsidRDefault="00F43E28" w:rsidP="00F43E28">
            <w:pPr>
              <w:pStyle w:val="af4"/>
              <w:cnfStyle w:val="000000000000" w:firstRow="0" w:lastRow="0" w:firstColumn="0" w:lastColumn="0" w:oddVBand="0" w:evenVBand="0" w:oddHBand="0" w:evenHBand="0" w:firstRowFirstColumn="0" w:firstRowLastColumn="0" w:lastRowFirstColumn="0" w:lastRowLastColumn="0"/>
              <w:rPr>
                <w:lang w:val="en-US" w:eastAsia="zh-CN"/>
              </w:rPr>
            </w:pPr>
          </w:p>
          <w:p w14:paraId="1347CE55" w14:textId="77777777" w:rsidR="00F43E28" w:rsidRDefault="00F43E28" w:rsidP="00F43E28">
            <w:pPr>
              <w:pStyle w:val="af4"/>
              <w:numPr>
                <w:ilvl w:val="0"/>
                <w:numId w:val="14"/>
              </w:numPr>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Traffic model: In IMT-2020 there was a full buffer and non-full buffer for Connection Density, and an upper bound for delivery of 10ms, but the description in the table only refers to non-full buffer. It would be good to be clear that the full buffer approach (same as IMT-2020) can be applied for Connection Density here.</w:t>
            </w:r>
          </w:p>
          <w:p w14:paraId="44C34A1A" w14:textId="77777777" w:rsidR="00F43E28" w:rsidRPr="00F43E28" w:rsidRDefault="00F43E28" w:rsidP="00F43E28">
            <w:pPr>
              <w:pStyle w:val="af4"/>
              <w:cnfStyle w:val="000000000000" w:firstRow="0" w:lastRow="0" w:firstColumn="0" w:lastColumn="0" w:oddVBand="0" w:evenVBand="0" w:oddHBand="0" w:evenHBand="0" w:firstRowFirstColumn="0" w:firstRowLastColumn="0" w:lastRowFirstColumn="0" w:lastRowLastColumn="0"/>
              <w:rPr>
                <w:lang w:val="en-US" w:eastAsia="zh-CN"/>
              </w:rPr>
            </w:pPr>
          </w:p>
          <w:p w14:paraId="0718453A" w14:textId="77777777" w:rsidR="00F43E28" w:rsidRDefault="00F43E28" w:rsidP="00F43E28">
            <w:pPr>
              <w:pStyle w:val="af4"/>
              <w:numPr>
                <w:ilvl w:val="0"/>
                <w:numId w:val="14"/>
              </w:numPr>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Terminal Types: For IoT NTN it would be 1 Tx/Rx antenna so no polarization.</w:t>
            </w:r>
          </w:p>
          <w:p w14:paraId="49248774" w14:textId="77777777" w:rsidR="00F43E28" w:rsidRPr="00F43E28" w:rsidRDefault="00F43E28" w:rsidP="00F43E28">
            <w:pPr>
              <w:pStyle w:val="af4"/>
              <w:cnfStyle w:val="000000000000" w:firstRow="0" w:lastRow="0" w:firstColumn="0" w:lastColumn="0" w:oddVBand="0" w:evenVBand="0" w:oddHBand="0" w:evenHBand="0" w:firstRowFirstColumn="0" w:firstRowLastColumn="0" w:lastRowFirstColumn="0" w:lastRowLastColumn="0"/>
              <w:rPr>
                <w:lang w:val="en-US" w:eastAsia="zh-CN"/>
              </w:rPr>
            </w:pPr>
          </w:p>
          <w:p w14:paraId="45B08B4B" w14:textId="77777777" w:rsidR="00F43E28" w:rsidRDefault="00AF69F0" w:rsidP="00F43E2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Proposal 2.4 generally fine. A few points:</w:t>
            </w:r>
          </w:p>
          <w:p w14:paraId="23EBE641" w14:textId="3EE389A9" w:rsidR="00AF69F0" w:rsidRDefault="00DB5274" w:rsidP="00AF69F0">
            <w:pPr>
              <w:pStyle w:val="af4"/>
              <w:numPr>
                <w:ilvl w:val="0"/>
                <w:numId w:val="14"/>
              </w:numPr>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 xml:space="preserve">FRF: </w:t>
            </w:r>
            <w:r w:rsidR="00AF69F0">
              <w:rPr>
                <w:lang w:val="en-US" w:eastAsia="zh-CN"/>
              </w:rPr>
              <w:t>Is the intention that each company selects FRF=1 or FRF=3? We would be fine to select FRF=1 as baseline.</w:t>
            </w:r>
          </w:p>
          <w:p w14:paraId="3A24DD54" w14:textId="77777777" w:rsidR="00DB5274" w:rsidRDefault="00DB5274" w:rsidP="00DB5274">
            <w:pPr>
              <w:pStyle w:val="af4"/>
              <w:cnfStyle w:val="000000000000" w:firstRow="0" w:lastRow="0" w:firstColumn="0" w:lastColumn="0" w:oddVBand="0" w:evenVBand="0" w:oddHBand="0" w:evenHBand="0" w:firstRowFirstColumn="0" w:firstRowLastColumn="0" w:lastRowFirstColumn="0" w:lastRowLastColumn="0"/>
              <w:rPr>
                <w:lang w:val="en-US" w:eastAsia="zh-CN"/>
              </w:rPr>
            </w:pPr>
          </w:p>
          <w:p w14:paraId="7BB3A27C" w14:textId="1FD2A06D" w:rsidR="00DB5274" w:rsidRDefault="00DB5274" w:rsidP="00DB5274">
            <w:pPr>
              <w:pStyle w:val="af4"/>
              <w:numPr>
                <w:ilvl w:val="0"/>
                <w:numId w:val="14"/>
              </w:numPr>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Propagation conditions: Regarding LOS only, while NLOS may lower the results in rural environment somewhat, we do not expect a huge difference, so LOS-only may be ok.</w:t>
            </w:r>
          </w:p>
          <w:p w14:paraId="4ED5F15E" w14:textId="77777777" w:rsidR="00DB5274" w:rsidRPr="00DB5274" w:rsidRDefault="00DB5274" w:rsidP="00DB5274">
            <w:pPr>
              <w:pStyle w:val="af4"/>
              <w:cnfStyle w:val="000000000000" w:firstRow="0" w:lastRow="0" w:firstColumn="0" w:lastColumn="0" w:oddVBand="0" w:evenVBand="0" w:oddHBand="0" w:evenHBand="0" w:firstRowFirstColumn="0" w:firstRowLastColumn="0" w:lastRowFirstColumn="0" w:lastRowLastColumn="0"/>
              <w:rPr>
                <w:lang w:val="en-US" w:eastAsia="zh-CN"/>
              </w:rPr>
            </w:pPr>
          </w:p>
          <w:p w14:paraId="07764FE2" w14:textId="0D9ACFA2" w:rsidR="00AF69F0" w:rsidRPr="00DB5274" w:rsidRDefault="00AF69F0" w:rsidP="00DB5274">
            <w:pPr>
              <w:pStyle w:val="af4"/>
              <w:numPr>
                <w:ilvl w:val="0"/>
                <w:numId w:val="14"/>
              </w:numPr>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 xml:space="preserve">Channel model: At least for IoT NTN, as narrowband and SISO, we tend to believe just </w:t>
            </w:r>
            <w:r w:rsidR="00DB5274">
              <w:rPr>
                <w:lang w:val="en-US" w:eastAsia="zh-CN"/>
              </w:rPr>
              <w:t>“</w:t>
            </w:r>
            <w:r>
              <w:rPr>
                <w:lang w:val="en-US" w:eastAsia="zh-CN"/>
              </w:rPr>
              <w:t>large-scale</w:t>
            </w:r>
            <w:r w:rsidR="00DB5274">
              <w:rPr>
                <w:lang w:val="en-US" w:eastAsia="zh-CN"/>
              </w:rPr>
              <w:t>”</w:t>
            </w:r>
            <w:r>
              <w:rPr>
                <w:lang w:val="en-US" w:eastAsia="zh-CN"/>
              </w:rPr>
              <w:t xml:space="preserve"> modelling would be sufficient for SLS, </w:t>
            </w:r>
            <w:r w:rsidR="00DB5274">
              <w:rPr>
                <w:lang w:val="en-US" w:eastAsia="zh-CN"/>
              </w:rPr>
              <w:t>and that</w:t>
            </w:r>
            <w:r>
              <w:rPr>
                <w:lang w:val="en-US" w:eastAsia="zh-CN"/>
              </w:rPr>
              <w:t xml:space="preserve"> model</w:t>
            </w:r>
            <w:r w:rsidR="00DB5274">
              <w:rPr>
                <w:lang w:val="en-US" w:eastAsia="zh-CN"/>
              </w:rPr>
              <w:t>ling</w:t>
            </w:r>
            <w:r>
              <w:rPr>
                <w:lang w:val="en-US" w:eastAsia="zh-CN"/>
              </w:rPr>
              <w:t xml:space="preserve"> </w:t>
            </w:r>
            <w:r w:rsidR="00DB5274">
              <w:rPr>
                <w:lang w:val="en-US" w:eastAsia="zh-CN"/>
              </w:rPr>
              <w:t>“</w:t>
            </w:r>
            <w:r>
              <w:rPr>
                <w:lang w:val="en-US" w:eastAsia="zh-CN"/>
              </w:rPr>
              <w:t>small</w:t>
            </w:r>
            <w:r w:rsidR="00DB5274">
              <w:rPr>
                <w:lang w:val="en-US" w:eastAsia="zh-CN"/>
              </w:rPr>
              <w:t>-</w:t>
            </w:r>
            <w:r>
              <w:rPr>
                <w:lang w:val="en-US" w:eastAsia="zh-CN"/>
              </w:rPr>
              <w:t>scale</w:t>
            </w:r>
            <w:r w:rsidR="00DB5274">
              <w:rPr>
                <w:lang w:val="en-US" w:eastAsia="zh-CN"/>
              </w:rPr>
              <w:t>”</w:t>
            </w:r>
            <w:r>
              <w:rPr>
                <w:lang w:val="en-US" w:eastAsia="zh-CN"/>
              </w:rPr>
              <w:t xml:space="preserve"> </w:t>
            </w:r>
            <w:r w:rsidR="00DB5274">
              <w:rPr>
                <w:lang w:val="en-US" w:eastAsia="zh-CN"/>
              </w:rPr>
              <w:t>modelling should not be required</w:t>
            </w:r>
            <w:r>
              <w:rPr>
                <w:lang w:val="en-US" w:eastAsia="zh-CN"/>
              </w:rPr>
              <w:t xml:space="preserve">. </w:t>
            </w:r>
          </w:p>
        </w:tc>
      </w:tr>
      <w:tr w:rsidR="002F1988" w14:paraId="77706911" w14:textId="77777777" w:rsidTr="00EF613A">
        <w:tc>
          <w:tcPr>
            <w:cnfStyle w:val="001000000000" w:firstRow="0" w:lastRow="0" w:firstColumn="1" w:lastColumn="0" w:oddVBand="0" w:evenVBand="0" w:oddHBand="0" w:evenHBand="0" w:firstRowFirstColumn="0" w:firstRowLastColumn="0" w:lastRowFirstColumn="0" w:lastRowLastColumn="0"/>
            <w:tcW w:w="1586" w:type="dxa"/>
            <w:shd w:val="clear" w:color="auto" w:fill="D9E2F3" w:themeFill="accent1" w:themeFillTint="33"/>
          </w:tcPr>
          <w:p w14:paraId="2F2066FA" w14:textId="6234ECCC" w:rsidR="002F1988" w:rsidRDefault="002F1988" w:rsidP="002F1988">
            <w:pPr>
              <w:rPr>
                <w:rFonts w:eastAsia="SimSun"/>
                <w:lang w:val="en-US" w:eastAsia="zh-CN"/>
              </w:rPr>
            </w:pPr>
            <w:r>
              <w:rPr>
                <w:rFonts w:eastAsia="Yu Mincho" w:hint="eastAsia"/>
                <w:lang w:eastAsia="ja-JP"/>
              </w:rPr>
              <w:t>P</w:t>
            </w:r>
            <w:r>
              <w:rPr>
                <w:rFonts w:eastAsia="Yu Mincho"/>
                <w:lang w:eastAsia="ja-JP"/>
              </w:rPr>
              <w:t>anasonic</w:t>
            </w:r>
          </w:p>
        </w:tc>
        <w:tc>
          <w:tcPr>
            <w:tcW w:w="12692" w:type="dxa"/>
            <w:shd w:val="clear" w:color="auto" w:fill="D9E2F3" w:themeFill="accent1" w:themeFillTint="33"/>
          </w:tcPr>
          <w:p w14:paraId="091B4D48" w14:textId="236D337D" w:rsidR="002F1988" w:rsidRDefault="002F1988" w:rsidP="002F198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Yu Mincho"/>
                <w:lang w:eastAsia="ja-JP"/>
              </w:rPr>
              <w:t xml:space="preserve">On proposal 2.3, satellite EIRP density (or transmission power) should be added. As in TR38.821, 34 </w:t>
            </w:r>
            <w:proofErr w:type="spellStart"/>
            <w:r>
              <w:rPr>
                <w:rFonts w:eastAsia="Yu Mincho"/>
                <w:lang w:eastAsia="ja-JP"/>
              </w:rPr>
              <w:t>dBW</w:t>
            </w:r>
            <w:proofErr w:type="spellEnd"/>
            <w:r>
              <w:rPr>
                <w:rFonts w:eastAsia="Yu Mincho"/>
                <w:lang w:eastAsia="ja-JP"/>
              </w:rPr>
              <w:t xml:space="preserve">/MHz for LEO-600 should be the baseline. </w:t>
            </w:r>
          </w:p>
        </w:tc>
      </w:tr>
      <w:tr w:rsidR="00C51FF9" w14:paraId="4F666B5C" w14:textId="77777777" w:rsidTr="00EF613A">
        <w:tc>
          <w:tcPr>
            <w:cnfStyle w:val="001000000000" w:firstRow="0" w:lastRow="0" w:firstColumn="1" w:lastColumn="0" w:oddVBand="0" w:evenVBand="0" w:oddHBand="0" w:evenHBand="0" w:firstRowFirstColumn="0" w:firstRowLastColumn="0" w:lastRowFirstColumn="0" w:lastRowLastColumn="0"/>
            <w:tcW w:w="1586" w:type="dxa"/>
            <w:shd w:val="clear" w:color="auto" w:fill="D9E2F3" w:themeFill="accent1" w:themeFillTint="33"/>
          </w:tcPr>
          <w:p w14:paraId="0A3740DC" w14:textId="79E75504" w:rsidR="00C51FF9" w:rsidRDefault="00C51FF9" w:rsidP="00C51FF9">
            <w:pPr>
              <w:rPr>
                <w:rFonts w:eastAsia="Yu Mincho" w:hint="eastAsia"/>
                <w:lang w:eastAsia="ja-JP"/>
              </w:rPr>
            </w:pPr>
            <w:r>
              <w:rPr>
                <w:rFonts w:eastAsia="맑은 고딕" w:hint="eastAsia"/>
                <w:lang w:eastAsia="ko-KR"/>
              </w:rPr>
              <w:t>Samsung</w:t>
            </w:r>
          </w:p>
        </w:tc>
        <w:tc>
          <w:tcPr>
            <w:tcW w:w="12692" w:type="dxa"/>
            <w:shd w:val="clear" w:color="auto" w:fill="D9E2F3" w:themeFill="accent1" w:themeFillTint="33"/>
          </w:tcPr>
          <w:p w14:paraId="04BFDBF8" w14:textId="3ECD7B59" w:rsidR="00C51FF9" w:rsidRDefault="00C51FF9" w:rsidP="00C51FF9">
            <w:p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맑은 고딕" w:hint="eastAsia"/>
                <w:lang w:eastAsia="ko-KR"/>
              </w:rPr>
              <w:t>Fine with the proposal</w:t>
            </w:r>
            <w:r>
              <w:rPr>
                <w:rFonts w:eastAsia="맑은 고딕"/>
                <w:lang w:eastAsia="ko-KR"/>
              </w:rPr>
              <w:t>s</w:t>
            </w:r>
            <w:r>
              <w:rPr>
                <w:rFonts w:eastAsia="맑은 고딕" w:hint="eastAsia"/>
                <w:lang w:eastAsia="ko-KR"/>
              </w:rPr>
              <w:t xml:space="preserve">. </w:t>
            </w:r>
          </w:p>
        </w:tc>
      </w:tr>
    </w:tbl>
    <w:p w14:paraId="1922CC47" w14:textId="77777777" w:rsidR="00EF613A" w:rsidRDefault="00EF613A">
      <w:pPr>
        <w:ind w:left="1988" w:hanging="1988"/>
        <w:jc w:val="both"/>
        <w:rPr>
          <w:lang w:val="en-US"/>
        </w:rPr>
      </w:pPr>
    </w:p>
    <w:p w14:paraId="6703779D" w14:textId="77777777" w:rsidR="00EF613A" w:rsidRDefault="00C11C58">
      <w:pPr>
        <w:pStyle w:val="1"/>
        <w:numPr>
          <w:ilvl w:val="0"/>
          <w:numId w:val="4"/>
        </w:numPr>
        <w:tabs>
          <w:tab w:val="left" w:pos="720"/>
        </w:tabs>
        <w:ind w:left="720" w:hanging="720"/>
        <w:jc w:val="both"/>
      </w:pPr>
      <w:r>
        <w:t>Peak data rate and spectral efficiency (#1, #2)</w:t>
      </w:r>
    </w:p>
    <w:p w14:paraId="0B10A83E" w14:textId="77777777" w:rsidR="00EF613A" w:rsidRDefault="00C11C58">
      <w:pPr>
        <w:rPr>
          <w:b/>
          <w:bCs/>
        </w:rPr>
      </w:pPr>
      <w:r>
        <w:rPr>
          <w:b/>
          <w:bCs/>
        </w:rPr>
        <w:t>Relevant documents:</w:t>
      </w:r>
    </w:p>
    <w:tbl>
      <w:tblPr>
        <w:tblStyle w:val="4-11"/>
        <w:tblW w:w="0" w:type="auto"/>
        <w:tblLook w:val="04A0" w:firstRow="1" w:lastRow="0" w:firstColumn="1" w:lastColumn="0" w:noHBand="0" w:noVBand="1"/>
      </w:tblPr>
      <w:tblGrid>
        <w:gridCol w:w="1705"/>
        <w:gridCol w:w="12573"/>
      </w:tblGrid>
      <w:tr w:rsidR="00EF613A" w14:paraId="2116F86F"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1912FCB6" w14:textId="77777777" w:rsidR="00EF613A" w:rsidRDefault="00C11C58">
            <w:pPr>
              <w:rPr>
                <w:b w:val="0"/>
                <w:bCs w:val="0"/>
              </w:rPr>
            </w:pPr>
            <w:r>
              <w:t>Source</w:t>
            </w:r>
          </w:p>
        </w:tc>
        <w:tc>
          <w:tcPr>
            <w:tcW w:w="12573" w:type="dxa"/>
          </w:tcPr>
          <w:p w14:paraId="08758FB6"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Comments</w:t>
            </w:r>
          </w:p>
        </w:tc>
      </w:tr>
      <w:tr w:rsidR="00EF613A" w14:paraId="0ED81A9C" w14:textId="77777777" w:rsidTr="00EF613A">
        <w:tc>
          <w:tcPr>
            <w:cnfStyle w:val="001000000000" w:firstRow="0" w:lastRow="0" w:firstColumn="1" w:lastColumn="0" w:oddVBand="0" w:evenVBand="0" w:oddHBand="0" w:evenHBand="0" w:firstRowFirstColumn="0" w:firstRowLastColumn="0" w:lastRowFirstColumn="0" w:lastRowLastColumn="0"/>
            <w:tcW w:w="1705" w:type="dxa"/>
            <w:shd w:val="clear" w:color="auto" w:fill="D9E2F3" w:themeFill="accent1" w:themeFillTint="33"/>
          </w:tcPr>
          <w:p w14:paraId="09458076" w14:textId="77777777" w:rsidR="00EF613A" w:rsidRDefault="00436EC9">
            <w:hyperlink r:id="rId12" w:history="1">
              <w:r w:rsidR="00C11C58">
                <w:rPr>
                  <w:rStyle w:val="af2"/>
                  <w:b w:val="0"/>
                  <w:bCs w:val="0"/>
                </w:rPr>
                <w:t>2384</w:t>
              </w:r>
            </w:hyperlink>
            <w:r w:rsidR="00C11C58">
              <w:rPr>
                <w:b w:val="0"/>
                <w:bCs w:val="0"/>
              </w:rPr>
              <w:t xml:space="preserve"> (HW)</w:t>
            </w:r>
          </w:p>
        </w:tc>
        <w:tc>
          <w:tcPr>
            <w:tcW w:w="12573" w:type="dxa"/>
            <w:shd w:val="clear" w:color="auto" w:fill="D9E2F3" w:themeFill="accent1" w:themeFillTint="33"/>
          </w:tcPr>
          <w:p w14:paraId="4A5DE2F1" w14:textId="77777777" w:rsidR="00EF613A" w:rsidRDefault="00C11C58">
            <w:pPr>
              <w:cnfStyle w:val="000000000000" w:firstRow="0" w:lastRow="0" w:firstColumn="0" w:lastColumn="0" w:oddVBand="0" w:evenVBand="0" w:oddHBand="0" w:evenHBand="0" w:firstRowFirstColumn="0" w:firstRowLastColumn="0" w:lastRowFirstColumn="0" w:lastRowLastColumn="0"/>
            </w:pPr>
            <w:r>
              <w:t>Sections 4.1 and 4.2</w:t>
            </w:r>
          </w:p>
        </w:tc>
      </w:tr>
      <w:tr w:rsidR="00EF613A" w14:paraId="09123B7F" w14:textId="77777777" w:rsidTr="00EF613A">
        <w:tc>
          <w:tcPr>
            <w:cnfStyle w:val="001000000000" w:firstRow="0" w:lastRow="0" w:firstColumn="1" w:lastColumn="0" w:oddVBand="0" w:evenVBand="0" w:oddHBand="0" w:evenHBand="0" w:firstRowFirstColumn="0" w:firstRowLastColumn="0" w:lastRowFirstColumn="0" w:lastRowLastColumn="0"/>
            <w:tcW w:w="1705" w:type="dxa"/>
          </w:tcPr>
          <w:p w14:paraId="13818B19" w14:textId="77777777" w:rsidR="00EF613A" w:rsidRDefault="00436EC9">
            <w:pPr>
              <w:rPr>
                <w:b w:val="0"/>
                <w:bCs w:val="0"/>
              </w:rPr>
            </w:pPr>
            <w:hyperlink r:id="rId13" w:history="1">
              <w:r w:rsidR="00C11C58">
                <w:rPr>
                  <w:rStyle w:val="af2"/>
                  <w:b w:val="0"/>
                  <w:bCs w:val="0"/>
                </w:rPr>
                <w:t>2873</w:t>
              </w:r>
            </w:hyperlink>
            <w:r w:rsidR="00C11C58">
              <w:t xml:space="preserve"> </w:t>
            </w:r>
            <w:r w:rsidR="00C11C58">
              <w:rPr>
                <w:b w:val="0"/>
                <w:bCs w:val="0"/>
              </w:rPr>
              <w:t>(E/Q/Th)</w:t>
            </w:r>
          </w:p>
        </w:tc>
        <w:tc>
          <w:tcPr>
            <w:tcW w:w="12573" w:type="dxa"/>
          </w:tcPr>
          <w:p w14:paraId="6BC1E8F0" w14:textId="77777777" w:rsidR="00EF613A" w:rsidRDefault="00C11C58">
            <w:pPr>
              <w:cnfStyle w:val="000000000000" w:firstRow="0" w:lastRow="0" w:firstColumn="0" w:lastColumn="0" w:oddVBand="0" w:evenVBand="0" w:oddHBand="0" w:evenHBand="0" w:firstRowFirstColumn="0" w:firstRowLastColumn="0" w:lastRowFirstColumn="0" w:lastRowLastColumn="0"/>
            </w:pPr>
            <w:r>
              <w:t>Section 2</w:t>
            </w:r>
          </w:p>
        </w:tc>
      </w:tr>
      <w:tr w:rsidR="00EF613A" w14:paraId="7740B7E6" w14:textId="77777777" w:rsidTr="00EF613A">
        <w:tc>
          <w:tcPr>
            <w:cnfStyle w:val="001000000000" w:firstRow="0" w:lastRow="0" w:firstColumn="1" w:lastColumn="0" w:oddVBand="0" w:evenVBand="0" w:oddHBand="0" w:evenHBand="0" w:firstRowFirstColumn="0" w:firstRowLastColumn="0" w:lastRowFirstColumn="0" w:lastRowLastColumn="0"/>
            <w:tcW w:w="1705" w:type="dxa"/>
            <w:shd w:val="clear" w:color="auto" w:fill="D9E2F3" w:themeFill="accent1" w:themeFillTint="33"/>
          </w:tcPr>
          <w:p w14:paraId="1B8137CD" w14:textId="77777777" w:rsidR="00EF613A" w:rsidRDefault="00436EC9">
            <w:hyperlink r:id="rId14" w:history="1">
              <w:r w:rsidR="00C11C58">
                <w:rPr>
                  <w:rStyle w:val="af2"/>
                  <w:b w:val="0"/>
                  <w:bCs w:val="0"/>
                </w:rPr>
                <w:t>3157</w:t>
              </w:r>
            </w:hyperlink>
            <w:r w:rsidR="00C11C58">
              <w:rPr>
                <w:b w:val="0"/>
                <w:bCs w:val="0"/>
              </w:rPr>
              <w:t xml:space="preserve"> (SS)</w:t>
            </w:r>
          </w:p>
        </w:tc>
        <w:tc>
          <w:tcPr>
            <w:tcW w:w="12573" w:type="dxa"/>
            <w:shd w:val="clear" w:color="auto" w:fill="D9E2F3" w:themeFill="accent1" w:themeFillTint="33"/>
          </w:tcPr>
          <w:p w14:paraId="474683F2" w14:textId="77777777" w:rsidR="00EF613A" w:rsidRDefault="00C11C58">
            <w:pPr>
              <w:cnfStyle w:val="000000000000" w:firstRow="0" w:lastRow="0" w:firstColumn="0" w:lastColumn="0" w:oddVBand="0" w:evenVBand="0" w:oddHBand="0" w:evenHBand="0" w:firstRowFirstColumn="0" w:firstRowLastColumn="0" w:lastRowFirstColumn="0" w:lastRowLastColumn="0"/>
            </w:pPr>
            <w:r>
              <w:t>Section 2</w:t>
            </w:r>
          </w:p>
        </w:tc>
      </w:tr>
      <w:tr w:rsidR="00EF613A" w14:paraId="493FB3E3" w14:textId="77777777" w:rsidTr="00EF613A">
        <w:tc>
          <w:tcPr>
            <w:cnfStyle w:val="001000000000" w:firstRow="0" w:lastRow="0" w:firstColumn="1" w:lastColumn="0" w:oddVBand="0" w:evenVBand="0" w:oddHBand="0" w:evenHBand="0" w:firstRowFirstColumn="0" w:firstRowLastColumn="0" w:lastRowFirstColumn="0" w:lastRowLastColumn="0"/>
            <w:tcW w:w="1705" w:type="dxa"/>
          </w:tcPr>
          <w:p w14:paraId="08DBDC5B" w14:textId="77777777" w:rsidR="00EF613A" w:rsidRDefault="00436EC9">
            <w:pPr>
              <w:rPr>
                <w:b w:val="0"/>
                <w:bCs w:val="0"/>
              </w:rPr>
            </w:pPr>
            <w:hyperlink r:id="rId15" w:history="1">
              <w:r w:rsidR="00C11C58">
                <w:rPr>
                  <w:rStyle w:val="af2"/>
                  <w:b w:val="0"/>
                  <w:bCs w:val="0"/>
                </w:rPr>
                <w:t>2435</w:t>
              </w:r>
            </w:hyperlink>
            <w:r w:rsidR="00C11C58">
              <w:t xml:space="preserve"> </w:t>
            </w:r>
            <w:r w:rsidR="00C11C58">
              <w:rPr>
                <w:b w:val="0"/>
                <w:bCs w:val="0"/>
              </w:rPr>
              <w:t>(NK)</w:t>
            </w:r>
          </w:p>
        </w:tc>
        <w:tc>
          <w:tcPr>
            <w:tcW w:w="12573" w:type="dxa"/>
          </w:tcPr>
          <w:p w14:paraId="75A154D0" w14:textId="77777777" w:rsidR="00EF613A" w:rsidRDefault="00C11C58">
            <w:pPr>
              <w:cnfStyle w:val="000000000000" w:firstRow="0" w:lastRow="0" w:firstColumn="0" w:lastColumn="0" w:oddVBand="0" w:evenVBand="0" w:oddHBand="0" w:evenHBand="0" w:firstRowFirstColumn="0" w:firstRowLastColumn="0" w:lastRowFirstColumn="0" w:lastRowLastColumn="0"/>
            </w:pPr>
            <w:r>
              <w:t>Section 3</w:t>
            </w:r>
          </w:p>
        </w:tc>
      </w:tr>
    </w:tbl>
    <w:p w14:paraId="2BE4DCEA" w14:textId="77777777" w:rsidR="00EF613A" w:rsidRDefault="00EF613A"/>
    <w:p w14:paraId="05FBC17F" w14:textId="77777777" w:rsidR="00EF613A" w:rsidRDefault="00C11C58">
      <w:r>
        <w:t>All the inputs for this matter are consistent in using a variant of the data rate equation in TS 38.306. The main discussion in RAN1 would be to decide on the specific parameters (e.g. number of layers, bandwidth, overhead, modulation order, etc).</w:t>
      </w:r>
    </w:p>
    <w:p w14:paraId="263AD95D" w14:textId="77777777" w:rsidR="00EF613A" w:rsidRDefault="00C11C58">
      <w:r>
        <w:t>Given the input to this meeting, and the general procedure in [1], the evaluation should proceed as follows:</w:t>
      </w:r>
    </w:p>
    <w:p w14:paraId="3AB18F6A" w14:textId="77777777" w:rsidR="00EF613A" w:rsidRDefault="00C11C58">
      <w:pPr>
        <w:pStyle w:val="af4"/>
        <w:numPr>
          <w:ilvl w:val="0"/>
          <w:numId w:val="9"/>
        </w:numPr>
      </w:pPr>
      <w:r>
        <w:t xml:space="preserve">Calculate the peak spectral efficiency </w:t>
      </w:r>
      <m:oMath>
        <m:sSub>
          <m:sSubPr>
            <m:ctrlPr>
              <w:rPr>
                <w:rFonts w:ascii="Cambria Math" w:hAnsi="Cambria Math"/>
                <w:i/>
                <w:sz w:val="24"/>
                <w:szCs w:val="24"/>
                <w:lang w:eastAsia="zh-CN"/>
              </w:rPr>
            </m:ctrlPr>
          </m:sSubPr>
          <m:e>
            <m:r>
              <w:rPr>
                <w:rFonts w:ascii="Cambria Math" w:hAnsi="Cambria Math"/>
                <w:lang w:eastAsia="zh-CN"/>
              </w:rPr>
              <m:t>SE</m:t>
            </m:r>
          </m:e>
          <m:sub>
            <m:r>
              <w:rPr>
                <w:rFonts w:ascii="Cambria Math" w:hAnsi="Cambria Math"/>
                <w:lang w:eastAsia="zh-CN"/>
              </w:rPr>
              <m:t>p</m:t>
            </m:r>
          </m:sub>
        </m:sSub>
      </m:oMath>
    </w:p>
    <w:p w14:paraId="2BF24120" w14:textId="77777777" w:rsidR="00EF613A" w:rsidRDefault="00C11C58">
      <w:pPr>
        <w:pStyle w:val="af4"/>
        <w:numPr>
          <w:ilvl w:val="0"/>
          <w:numId w:val="9"/>
        </w:numPr>
      </w:pPr>
      <w:r>
        <w:t xml:space="preserve">Based on the peak spectral efficiency, calculate the peak data rate as </w:t>
      </w:r>
      <m:oMath>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p</m:t>
            </m:r>
          </m:sub>
        </m:sSub>
        <m:r>
          <w:rPr>
            <w:rFonts w:ascii="Cambria Math" w:hAnsi="Cambria Math"/>
            <w:lang w:eastAsia="zh-CN"/>
          </w:rPr>
          <m:t>=BW×</m:t>
        </m:r>
        <m:sSub>
          <m:sSubPr>
            <m:ctrlPr>
              <w:rPr>
                <w:rFonts w:ascii="Cambria Math" w:hAnsi="Cambria Math"/>
                <w:i/>
                <w:lang w:eastAsia="zh-CN"/>
              </w:rPr>
            </m:ctrlPr>
          </m:sSubPr>
          <m:e>
            <m:r>
              <w:rPr>
                <w:rFonts w:ascii="Cambria Math" w:hAnsi="Cambria Math"/>
                <w:lang w:eastAsia="zh-CN"/>
              </w:rPr>
              <m:t>SE</m:t>
            </m:r>
          </m:e>
          <m:sub>
            <m:r>
              <w:rPr>
                <w:rFonts w:ascii="Cambria Math" w:hAnsi="Cambria Math"/>
                <w:lang w:eastAsia="zh-CN"/>
              </w:rPr>
              <m:t>p</m:t>
            </m:r>
          </m:sub>
        </m:sSub>
      </m:oMath>
    </w:p>
    <w:p w14:paraId="221B7EEB" w14:textId="77777777" w:rsidR="00EF613A" w:rsidRDefault="00C11C58">
      <w:r>
        <w:t>A majority of companies also propose to use a single carrier to calculate the peak data rate. Therefore, the following proposal is made:</w:t>
      </w:r>
    </w:p>
    <w:p w14:paraId="13E0C9A7" w14:textId="77777777" w:rsidR="00EF613A" w:rsidRDefault="00C11C58">
      <w:pPr>
        <w:rPr>
          <w:b/>
          <w:bCs/>
        </w:rPr>
      </w:pPr>
      <w:r>
        <w:rPr>
          <w:b/>
          <w:bCs/>
          <w:u w:val="single"/>
        </w:rPr>
        <w:t>Proposal 3.1:</w:t>
      </w:r>
      <w:r>
        <w:rPr>
          <w:b/>
          <w:bCs/>
        </w:rPr>
        <w:t xml:space="preserve"> The peak spectral efficiency is calculated as </w:t>
      </w:r>
    </w:p>
    <w:p w14:paraId="31A4BBB3" w14:textId="77777777" w:rsidR="00EF613A" w:rsidRDefault="00C11C58">
      <w:pPr>
        <w:rPr>
          <w:sz w:val="22"/>
          <w:szCs w:val="22"/>
        </w:rPr>
      </w:pPr>
      <m:oMathPara>
        <m:oMath>
          <m:r>
            <w:rPr>
              <w:rFonts w:ascii="Cambria Math"/>
              <w:sz w:val="18"/>
              <w:szCs w:val="18"/>
            </w:rPr>
            <m:t>S</m:t>
          </m:r>
          <m:sSub>
            <m:sSubPr>
              <m:ctrlPr>
                <w:rPr>
                  <w:rFonts w:ascii="Cambria Math" w:hAnsi="Cambria Math"/>
                  <w:i/>
                  <w:sz w:val="18"/>
                  <w:szCs w:val="18"/>
                </w:rPr>
              </m:ctrlPr>
            </m:sSubPr>
            <m:e>
              <m:r>
                <w:rPr>
                  <w:rFonts w:ascii="Cambria Math"/>
                  <w:sz w:val="18"/>
                  <w:szCs w:val="18"/>
                </w:rPr>
                <m:t>E</m:t>
              </m:r>
            </m:e>
            <m:sub>
              <m:r>
                <w:rPr>
                  <w:rFonts w:ascii="Cambria Math"/>
                  <w:sz w:val="18"/>
                  <w:szCs w:val="18"/>
                </w:rPr>
                <m:t>p</m:t>
              </m:r>
            </m:sub>
          </m:sSub>
          <m:r>
            <w:rPr>
              <w:rFonts w:asci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sz w:val="18"/>
                      <w:szCs w:val="18"/>
                    </w:rPr>
                    <m:t>v</m:t>
                  </m:r>
                </m:e>
                <m:sub>
                  <m:r>
                    <w:rPr>
                      <w:rFonts w:ascii="Cambria Math"/>
                      <w:sz w:val="18"/>
                      <w:szCs w:val="18"/>
                    </w:rPr>
                    <m:t>Layers</m:t>
                  </m:r>
                </m:sub>
              </m:sSub>
              <m:r>
                <w:rPr>
                  <w:rFonts w:ascii="Cambria Math" w:hAnsi="Cambria Math" w:cs="Cambria Math"/>
                  <w:sz w:val="18"/>
                  <w:szCs w:val="18"/>
                </w:rPr>
                <m:t>⋅</m:t>
              </m:r>
              <m:sSub>
                <m:sSubPr>
                  <m:ctrlPr>
                    <w:rPr>
                      <w:rFonts w:ascii="Cambria Math" w:hAnsi="Cambria Math"/>
                      <w:i/>
                      <w:sz w:val="18"/>
                      <w:szCs w:val="18"/>
                    </w:rPr>
                  </m:ctrlPr>
                </m:sSubPr>
                <m:e>
                  <m:r>
                    <w:rPr>
                      <w:rFonts w:ascii="Cambria Math"/>
                      <w:sz w:val="18"/>
                      <w:szCs w:val="18"/>
                    </w:rPr>
                    <m:t>Q</m:t>
                  </m:r>
                </m:e>
                <m:sub>
                  <m:r>
                    <w:rPr>
                      <w:rFonts w:ascii="Cambria Math"/>
                      <w:sz w:val="18"/>
                      <w:szCs w:val="18"/>
                    </w:rPr>
                    <m:t>m</m:t>
                  </m:r>
                </m:sub>
              </m:sSub>
              <m:r>
                <w:rPr>
                  <w:rFonts w:ascii="Cambria Math" w:hAnsi="Cambria Math" w:cs="Cambria Math"/>
                  <w:sz w:val="18"/>
                  <w:szCs w:val="18"/>
                </w:rPr>
                <m:t>⋅</m:t>
              </m:r>
              <m:r>
                <w:rPr>
                  <w:rFonts w:ascii="Cambria Math"/>
                  <w:sz w:val="18"/>
                  <w:szCs w:val="18"/>
                </w:rPr>
                <m:t>f</m:t>
              </m:r>
              <m:r>
                <w:rPr>
                  <w:rFonts w:ascii="Cambria Math" w:hAnsi="Cambria Math" w:cs="Cambria Math"/>
                  <w:sz w:val="18"/>
                  <w:szCs w:val="18"/>
                </w:rPr>
                <m:t>⋅</m:t>
              </m:r>
              <m:sSub>
                <m:sSubPr>
                  <m:ctrlPr>
                    <w:rPr>
                      <w:rFonts w:ascii="Cambria Math" w:hAnsi="Cambria Math"/>
                      <w:i/>
                      <w:sz w:val="18"/>
                      <w:szCs w:val="18"/>
                    </w:rPr>
                  </m:ctrlPr>
                </m:sSubPr>
                <m:e>
                  <m:r>
                    <w:rPr>
                      <w:rFonts w:ascii="Cambria Math"/>
                      <w:sz w:val="18"/>
                      <w:szCs w:val="18"/>
                    </w:rPr>
                    <m:t>R</m:t>
                  </m:r>
                </m:e>
                <m:sub>
                  <m:r>
                    <w:rPr>
                      <w:rFonts w:ascii="Cambria Math"/>
                      <w:sz w:val="18"/>
                      <w:szCs w:val="18"/>
                    </w:rPr>
                    <m:t>max</m:t>
                  </m:r>
                </m:sub>
              </m:sSub>
              <m:f>
                <m:fPr>
                  <m:ctrlPr>
                    <w:rPr>
                      <w:rFonts w:ascii="Cambria Math" w:hAnsi="Cambria Math"/>
                      <w:i/>
                      <w:sz w:val="18"/>
                      <w:szCs w:val="18"/>
                    </w:rPr>
                  </m:ctrlPr>
                </m:fPr>
                <m:num>
                  <m:sSubSup>
                    <m:sSubSupPr>
                      <m:ctrlPr>
                        <w:rPr>
                          <w:rFonts w:ascii="Cambria Math" w:hAnsi="Cambria Math"/>
                          <w:i/>
                          <w:sz w:val="18"/>
                          <w:szCs w:val="18"/>
                        </w:rPr>
                      </m:ctrlPr>
                    </m:sSubSupPr>
                    <m:e>
                      <m:r>
                        <w:rPr>
                          <w:rFonts w:ascii="Cambria Math"/>
                          <w:sz w:val="18"/>
                          <w:szCs w:val="18"/>
                        </w:rPr>
                        <m:t>N</m:t>
                      </m:r>
                    </m:e>
                    <m:sub>
                      <m:r>
                        <w:rPr>
                          <w:rFonts w:ascii="Cambria Math"/>
                          <w:sz w:val="18"/>
                          <w:szCs w:val="18"/>
                        </w:rPr>
                        <m:t>PRB</m:t>
                      </m:r>
                    </m:sub>
                    <m:sup>
                      <m:r>
                        <w:rPr>
                          <w:rFonts w:ascii="Cambria Math"/>
                          <w:sz w:val="18"/>
                          <w:szCs w:val="18"/>
                        </w:rPr>
                        <m:t>BW,μ</m:t>
                      </m:r>
                    </m:sup>
                  </m:sSubSup>
                  <m:r>
                    <w:rPr>
                      <w:rFonts w:ascii="Cambria Math" w:hAnsi="Cambria Math" w:cs="Cambria Math"/>
                      <w:sz w:val="18"/>
                      <w:szCs w:val="18"/>
                    </w:rPr>
                    <m:t>⋅</m:t>
                  </m:r>
                  <m:r>
                    <w:rPr>
                      <w:rFonts w:ascii="Cambria Math"/>
                      <w:sz w:val="18"/>
                      <w:szCs w:val="18"/>
                    </w:rPr>
                    <m:t>12</m:t>
                  </m:r>
                </m:num>
                <m:den>
                  <m:sSubSup>
                    <m:sSubSupPr>
                      <m:ctrlPr>
                        <w:rPr>
                          <w:rFonts w:ascii="Cambria Math" w:hAnsi="Cambria Math"/>
                          <w:i/>
                          <w:sz w:val="18"/>
                          <w:szCs w:val="18"/>
                        </w:rPr>
                      </m:ctrlPr>
                    </m:sSubSupPr>
                    <m:e>
                      <m:r>
                        <w:rPr>
                          <w:rFonts w:ascii="Cambria Math"/>
                          <w:sz w:val="18"/>
                          <w:szCs w:val="18"/>
                        </w:rPr>
                        <m:t>T</m:t>
                      </m:r>
                    </m:e>
                    <m:sub>
                      <m:r>
                        <w:rPr>
                          <w:rFonts w:ascii="Cambria Math"/>
                          <w:sz w:val="18"/>
                          <w:szCs w:val="18"/>
                        </w:rPr>
                        <m:t>s</m:t>
                      </m:r>
                    </m:sub>
                    <m:sup>
                      <m:r>
                        <w:rPr>
                          <w:rFonts w:ascii="Cambria Math"/>
                          <w:sz w:val="18"/>
                          <w:szCs w:val="18"/>
                        </w:rPr>
                        <m:t>μ</m:t>
                      </m:r>
                    </m:sup>
                  </m:sSubSup>
                </m:den>
              </m:f>
              <m:d>
                <m:dPr>
                  <m:ctrlPr>
                    <w:rPr>
                      <w:rFonts w:ascii="Cambria Math" w:hAnsi="Cambria Math"/>
                      <w:i/>
                      <w:sz w:val="18"/>
                      <w:szCs w:val="18"/>
                    </w:rPr>
                  </m:ctrlPr>
                </m:dPr>
                <m:e>
                  <m:r>
                    <w:rPr>
                      <w:rFonts w:ascii="Cambria Math"/>
                      <w:sz w:val="18"/>
                      <w:szCs w:val="18"/>
                    </w:rPr>
                    <m:t>1</m:t>
                  </m:r>
                  <m:r>
                    <w:rPr>
                      <w:rFonts w:ascii="Cambria Math"/>
                      <w:sz w:val="18"/>
                      <w:szCs w:val="18"/>
                    </w:rPr>
                    <m:t>-</m:t>
                  </m:r>
                  <m:r>
                    <w:rPr>
                      <w:rFonts w:ascii="Cambria Math"/>
                      <w:sz w:val="18"/>
                      <w:szCs w:val="18"/>
                    </w:rPr>
                    <m:t>OH</m:t>
                  </m:r>
                </m:e>
              </m:d>
            </m:num>
            <m:den>
              <m:r>
                <w:rPr>
                  <w:rFonts w:ascii="Cambria Math" w:hAnsi="Cambria Math"/>
                  <w:sz w:val="22"/>
                  <w:szCs w:val="22"/>
                  <w:lang w:eastAsia="zh-CN"/>
                </w:rPr>
                <m:t xml:space="preserve">BW </m:t>
              </m:r>
            </m:den>
          </m:f>
        </m:oMath>
      </m:oMathPara>
    </w:p>
    <w:p w14:paraId="1534B7F5" w14:textId="77777777" w:rsidR="00EF613A" w:rsidRDefault="00EF613A">
      <w:pPr>
        <w:rPr>
          <w:b/>
          <w:bCs/>
          <w:u w:val="single"/>
        </w:rPr>
      </w:pPr>
    </w:p>
    <w:p w14:paraId="2281DE10" w14:textId="77777777" w:rsidR="00EF613A" w:rsidRDefault="00C11C58">
      <w:pPr>
        <w:rPr>
          <w:b/>
          <w:bCs/>
          <w:lang w:eastAsia="zh-CN"/>
        </w:rPr>
      </w:pPr>
      <w:r>
        <w:rPr>
          <w:b/>
          <w:bCs/>
          <w:u w:val="single"/>
        </w:rPr>
        <w:t>Proposal 3.2:</w:t>
      </w:r>
      <w:r>
        <w:rPr>
          <w:b/>
          <w:bCs/>
        </w:rPr>
        <w:t xml:space="preserve"> The peak data rate is calculated </w:t>
      </w:r>
      <w:proofErr w:type="gramStart"/>
      <w:r>
        <w:rPr>
          <w:b/>
          <w:bCs/>
        </w:rPr>
        <w:t xml:space="preserve">as </w:t>
      </w:r>
      <w:proofErr w:type="gramEnd"/>
      <m:oMath>
        <m:sSub>
          <m:sSubPr>
            <m:ctrlPr>
              <w:rPr>
                <w:rFonts w:ascii="Cambria Math" w:hAnsi="Cambria Math"/>
                <w:b/>
                <w:bCs/>
                <w:i/>
                <w:lang w:eastAsia="zh-CN"/>
              </w:rPr>
            </m:ctrlPr>
          </m:sSubPr>
          <m:e>
            <m:r>
              <m:rPr>
                <m:sty m:val="bi"/>
              </m:rPr>
              <w:rPr>
                <w:rFonts w:ascii="Cambria Math" w:hAnsi="Cambria Math"/>
                <w:lang w:eastAsia="zh-CN"/>
              </w:rPr>
              <m:t>R</m:t>
            </m:r>
          </m:e>
          <m:sub>
            <m:r>
              <m:rPr>
                <m:sty m:val="bi"/>
              </m:rPr>
              <w:rPr>
                <w:rFonts w:ascii="Cambria Math" w:hAnsi="Cambria Math"/>
                <w:lang w:eastAsia="zh-CN"/>
              </w:rPr>
              <m:t>p</m:t>
            </m:r>
          </m:sub>
        </m:sSub>
        <m:r>
          <m:rPr>
            <m:sty m:val="bi"/>
          </m:rPr>
          <w:rPr>
            <w:rFonts w:ascii="Cambria Math" w:hAnsi="Cambria Math"/>
            <w:lang w:eastAsia="zh-CN"/>
          </w:rPr>
          <m:t>=BW×</m:t>
        </m:r>
        <m:sSub>
          <m:sSubPr>
            <m:ctrlPr>
              <w:rPr>
                <w:rFonts w:ascii="Cambria Math" w:hAnsi="Cambria Math"/>
                <w:b/>
                <w:bCs/>
                <w:i/>
                <w:lang w:eastAsia="zh-CN"/>
              </w:rPr>
            </m:ctrlPr>
          </m:sSubPr>
          <m:e>
            <m:r>
              <m:rPr>
                <m:sty m:val="bi"/>
              </m:rPr>
              <w:rPr>
                <w:rFonts w:ascii="Cambria Math" w:hAnsi="Cambria Math"/>
                <w:lang w:eastAsia="zh-CN"/>
              </w:rPr>
              <m:t>SE</m:t>
            </m:r>
          </m:e>
          <m:sub>
            <m:r>
              <m:rPr>
                <m:sty m:val="bi"/>
              </m:rPr>
              <w:rPr>
                <w:rFonts w:ascii="Cambria Math" w:hAnsi="Cambria Math"/>
                <w:lang w:eastAsia="zh-CN"/>
              </w:rPr>
              <m:t>p</m:t>
            </m:r>
          </m:sub>
        </m:sSub>
      </m:oMath>
      <w:r>
        <w:rPr>
          <w:b/>
          <w:bCs/>
          <w:lang w:eastAsia="zh-CN"/>
        </w:rPr>
        <w:t>, assuming single carrier operation.</w:t>
      </w:r>
    </w:p>
    <w:p w14:paraId="1ECB272F" w14:textId="77777777" w:rsidR="00EF613A" w:rsidRDefault="00EF613A">
      <w:pPr>
        <w:rPr>
          <w:lang w:eastAsia="zh-CN"/>
        </w:rPr>
      </w:pPr>
    </w:p>
    <w:p w14:paraId="72AAF10A" w14:textId="77777777" w:rsidR="00EF613A" w:rsidRDefault="00C11C58">
      <w:r>
        <w:t>RAN1 would need to agree on the specific parameters for all the parameters. Given that NR NTN reuses the modulation order / number of layers / etc of NR TN, the current specification does not restrict usage of parameters (e.g. modulation order) that may not be relevant for NTN scenarios. Based on several inputs, RAN1 should consider selecting a set of realistic parameters for the peak spectral efficiency and data rate calculations.</w:t>
      </w:r>
    </w:p>
    <w:p w14:paraId="22EE0AF7" w14:textId="77777777" w:rsidR="00EF613A" w:rsidRDefault="00C11C58">
      <w:pPr>
        <w:rPr>
          <w:b/>
          <w:bCs/>
        </w:rPr>
      </w:pPr>
      <w:r>
        <w:rPr>
          <w:b/>
          <w:bCs/>
          <w:u w:val="single"/>
        </w:rPr>
        <w:t>Proposal 3.3:</w:t>
      </w:r>
      <w:r>
        <w:rPr>
          <w:b/>
          <w:bCs/>
        </w:rPr>
        <w:t xml:space="preserve"> When selecting the parameters for peak spectral efficiency and peak data rate, RAN1 to consider realistic values based on NTN deployment characteristics (e.g. link budget).</w:t>
      </w:r>
    </w:p>
    <w:p w14:paraId="212762CD" w14:textId="77777777" w:rsidR="00EF613A" w:rsidRDefault="00EF613A">
      <w:pPr>
        <w:rPr>
          <w:b/>
          <w:bCs/>
        </w:rPr>
      </w:pPr>
    </w:p>
    <w:p w14:paraId="7F06075E" w14:textId="77777777" w:rsidR="00EF613A" w:rsidRDefault="00C11C58">
      <w:pPr>
        <w:pStyle w:val="2"/>
      </w:pPr>
      <w:r>
        <w:t>Q3.1: Please provide comments on proposals 3.1, 3.2 and 3.3</w:t>
      </w:r>
    </w:p>
    <w:p w14:paraId="2555AA7E" w14:textId="77777777" w:rsidR="00EF613A" w:rsidRDefault="00EF613A">
      <w:pPr>
        <w:rPr>
          <w:b/>
          <w:bCs/>
        </w:rPr>
      </w:pPr>
    </w:p>
    <w:tbl>
      <w:tblPr>
        <w:tblStyle w:val="4-11"/>
        <w:tblW w:w="0" w:type="auto"/>
        <w:tblLook w:val="04A0" w:firstRow="1" w:lastRow="0" w:firstColumn="1" w:lastColumn="0" w:noHBand="0" w:noVBand="1"/>
      </w:tblPr>
      <w:tblGrid>
        <w:gridCol w:w="1586"/>
        <w:gridCol w:w="12692"/>
      </w:tblGrid>
      <w:tr w:rsidR="00EF613A" w14:paraId="2CBA54FD"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6" w:type="dxa"/>
          </w:tcPr>
          <w:p w14:paraId="627A7BAA" w14:textId="77777777" w:rsidR="00EF613A" w:rsidRDefault="00C11C58">
            <w:pPr>
              <w:rPr>
                <w:b w:val="0"/>
                <w:bCs w:val="0"/>
              </w:rPr>
            </w:pPr>
            <w:r>
              <w:t>Company</w:t>
            </w:r>
          </w:p>
        </w:tc>
        <w:tc>
          <w:tcPr>
            <w:tcW w:w="12692" w:type="dxa"/>
          </w:tcPr>
          <w:p w14:paraId="0FE70513"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6054BFC8" w14:textId="77777777" w:rsidTr="00EF613A">
        <w:tc>
          <w:tcPr>
            <w:cnfStyle w:val="001000000000" w:firstRow="0" w:lastRow="0" w:firstColumn="1" w:lastColumn="0" w:oddVBand="0" w:evenVBand="0" w:oddHBand="0" w:evenHBand="0" w:firstRowFirstColumn="0" w:firstRowLastColumn="0" w:lastRowFirstColumn="0" w:lastRowLastColumn="0"/>
            <w:tcW w:w="1586" w:type="dxa"/>
            <w:shd w:val="clear" w:color="auto" w:fill="D9E2F3" w:themeFill="accent1" w:themeFillTint="33"/>
          </w:tcPr>
          <w:p w14:paraId="035B3266" w14:textId="77777777" w:rsidR="00EF613A" w:rsidRDefault="00C11C58">
            <w:pPr>
              <w:rPr>
                <w:rFonts w:eastAsia="SimSun"/>
                <w:b w:val="0"/>
                <w:bCs w:val="0"/>
                <w:lang w:val="en-US" w:eastAsia="zh-CN"/>
              </w:rPr>
            </w:pPr>
            <w:r>
              <w:rPr>
                <w:rFonts w:eastAsia="SimSun" w:hint="eastAsia"/>
                <w:lang w:val="en-US" w:eastAsia="zh-CN"/>
              </w:rPr>
              <w:lastRenderedPageBreak/>
              <w:t>ZTE</w:t>
            </w:r>
          </w:p>
        </w:tc>
        <w:tc>
          <w:tcPr>
            <w:tcW w:w="12692" w:type="dxa"/>
            <w:shd w:val="clear" w:color="auto" w:fill="D9E2F3" w:themeFill="accent1" w:themeFillTint="33"/>
          </w:tcPr>
          <w:p w14:paraId="5CA92747"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Agree.</w:t>
            </w:r>
          </w:p>
        </w:tc>
      </w:tr>
      <w:tr w:rsidR="002F1988" w14:paraId="250D1F9E" w14:textId="77777777" w:rsidTr="00EF613A">
        <w:tc>
          <w:tcPr>
            <w:cnfStyle w:val="001000000000" w:firstRow="0" w:lastRow="0" w:firstColumn="1" w:lastColumn="0" w:oddVBand="0" w:evenVBand="0" w:oddHBand="0" w:evenHBand="0" w:firstRowFirstColumn="0" w:firstRowLastColumn="0" w:lastRowFirstColumn="0" w:lastRowLastColumn="0"/>
            <w:tcW w:w="1586" w:type="dxa"/>
            <w:shd w:val="clear" w:color="auto" w:fill="D9E2F3" w:themeFill="accent1" w:themeFillTint="33"/>
          </w:tcPr>
          <w:p w14:paraId="7D26777E" w14:textId="26D5D8AA" w:rsidR="002F1988" w:rsidRDefault="002F1988" w:rsidP="002F1988">
            <w:pPr>
              <w:rPr>
                <w:rFonts w:eastAsia="SimSun"/>
                <w:lang w:val="en-US" w:eastAsia="zh-CN"/>
              </w:rPr>
            </w:pPr>
            <w:r>
              <w:rPr>
                <w:rFonts w:eastAsia="Yu Mincho" w:hint="eastAsia"/>
                <w:lang w:val="en-US" w:eastAsia="ja-JP"/>
              </w:rPr>
              <w:t>P</w:t>
            </w:r>
            <w:r>
              <w:rPr>
                <w:rFonts w:eastAsia="Yu Mincho"/>
                <w:lang w:val="en-US" w:eastAsia="ja-JP"/>
              </w:rPr>
              <w:t>anasonic</w:t>
            </w:r>
          </w:p>
        </w:tc>
        <w:tc>
          <w:tcPr>
            <w:tcW w:w="12692" w:type="dxa"/>
            <w:shd w:val="clear" w:color="auto" w:fill="D9E2F3" w:themeFill="accent1" w:themeFillTint="33"/>
          </w:tcPr>
          <w:p w14:paraId="47C3291D" w14:textId="74E5C17B" w:rsidR="002F1988" w:rsidRDefault="002F1988" w:rsidP="002F198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Yu Mincho"/>
                <w:lang w:val="en-US" w:eastAsia="ja-JP"/>
              </w:rPr>
              <w:t xml:space="preserve">Fine with </w:t>
            </w:r>
            <w:r w:rsidRPr="00B222C6">
              <w:rPr>
                <w:rFonts w:eastAsia="Yu Mincho"/>
                <w:lang w:val="en-US" w:eastAsia="ja-JP"/>
              </w:rPr>
              <w:t>proposals 3.1, 3.2 and 3.3</w:t>
            </w:r>
            <w:r>
              <w:rPr>
                <w:rFonts w:eastAsia="Yu Mincho"/>
                <w:lang w:val="en-US" w:eastAsia="ja-JP"/>
              </w:rPr>
              <w:t xml:space="preserve">. </w:t>
            </w:r>
          </w:p>
        </w:tc>
      </w:tr>
      <w:tr w:rsidR="00C51FF9" w14:paraId="3FD7126F" w14:textId="77777777" w:rsidTr="00EF613A">
        <w:tc>
          <w:tcPr>
            <w:cnfStyle w:val="001000000000" w:firstRow="0" w:lastRow="0" w:firstColumn="1" w:lastColumn="0" w:oddVBand="0" w:evenVBand="0" w:oddHBand="0" w:evenHBand="0" w:firstRowFirstColumn="0" w:firstRowLastColumn="0" w:lastRowFirstColumn="0" w:lastRowLastColumn="0"/>
            <w:tcW w:w="1586" w:type="dxa"/>
            <w:shd w:val="clear" w:color="auto" w:fill="D9E2F3" w:themeFill="accent1" w:themeFillTint="33"/>
          </w:tcPr>
          <w:p w14:paraId="51E56806" w14:textId="75EF6B4C" w:rsidR="00C51FF9" w:rsidRDefault="00C51FF9" w:rsidP="00C51FF9">
            <w:pPr>
              <w:rPr>
                <w:rFonts w:eastAsia="Yu Mincho" w:hint="eastAsia"/>
                <w:lang w:val="en-US" w:eastAsia="ja-JP"/>
              </w:rPr>
            </w:pPr>
            <w:r>
              <w:rPr>
                <w:rFonts w:eastAsia="맑은 고딕" w:hint="eastAsia"/>
                <w:lang w:eastAsia="ko-KR"/>
              </w:rPr>
              <w:t>Samsung</w:t>
            </w:r>
          </w:p>
        </w:tc>
        <w:tc>
          <w:tcPr>
            <w:tcW w:w="12692" w:type="dxa"/>
            <w:shd w:val="clear" w:color="auto" w:fill="D9E2F3" w:themeFill="accent1" w:themeFillTint="33"/>
          </w:tcPr>
          <w:p w14:paraId="68D49EA5" w14:textId="7CF43219" w:rsidR="00C51FF9" w:rsidRDefault="00C51FF9" w:rsidP="00C51FF9">
            <w:pPr>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맑은 고딕" w:hint="eastAsia"/>
                <w:lang w:eastAsia="ko-KR"/>
              </w:rPr>
              <w:t>Fine with the proposals.</w:t>
            </w:r>
          </w:p>
        </w:tc>
      </w:tr>
    </w:tbl>
    <w:p w14:paraId="2E4E5890" w14:textId="77777777" w:rsidR="00EF613A" w:rsidRDefault="00EF613A">
      <w:pPr>
        <w:rPr>
          <w:b/>
          <w:bCs/>
        </w:rPr>
      </w:pPr>
    </w:p>
    <w:p w14:paraId="0EA85E4A" w14:textId="77777777" w:rsidR="00EF613A" w:rsidRDefault="00C11C58">
      <w:r>
        <w:t xml:space="preserve">Two </w:t>
      </w:r>
      <w:proofErr w:type="spellStart"/>
      <w:r>
        <w:t>tdocs</w:t>
      </w:r>
      <w:proofErr w:type="spellEnd"/>
      <w:r>
        <w:t xml:space="preserve"> provided input on the specific values to be used for the peak data rate evaluation, which are reproduced below</w:t>
      </w:r>
    </w:p>
    <w:p w14:paraId="6C35E56B" w14:textId="77777777" w:rsidR="00EF613A" w:rsidRDefault="00C11C58">
      <w:pPr>
        <w:pStyle w:val="a4"/>
        <w:keepNext/>
        <w:jc w:val="center"/>
      </w:pPr>
      <w:r>
        <w:t>Table 3.1 – Input from contributions 2873 and 3157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2133"/>
        <w:gridCol w:w="3801"/>
        <w:gridCol w:w="2964"/>
        <w:gridCol w:w="2964"/>
      </w:tblGrid>
      <w:tr w:rsidR="00EF613A" w14:paraId="3DD7B9EF" w14:textId="77777777">
        <w:trPr>
          <w:jc w:val="center"/>
        </w:trPr>
        <w:tc>
          <w:tcPr>
            <w:tcW w:w="846" w:type="pct"/>
            <w:shd w:val="clear" w:color="auto" w:fill="BFBFBF"/>
          </w:tcPr>
          <w:p w14:paraId="6AAF1DF9" w14:textId="77777777" w:rsidR="00EF613A" w:rsidRDefault="00EF613A">
            <w:pPr>
              <w:keepNext/>
              <w:widowControl w:val="0"/>
              <w:spacing w:after="0"/>
              <w:jc w:val="center"/>
              <w:outlineLvl w:val="0"/>
              <w:rPr>
                <w:rFonts w:ascii="Arial" w:hAnsi="Arial" w:cs="Arial"/>
                <w:sz w:val="18"/>
                <w:szCs w:val="18"/>
                <w:lang w:eastAsia="zh-CN"/>
              </w:rPr>
            </w:pPr>
          </w:p>
        </w:tc>
        <w:tc>
          <w:tcPr>
            <w:tcW w:w="2078" w:type="pct"/>
            <w:gridSpan w:val="2"/>
            <w:shd w:val="clear" w:color="auto" w:fill="A8D08D" w:themeFill="accent6" w:themeFillTint="99"/>
          </w:tcPr>
          <w:p w14:paraId="5B1DCD12" w14:textId="77777777" w:rsidR="00EF613A" w:rsidRDefault="00C11C58">
            <w:pPr>
              <w:keepNext/>
              <w:widowControl w:val="0"/>
              <w:spacing w:after="0"/>
              <w:jc w:val="center"/>
              <w:outlineLvl w:val="0"/>
              <w:rPr>
                <w:b/>
                <w:bCs/>
              </w:rPr>
            </w:pPr>
            <w:r>
              <w:rPr>
                <w:b/>
                <w:bCs/>
              </w:rPr>
              <w:t>DL</w:t>
            </w:r>
          </w:p>
        </w:tc>
        <w:tc>
          <w:tcPr>
            <w:tcW w:w="2076" w:type="pct"/>
            <w:gridSpan w:val="2"/>
            <w:shd w:val="clear" w:color="auto" w:fill="8EAADB" w:themeFill="accent1" w:themeFillTint="99"/>
          </w:tcPr>
          <w:p w14:paraId="21510FCC" w14:textId="77777777" w:rsidR="00EF613A" w:rsidRDefault="00C11C58">
            <w:pPr>
              <w:keepNext/>
              <w:widowControl w:val="0"/>
              <w:spacing w:after="0"/>
              <w:jc w:val="center"/>
              <w:outlineLvl w:val="0"/>
              <w:rPr>
                <w:b/>
                <w:bCs/>
              </w:rPr>
            </w:pPr>
            <w:r>
              <w:rPr>
                <w:b/>
                <w:bCs/>
              </w:rPr>
              <w:t>UL</w:t>
            </w:r>
          </w:p>
        </w:tc>
      </w:tr>
      <w:tr w:rsidR="00EF613A" w14:paraId="1144518C" w14:textId="77777777">
        <w:trPr>
          <w:jc w:val="center"/>
        </w:trPr>
        <w:tc>
          <w:tcPr>
            <w:tcW w:w="846" w:type="pct"/>
            <w:shd w:val="clear" w:color="auto" w:fill="BFBFBF"/>
          </w:tcPr>
          <w:p w14:paraId="1804E1D7" w14:textId="77777777" w:rsidR="00EF613A" w:rsidRDefault="00C11C58">
            <w:pPr>
              <w:keepNext/>
              <w:widowControl w:val="0"/>
              <w:spacing w:after="0"/>
              <w:jc w:val="center"/>
              <w:outlineLvl w:val="0"/>
              <w:rPr>
                <w:rFonts w:ascii="Arial" w:hAnsi="Arial" w:cs="Arial"/>
                <w:sz w:val="18"/>
                <w:szCs w:val="18"/>
                <w:lang w:eastAsia="zh-CN"/>
              </w:rPr>
            </w:pPr>
            <w:r>
              <w:rPr>
                <w:rFonts w:ascii="Arial" w:hAnsi="Arial" w:cs="Arial"/>
                <w:sz w:val="18"/>
                <w:szCs w:val="18"/>
                <w:lang w:eastAsia="zh-CN"/>
              </w:rPr>
              <w:t>Parameters</w:t>
            </w:r>
          </w:p>
        </w:tc>
        <w:tc>
          <w:tcPr>
            <w:tcW w:w="747" w:type="pct"/>
            <w:shd w:val="clear" w:color="auto" w:fill="A8D08D" w:themeFill="accent6" w:themeFillTint="99"/>
          </w:tcPr>
          <w:p w14:paraId="0E58AAAF" w14:textId="77777777" w:rsidR="00EF613A" w:rsidRDefault="00436EC9">
            <w:pPr>
              <w:keepNext/>
              <w:widowControl w:val="0"/>
              <w:spacing w:after="0"/>
              <w:jc w:val="center"/>
              <w:outlineLvl w:val="0"/>
              <w:rPr>
                <w:rFonts w:ascii="Arial" w:hAnsi="Arial" w:cs="Arial"/>
                <w:sz w:val="18"/>
                <w:szCs w:val="18"/>
                <w:lang w:eastAsia="zh-CN"/>
              </w:rPr>
            </w:pPr>
            <w:hyperlink r:id="rId16" w:history="1">
              <w:r w:rsidR="00C11C58">
                <w:rPr>
                  <w:rStyle w:val="af2"/>
                </w:rPr>
                <w:t>2873</w:t>
              </w:r>
            </w:hyperlink>
            <w:r w:rsidR="00C11C58">
              <w:t xml:space="preserve"> </w:t>
            </w:r>
            <w:r w:rsidR="00C11C58">
              <w:rPr>
                <w:b/>
                <w:bCs/>
              </w:rPr>
              <w:t>(E/Q/Th)</w:t>
            </w:r>
          </w:p>
        </w:tc>
        <w:tc>
          <w:tcPr>
            <w:tcW w:w="1331" w:type="pct"/>
            <w:shd w:val="clear" w:color="auto" w:fill="A8D08D" w:themeFill="accent6" w:themeFillTint="99"/>
          </w:tcPr>
          <w:p w14:paraId="7A98AA2D" w14:textId="77777777" w:rsidR="00EF613A" w:rsidRDefault="00436EC9">
            <w:pPr>
              <w:keepNext/>
              <w:widowControl w:val="0"/>
              <w:spacing w:after="0"/>
              <w:jc w:val="center"/>
              <w:outlineLvl w:val="0"/>
              <w:rPr>
                <w:rFonts w:ascii="Arial" w:hAnsi="Arial" w:cs="Arial"/>
                <w:sz w:val="18"/>
                <w:szCs w:val="18"/>
                <w:lang w:eastAsia="zh-CN"/>
              </w:rPr>
            </w:pPr>
            <w:hyperlink r:id="rId17" w:history="1">
              <w:r w:rsidR="00C11C58">
                <w:rPr>
                  <w:rStyle w:val="af2"/>
                  <w:b/>
                  <w:bCs/>
                </w:rPr>
                <w:t>3157</w:t>
              </w:r>
            </w:hyperlink>
            <w:r w:rsidR="00C11C58">
              <w:rPr>
                <w:b/>
                <w:bCs/>
              </w:rPr>
              <w:t xml:space="preserve"> (SS)</w:t>
            </w:r>
          </w:p>
        </w:tc>
        <w:tc>
          <w:tcPr>
            <w:tcW w:w="1038" w:type="pct"/>
            <w:shd w:val="clear" w:color="auto" w:fill="8EAADB" w:themeFill="accent1" w:themeFillTint="99"/>
          </w:tcPr>
          <w:p w14:paraId="4DC57FCD" w14:textId="77777777" w:rsidR="00EF613A" w:rsidRDefault="00436EC9">
            <w:pPr>
              <w:keepNext/>
              <w:widowControl w:val="0"/>
              <w:spacing w:after="0"/>
              <w:jc w:val="center"/>
              <w:outlineLvl w:val="0"/>
              <w:rPr>
                <w:b/>
                <w:bCs/>
              </w:rPr>
            </w:pPr>
            <w:hyperlink r:id="rId18" w:history="1">
              <w:r w:rsidR="00C11C58">
                <w:rPr>
                  <w:rStyle w:val="af2"/>
                </w:rPr>
                <w:t>2873</w:t>
              </w:r>
            </w:hyperlink>
            <w:r w:rsidR="00C11C58">
              <w:t xml:space="preserve"> </w:t>
            </w:r>
            <w:r w:rsidR="00C11C58">
              <w:rPr>
                <w:b/>
                <w:bCs/>
              </w:rPr>
              <w:t>(E/Q/Th)</w:t>
            </w:r>
          </w:p>
        </w:tc>
        <w:tc>
          <w:tcPr>
            <w:tcW w:w="1038" w:type="pct"/>
            <w:shd w:val="clear" w:color="auto" w:fill="8EAADB" w:themeFill="accent1" w:themeFillTint="99"/>
          </w:tcPr>
          <w:p w14:paraId="2CC4B444" w14:textId="77777777" w:rsidR="00EF613A" w:rsidRDefault="00436EC9">
            <w:pPr>
              <w:keepNext/>
              <w:widowControl w:val="0"/>
              <w:spacing w:after="0"/>
              <w:jc w:val="center"/>
              <w:outlineLvl w:val="0"/>
              <w:rPr>
                <w:b/>
                <w:bCs/>
              </w:rPr>
            </w:pPr>
            <w:hyperlink r:id="rId19" w:history="1">
              <w:r w:rsidR="00C11C58">
                <w:rPr>
                  <w:rStyle w:val="af2"/>
                  <w:b/>
                  <w:bCs/>
                </w:rPr>
                <w:t>3157</w:t>
              </w:r>
            </w:hyperlink>
            <w:r w:rsidR="00C11C58">
              <w:rPr>
                <w:b/>
                <w:bCs/>
              </w:rPr>
              <w:t xml:space="preserve"> (SS)</w:t>
            </w:r>
          </w:p>
        </w:tc>
      </w:tr>
      <w:tr w:rsidR="00EF613A" w14:paraId="763D2E14" w14:textId="77777777">
        <w:trPr>
          <w:jc w:val="center"/>
        </w:trPr>
        <w:tc>
          <w:tcPr>
            <w:tcW w:w="846" w:type="pct"/>
            <w:shd w:val="clear" w:color="auto" w:fill="auto"/>
          </w:tcPr>
          <w:p w14:paraId="04F92E39"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Max. n</w:t>
            </w:r>
            <w:r>
              <w:rPr>
                <w:rFonts w:ascii="Arial" w:hAnsi="Arial" w:cs="Arial" w:hint="eastAsia"/>
                <w:sz w:val="18"/>
                <w:szCs w:val="18"/>
                <w:lang w:eastAsia="zh-CN"/>
              </w:rPr>
              <w:t>umber of layers</w:t>
            </w:r>
          </w:p>
          <w:p w14:paraId="666EE352" w14:textId="77777777" w:rsidR="00EF613A" w:rsidRDefault="00C11C58">
            <w:pPr>
              <w:widowControl w:val="0"/>
              <w:spacing w:after="0"/>
              <w:rPr>
                <w:rFonts w:ascii="Arial" w:hAnsi="Arial" w:cs="Arial"/>
                <w:sz w:val="18"/>
                <w:szCs w:val="18"/>
                <w:lang w:eastAsia="zh-CN"/>
              </w:rPr>
            </w:pPr>
            <w:r>
              <w:rPr>
                <w:rFonts w:ascii="Arial" w:eastAsia="MS Mincho" w:hAnsi="Arial" w:cs="Arial"/>
                <w:noProof/>
                <w:position w:val="-16"/>
                <w:sz w:val="18"/>
                <w:szCs w:val="18"/>
                <w:lang w:val="en-US" w:eastAsia="ko-KR"/>
              </w:rPr>
              <w:drawing>
                <wp:inline distT="0" distB="0" distL="0" distR="0" wp14:anchorId="2CEC9D7B" wp14:editId="0C625173">
                  <wp:extent cx="307340" cy="248920"/>
                  <wp:effectExtent l="0" t="0" r="0" b="0"/>
                  <wp:docPr id="3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07340" cy="248920"/>
                          </a:xfrm>
                          <a:prstGeom prst="rect">
                            <a:avLst/>
                          </a:prstGeom>
                          <a:noFill/>
                          <a:ln>
                            <a:noFill/>
                          </a:ln>
                        </pic:spPr>
                      </pic:pic>
                    </a:graphicData>
                  </a:graphic>
                </wp:inline>
              </w:drawing>
            </w:r>
          </w:p>
        </w:tc>
        <w:tc>
          <w:tcPr>
            <w:tcW w:w="747" w:type="pct"/>
            <w:shd w:val="clear" w:color="auto" w:fill="auto"/>
          </w:tcPr>
          <w:p w14:paraId="4713BDD8"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1</w:t>
            </w:r>
          </w:p>
          <w:p w14:paraId="5B66E760" w14:textId="77777777" w:rsidR="00EF613A" w:rsidRDefault="00EF613A">
            <w:pPr>
              <w:widowControl w:val="0"/>
              <w:spacing w:after="0"/>
              <w:rPr>
                <w:rFonts w:ascii="Arial" w:hAnsi="Arial" w:cs="Arial"/>
                <w:sz w:val="18"/>
                <w:szCs w:val="18"/>
                <w:lang w:eastAsia="zh-CN"/>
              </w:rPr>
            </w:pPr>
          </w:p>
        </w:tc>
        <w:tc>
          <w:tcPr>
            <w:tcW w:w="1331" w:type="pct"/>
          </w:tcPr>
          <w:p w14:paraId="15C73AE6"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1</w:t>
            </w:r>
          </w:p>
        </w:tc>
        <w:tc>
          <w:tcPr>
            <w:tcW w:w="1038" w:type="pct"/>
          </w:tcPr>
          <w:p w14:paraId="172B480C"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1</w:t>
            </w:r>
          </w:p>
        </w:tc>
        <w:tc>
          <w:tcPr>
            <w:tcW w:w="1038" w:type="pct"/>
          </w:tcPr>
          <w:p w14:paraId="7277BA90"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1</w:t>
            </w:r>
          </w:p>
        </w:tc>
      </w:tr>
      <w:tr w:rsidR="00EF613A" w14:paraId="376C8E60" w14:textId="77777777">
        <w:trPr>
          <w:jc w:val="center"/>
        </w:trPr>
        <w:tc>
          <w:tcPr>
            <w:tcW w:w="846" w:type="pct"/>
            <w:shd w:val="clear" w:color="auto" w:fill="auto"/>
          </w:tcPr>
          <w:p w14:paraId="241DBA91"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Highest m</w:t>
            </w:r>
            <w:r>
              <w:rPr>
                <w:rFonts w:ascii="Arial" w:hAnsi="Arial" w:cs="Arial" w:hint="eastAsia"/>
                <w:sz w:val="18"/>
                <w:szCs w:val="18"/>
                <w:lang w:eastAsia="zh-CN"/>
              </w:rPr>
              <w:t>odulation</w:t>
            </w:r>
            <w:r>
              <w:rPr>
                <w:rFonts w:ascii="Arial" w:hAnsi="Arial" w:cs="Arial"/>
                <w:sz w:val="18"/>
                <w:szCs w:val="18"/>
                <w:lang w:eastAsia="zh-CN"/>
              </w:rPr>
              <w:t xml:space="preserve"> order</w:t>
            </w:r>
          </w:p>
          <w:p w14:paraId="238B058C" w14:textId="77777777" w:rsidR="00EF613A" w:rsidRDefault="00C11C58">
            <w:pPr>
              <w:widowControl w:val="0"/>
              <w:spacing w:after="0"/>
              <w:ind w:left="180" w:hangingChars="100" w:hanging="180"/>
              <w:rPr>
                <w:rFonts w:ascii="Arial" w:hAnsi="Arial" w:cs="Arial"/>
                <w:i/>
                <w:sz w:val="18"/>
                <w:szCs w:val="18"/>
                <w:lang w:eastAsia="zh-CN"/>
              </w:rPr>
            </w:pPr>
            <w:r>
              <w:rPr>
                <w:rFonts w:ascii="Arial" w:eastAsia="MS Mincho" w:hAnsi="Arial" w:cs="Arial"/>
                <w:i/>
                <w:noProof/>
                <w:position w:val="-10"/>
                <w:sz w:val="18"/>
                <w:szCs w:val="18"/>
                <w:lang w:val="en-US" w:eastAsia="ko-KR"/>
              </w:rPr>
              <w:drawing>
                <wp:inline distT="0" distB="0" distL="0" distR="0" wp14:anchorId="32DB737B" wp14:editId="27EA1332">
                  <wp:extent cx="248920" cy="212090"/>
                  <wp:effectExtent l="0" t="0" r="0" b="0"/>
                  <wp:docPr id="3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48920" cy="212090"/>
                          </a:xfrm>
                          <a:prstGeom prst="rect">
                            <a:avLst/>
                          </a:prstGeom>
                          <a:noFill/>
                          <a:ln>
                            <a:noFill/>
                          </a:ln>
                        </pic:spPr>
                      </pic:pic>
                    </a:graphicData>
                  </a:graphic>
                </wp:inline>
              </w:drawing>
            </w:r>
          </w:p>
        </w:tc>
        <w:tc>
          <w:tcPr>
            <w:tcW w:w="747" w:type="pct"/>
            <w:shd w:val="clear" w:color="auto" w:fill="auto"/>
          </w:tcPr>
          <w:p w14:paraId="2760A088"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8</w:t>
            </w:r>
          </w:p>
        </w:tc>
        <w:tc>
          <w:tcPr>
            <w:tcW w:w="1331" w:type="pct"/>
          </w:tcPr>
          <w:p w14:paraId="40FB3E9F"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6</w:t>
            </w:r>
          </w:p>
        </w:tc>
        <w:tc>
          <w:tcPr>
            <w:tcW w:w="1038" w:type="pct"/>
          </w:tcPr>
          <w:p w14:paraId="019E42F7"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8</w:t>
            </w:r>
          </w:p>
        </w:tc>
        <w:tc>
          <w:tcPr>
            <w:tcW w:w="1038" w:type="pct"/>
          </w:tcPr>
          <w:p w14:paraId="2F7BB21B"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6</w:t>
            </w:r>
          </w:p>
        </w:tc>
      </w:tr>
      <w:tr w:rsidR="00EF613A" w14:paraId="3F8EE4B7" w14:textId="77777777">
        <w:trPr>
          <w:jc w:val="center"/>
        </w:trPr>
        <w:tc>
          <w:tcPr>
            <w:tcW w:w="846" w:type="pct"/>
            <w:shd w:val="clear" w:color="auto" w:fill="auto"/>
          </w:tcPr>
          <w:p w14:paraId="5A9ED2AD" w14:textId="77777777" w:rsidR="00EF613A" w:rsidRDefault="00C11C58">
            <w:pPr>
              <w:widowControl w:val="0"/>
              <w:spacing w:after="0"/>
              <w:rPr>
                <w:rFonts w:ascii="Arial" w:hAnsi="Arial" w:cs="Arial"/>
                <w:sz w:val="18"/>
              </w:rPr>
            </w:pPr>
            <w:r>
              <w:rPr>
                <w:rFonts w:ascii="Arial" w:hAnsi="Arial" w:cs="Arial"/>
                <w:sz w:val="18"/>
              </w:rPr>
              <w:t xml:space="preserve">Scaling factor of modulation </w:t>
            </w:r>
          </w:p>
          <w:p w14:paraId="1A051842" w14:textId="77777777" w:rsidR="00EF613A" w:rsidRDefault="00C11C58">
            <w:pPr>
              <w:widowControl w:val="0"/>
              <w:spacing w:after="0"/>
              <w:rPr>
                <w:rFonts w:ascii="Arial" w:hAnsi="Arial" w:cs="Arial"/>
                <w:i/>
                <w:sz w:val="18"/>
                <w:szCs w:val="18"/>
                <w:lang w:eastAsia="zh-CN"/>
              </w:rPr>
            </w:pPr>
            <w:r>
              <w:rPr>
                <w:rFonts w:ascii="Arial" w:hAnsi="Arial" w:cs="Arial"/>
                <w:position w:val="-12"/>
                <w:sz w:val="18"/>
                <w:szCs w:val="18"/>
              </w:rPr>
              <w:object w:dxaOrig="426" w:dyaOrig="426" w14:anchorId="4E8079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5pt;height:21.65pt" o:ole="">
                  <v:imagedata r:id="rId22" o:title=""/>
                </v:shape>
                <o:OLEObject Type="Embed" ProgID="Equation.DSMT4" ShapeID="_x0000_i1025" DrawAspect="Content" ObjectID="_1743355159" r:id="rId23"/>
              </w:object>
            </w:r>
          </w:p>
        </w:tc>
        <w:tc>
          <w:tcPr>
            <w:tcW w:w="747" w:type="pct"/>
            <w:shd w:val="clear" w:color="auto" w:fill="auto"/>
          </w:tcPr>
          <w:p w14:paraId="396BD695"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1</w:t>
            </w:r>
          </w:p>
        </w:tc>
        <w:tc>
          <w:tcPr>
            <w:tcW w:w="1331" w:type="pct"/>
          </w:tcPr>
          <w:p w14:paraId="7913F6D4"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1</w:t>
            </w:r>
          </w:p>
        </w:tc>
        <w:tc>
          <w:tcPr>
            <w:tcW w:w="1038" w:type="pct"/>
          </w:tcPr>
          <w:p w14:paraId="0DF12804"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1</w:t>
            </w:r>
          </w:p>
        </w:tc>
        <w:tc>
          <w:tcPr>
            <w:tcW w:w="1038" w:type="pct"/>
          </w:tcPr>
          <w:p w14:paraId="7798E4D0"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1</w:t>
            </w:r>
          </w:p>
        </w:tc>
      </w:tr>
      <w:tr w:rsidR="00EF613A" w14:paraId="1A1B82ED" w14:textId="77777777">
        <w:trPr>
          <w:jc w:val="center"/>
        </w:trPr>
        <w:tc>
          <w:tcPr>
            <w:tcW w:w="846" w:type="pct"/>
            <w:shd w:val="clear" w:color="auto" w:fill="auto"/>
          </w:tcPr>
          <w:p w14:paraId="67E922B6" w14:textId="77777777" w:rsidR="00EF613A" w:rsidRDefault="00C11C58">
            <w:pPr>
              <w:widowControl w:val="0"/>
              <w:spacing w:after="0"/>
              <w:rPr>
                <w:rFonts w:ascii="Arial" w:hAnsi="Arial" w:cs="Arial"/>
                <w:sz w:val="18"/>
                <w:szCs w:val="18"/>
              </w:rPr>
            </w:pPr>
            <w:r>
              <w:rPr>
                <w:rFonts w:ascii="Arial" w:hAnsi="Arial" w:cs="Arial"/>
                <w:sz w:val="18"/>
                <w:szCs w:val="18"/>
              </w:rPr>
              <w:t>Max. coding rate</w:t>
            </w:r>
          </w:p>
          <w:p w14:paraId="75E57EF9" w14:textId="77777777" w:rsidR="00EF613A" w:rsidRDefault="00C11C58">
            <w:pPr>
              <w:widowControl w:val="0"/>
              <w:spacing w:after="0"/>
              <w:rPr>
                <w:rFonts w:ascii="Arial" w:hAnsi="Arial" w:cs="Arial"/>
                <w:i/>
                <w:sz w:val="18"/>
                <w:szCs w:val="18"/>
                <w:lang w:eastAsia="zh-CN"/>
              </w:rPr>
            </w:pPr>
            <w:r>
              <w:rPr>
                <w:rFonts w:ascii="Arial" w:hAnsi="Arial" w:cs="Arial"/>
                <w:i/>
                <w:sz w:val="18"/>
                <w:szCs w:val="18"/>
              </w:rPr>
              <w:t>R</w:t>
            </w:r>
            <w:r>
              <w:rPr>
                <w:rFonts w:ascii="Arial" w:hAnsi="Arial" w:cs="Arial"/>
                <w:i/>
                <w:sz w:val="18"/>
                <w:szCs w:val="18"/>
                <w:vertAlign w:val="subscript"/>
              </w:rPr>
              <w:t>max</w:t>
            </w:r>
          </w:p>
        </w:tc>
        <w:tc>
          <w:tcPr>
            <w:tcW w:w="747" w:type="pct"/>
            <w:shd w:val="clear" w:color="auto" w:fill="auto"/>
          </w:tcPr>
          <w:p w14:paraId="00451504"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948/1024 = 0.9258</w:t>
            </w:r>
          </w:p>
        </w:tc>
        <w:tc>
          <w:tcPr>
            <w:tcW w:w="1331" w:type="pct"/>
          </w:tcPr>
          <w:p w14:paraId="7543E5FC"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948/1024 = 0.9258</w:t>
            </w:r>
          </w:p>
        </w:tc>
        <w:tc>
          <w:tcPr>
            <w:tcW w:w="1038" w:type="pct"/>
          </w:tcPr>
          <w:p w14:paraId="48DAE2D8"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948/1024 = 0.9258</w:t>
            </w:r>
          </w:p>
        </w:tc>
        <w:tc>
          <w:tcPr>
            <w:tcW w:w="1038" w:type="pct"/>
          </w:tcPr>
          <w:p w14:paraId="103D48B8"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948/1024 = 0.9258</w:t>
            </w:r>
          </w:p>
        </w:tc>
      </w:tr>
      <w:tr w:rsidR="00EF613A" w14:paraId="7ACA421A" w14:textId="77777777">
        <w:trPr>
          <w:trHeight w:val="269"/>
          <w:jc w:val="center"/>
        </w:trPr>
        <w:tc>
          <w:tcPr>
            <w:tcW w:w="846" w:type="pct"/>
            <w:shd w:val="clear" w:color="auto" w:fill="auto"/>
          </w:tcPr>
          <w:p w14:paraId="2C7A8DE6" w14:textId="77777777" w:rsidR="00EF613A" w:rsidRDefault="00C11C58">
            <w:pPr>
              <w:widowControl w:val="0"/>
              <w:spacing w:after="0"/>
              <w:rPr>
                <w:rFonts w:ascii="Arial" w:hAnsi="Arial" w:cs="Arial"/>
                <w:i/>
                <w:sz w:val="18"/>
                <w:szCs w:val="18"/>
              </w:rPr>
            </w:pPr>
            <w:r>
              <w:rPr>
                <w:rFonts w:ascii="Arial" w:hAnsi="Arial" w:cs="Arial"/>
                <w:position w:val="-10"/>
                <w:sz w:val="18"/>
                <w:szCs w:val="18"/>
              </w:rPr>
              <w:object w:dxaOrig="288" w:dyaOrig="288" w14:anchorId="504E429E">
                <v:shape id="_x0000_i1026" type="#_x0000_t75" style="width:14.6pt;height:14.6pt" o:ole="">
                  <v:imagedata r:id="rId24" o:title=""/>
                </v:shape>
                <o:OLEObject Type="Embed" ProgID="Equation.DSMT4" ShapeID="_x0000_i1026" DrawAspect="Content" ObjectID="_1743355160" r:id="rId25"/>
              </w:object>
            </w:r>
          </w:p>
        </w:tc>
        <w:tc>
          <w:tcPr>
            <w:tcW w:w="747" w:type="pct"/>
            <w:shd w:val="clear" w:color="auto" w:fill="auto"/>
          </w:tcPr>
          <w:p w14:paraId="794E07C3" w14:textId="77777777" w:rsidR="00EF613A" w:rsidRDefault="00C11C58">
            <w:pPr>
              <w:widowControl w:val="0"/>
              <w:spacing w:after="0"/>
              <w:rPr>
                <w:rFonts w:ascii="Arial" w:eastAsia="바탕" w:hAnsi="Arial" w:cs="Arial"/>
                <w:sz w:val="18"/>
                <w:szCs w:val="18"/>
              </w:rPr>
            </w:pPr>
            <w:r>
              <w:rPr>
                <w:rFonts w:ascii="Arial" w:hAnsi="Arial" w:cs="Arial"/>
                <w:sz w:val="18"/>
                <w:szCs w:val="18"/>
                <w:lang w:eastAsia="zh-CN"/>
              </w:rPr>
              <w:t>0</w:t>
            </w:r>
          </w:p>
        </w:tc>
        <w:tc>
          <w:tcPr>
            <w:tcW w:w="1331" w:type="pct"/>
          </w:tcPr>
          <w:p w14:paraId="418CCC5C"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0</w:t>
            </w:r>
          </w:p>
        </w:tc>
        <w:tc>
          <w:tcPr>
            <w:tcW w:w="1038" w:type="pct"/>
          </w:tcPr>
          <w:p w14:paraId="5188BD76"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0</w:t>
            </w:r>
          </w:p>
        </w:tc>
        <w:tc>
          <w:tcPr>
            <w:tcW w:w="1038" w:type="pct"/>
          </w:tcPr>
          <w:p w14:paraId="05D9421F"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0</w:t>
            </w:r>
          </w:p>
        </w:tc>
      </w:tr>
      <w:tr w:rsidR="00EF613A" w14:paraId="66356B2B" w14:textId="77777777">
        <w:trPr>
          <w:jc w:val="center"/>
        </w:trPr>
        <w:tc>
          <w:tcPr>
            <w:tcW w:w="846" w:type="pct"/>
            <w:shd w:val="clear" w:color="auto" w:fill="auto"/>
          </w:tcPr>
          <w:p w14:paraId="3C56CB0B" w14:textId="77777777" w:rsidR="00EF613A" w:rsidRDefault="00C11C58">
            <w:pPr>
              <w:widowControl w:val="0"/>
              <w:spacing w:after="0"/>
              <w:rPr>
                <w:rFonts w:ascii="Arial" w:hAnsi="Arial" w:cs="Arial"/>
                <w:i/>
                <w:sz w:val="18"/>
                <w:szCs w:val="18"/>
              </w:rPr>
            </w:pPr>
            <w:r>
              <w:rPr>
                <w:rFonts w:ascii="Arial" w:hAnsi="Arial" w:cs="Arial"/>
                <w:position w:val="-12"/>
                <w:sz w:val="18"/>
                <w:szCs w:val="18"/>
              </w:rPr>
              <w:object w:dxaOrig="851" w:dyaOrig="426" w14:anchorId="6903EA5B">
                <v:shape id="_x0000_i1027" type="#_x0000_t75" style="width:42.4pt;height:21.65pt" o:ole="">
                  <v:imagedata r:id="rId26" o:title=""/>
                </v:shape>
                <o:OLEObject Type="Embed" ProgID="Equation.DSMT4" ShapeID="_x0000_i1027" DrawAspect="Content" ObjectID="_1743355161" r:id="rId27"/>
              </w:object>
            </w:r>
          </w:p>
        </w:tc>
        <w:tc>
          <w:tcPr>
            <w:tcW w:w="747" w:type="pct"/>
            <w:shd w:val="clear" w:color="auto" w:fill="auto"/>
          </w:tcPr>
          <w:p w14:paraId="54D0B843"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Based on ITU-R report M.2514, 30 MHz channel BW should be considered. Hence, 160 PRBs are assumed for the purpose of the evaluations</w:t>
            </w:r>
          </w:p>
        </w:tc>
        <w:tc>
          <w:tcPr>
            <w:tcW w:w="1331" w:type="pct"/>
          </w:tcPr>
          <w:p w14:paraId="6639C8FD"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160</w:t>
            </w:r>
          </w:p>
        </w:tc>
        <w:tc>
          <w:tcPr>
            <w:tcW w:w="1038" w:type="pct"/>
          </w:tcPr>
          <w:p w14:paraId="51E08C44"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Based on ITU-R report M.2514 30 MHz channel BW should be considered. Hence, 160 PRBs are assumed for the purpose of the evaluations</w:t>
            </w:r>
          </w:p>
        </w:tc>
        <w:tc>
          <w:tcPr>
            <w:tcW w:w="1038" w:type="pct"/>
          </w:tcPr>
          <w:p w14:paraId="2E71FE4C"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8</w:t>
            </w:r>
          </w:p>
        </w:tc>
      </w:tr>
      <w:tr w:rsidR="00EF613A" w14:paraId="4A561C6E" w14:textId="77777777">
        <w:trPr>
          <w:jc w:val="center"/>
        </w:trPr>
        <w:tc>
          <w:tcPr>
            <w:tcW w:w="846" w:type="pct"/>
            <w:shd w:val="clear" w:color="auto" w:fill="auto"/>
          </w:tcPr>
          <w:p w14:paraId="2A5D4E5A" w14:textId="77777777" w:rsidR="00EF613A" w:rsidRDefault="00C11C58">
            <w:pPr>
              <w:widowControl w:val="0"/>
              <w:spacing w:after="0"/>
              <w:rPr>
                <w:rFonts w:ascii="Arial" w:hAnsi="Arial" w:cs="Arial"/>
                <w:sz w:val="18"/>
                <w:szCs w:val="18"/>
              </w:rPr>
            </w:pPr>
            <m:oMathPara>
              <m:oMath>
                <m:r>
                  <w:rPr>
                    <w:rFonts w:ascii="Cambria Math" w:hAnsi="Cambria Math"/>
                    <w:sz w:val="22"/>
                    <w:szCs w:val="22"/>
                    <w:lang w:eastAsia="zh-CN"/>
                  </w:rPr>
                  <m:t>BW</m:t>
                </m:r>
              </m:oMath>
            </m:oMathPara>
          </w:p>
        </w:tc>
        <w:tc>
          <w:tcPr>
            <w:tcW w:w="747" w:type="pct"/>
            <w:shd w:val="clear" w:color="auto" w:fill="auto"/>
          </w:tcPr>
          <w:p w14:paraId="5893A497"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30MHz</w:t>
            </w:r>
          </w:p>
        </w:tc>
        <w:tc>
          <w:tcPr>
            <w:tcW w:w="1331" w:type="pct"/>
          </w:tcPr>
          <w:p w14:paraId="331E2327"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30MHz</w:t>
            </w:r>
          </w:p>
        </w:tc>
        <w:tc>
          <w:tcPr>
            <w:tcW w:w="1038" w:type="pct"/>
          </w:tcPr>
          <w:p w14:paraId="26375108"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30MHz</w:t>
            </w:r>
          </w:p>
        </w:tc>
        <w:tc>
          <w:tcPr>
            <w:tcW w:w="1038" w:type="pct"/>
          </w:tcPr>
          <w:p w14:paraId="332C6CC9"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1.44MHz</w:t>
            </w:r>
          </w:p>
        </w:tc>
      </w:tr>
      <w:tr w:rsidR="00EF613A" w14:paraId="53A02D64" w14:textId="77777777">
        <w:trPr>
          <w:jc w:val="center"/>
        </w:trPr>
        <w:tc>
          <w:tcPr>
            <w:tcW w:w="846" w:type="pct"/>
            <w:shd w:val="clear" w:color="auto" w:fill="auto"/>
          </w:tcPr>
          <w:p w14:paraId="648D97C1" w14:textId="77777777" w:rsidR="00EF613A" w:rsidRDefault="00C11C58">
            <w:pPr>
              <w:widowControl w:val="0"/>
              <w:spacing w:after="0"/>
              <w:rPr>
                <w:rFonts w:ascii="Arial" w:hAnsi="Arial" w:cs="Arial"/>
                <w:sz w:val="18"/>
                <w:szCs w:val="18"/>
              </w:rPr>
            </w:pPr>
            <w:r>
              <w:rPr>
                <w:rFonts w:ascii="Arial" w:hAnsi="Arial" w:cs="Arial"/>
                <w:sz w:val="18"/>
                <w:szCs w:val="18"/>
              </w:rPr>
              <w:t>Overhead assumptions</w:t>
            </w:r>
          </w:p>
        </w:tc>
        <w:tc>
          <w:tcPr>
            <w:tcW w:w="747" w:type="pct"/>
            <w:shd w:val="clear" w:color="auto" w:fill="auto"/>
          </w:tcPr>
          <w:p w14:paraId="2703A141" w14:textId="77777777" w:rsidR="00EF613A" w:rsidRDefault="00C11C58">
            <w:pPr>
              <w:widowControl w:val="0"/>
              <w:numPr>
                <w:ilvl w:val="0"/>
                <w:numId w:val="10"/>
              </w:numPr>
              <w:snapToGrid w:val="0"/>
              <w:spacing w:after="0"/>
              <w:ind w:left="274" w:hanging="274"/>
              <w:rPr>
                <w:rFonts w:ascii="Arial" w:eastAsiaTheme="minorEastAsia" w:hAnsi="Arial" w:cs="Arial"/>
                <w:sz w:val="18"/>
                <w:szCs w:val="18"/>
              </w:rPr>
            </w:pPr>
            <w:r>
              <w:rPr>
                <w:rFonts w:ascii="Arial" w:hAnsi="Arial" w:cs="Arial"/>
                <w:sz w:val="18"/>
                <w:szCs w:val="18"/>
              </w:rPr>
              <w:t>PDCCH: CORESET of 24 PRBs</w:t>
            </w:r>
            <w:r>
              <w:rPr>
                <w:rFonts w:ascii="Arial" w:eastAsiaTheme="minorEastAsia" w:hAnsi="Arial" w:cs="Arial"/>
                <w:sz w:val="18"/>
                <w:szCs w:val="18"/>
                <w:lang w:eastAsia="zh-CN"/>
              </w:rPr>
              <w:t xml:space="preserve"> </w:t>
            </w:r>
            <w:r>
              <w:rPr>
                <w:rFonts w:ascii="Arial" w:hAnsi="Arial" w:cs="Arial"/>
                <w:sz w:val="18"/>
                <w:szCs w:val="18"/>
              </w:rPr>
              <w:t xml:space="preserve">(4 CCE; AL 4) in every slot </w:t>
            </w:r>
          </w:p>
          <w:p w14:paraId="514E01CB" w14:textId="77777777" w:rsidR="00EF613A" w:rsidRDefault="00C11C58">
            <w:pPr>
              <w:widowControl w:val="0"/>
              <w:snapToGrid w:val="0"/>
              <w:spacing w:after="0"/>
              <w:ind w:left="274"/>
              <w:rPr>
                <w:rFonts w:ascii="Arial" w:eastAsiaTheme="minorEastAsia" w:hAnsi="Arial" w:cs="Arial"/>
                <w:sz w:val="18"/>
                <w:szCs w:val="18"/>
              </w:rPr>
            </w:pPr>
            <w:r>
              <w:rPr>
                <w:rFonts w:ascii="Arial" w:eastAsiaTheme="minorEastAsia" w:hAnsi="Arial" w:cs="Arial"/>
                <w:sz w:val="18"/>
                <w:szCs w:val="18"/>
              </w:rPr>
              <w:sym w:font="Wingdings" w:char="F0E0"/>
            </w:r>
            <w:r>
              <w:rPr>
                <w:rFonts w:ascii="Arial" w:eastAsiaTheme="minorEastAsia" w:hAnsi="Arial" w:cs="Arial"/>
                <w:sz w:val="18"/>
                <w:szCs w:val="18"/>
              </w:rPr>
              <w:t xml:space="preserve"> </w:t>
            </w:r>
            <w:r>
              <w:rPr>
                <w:rFonts w:ascii="Arial" w:hAnsi="Arial" w:cs="Arial"/>
                <w:sz w:val="18"/>
                <w:szCs w:val="18"/>
              </w:rPr>
              <w:t>12 RE/PRB/slot</w:t>
            </w:r>
          </w:p>
          <w:p w14:paraId="38A7B804" w14:textId="77777777" w:rsidR="00EF613A" w:rsidRDefault="00C11C58">
            <w:pPr>
              <w:widowControl w:val="0"/>
              <w:numPr>
                <w:ilvl w:val="0"/>
                <w:numId w:val="10"/>
              </w:numPr>
              <w:snapToGrid w:val="0"/>
              <w:spacing w:after="0"/>
              <w:ind w:left="274" w:hanging="274"/>
              <w:rPr>
                <w:rFonts w:ascii="Arial" w:eastAsiaTheme="minorEastAsia" w:hAnsi="Arial" w:cs="Arial"/>
                <w:sz w:val="18"/>
                <w:szCs w:val="18"/>
              </w:rPr>
            </w:pPr>
            <w:r>
              <w:rPr>
                <w:rFonts w:ascii="Arial" w:hAnsi="Arial" w:cs="Arial"/>
                <w:sz w:val="18"/>
                <w:szCs w:val="18"/>
              </w:rPr>
              <w:t>TRS burst of 2 slots with periodicity of 80 ms and occupies 52 PRBs</w:t>
            </w:r>
            <w:r>
              <w:rPr>
                <w:rFonts w:ascii="Arial" w:eastAsiaTheme="minorEastAsia" w:hAnsi="Arial" w:cs="Arial"/>
                <w:sz w:val="18"/>
                <w:szCs w:val="18"/>
              </w:rPr>
              <w:br/>
            </w:r>
            <w:r>
              <w:rPr>
                <w:rFonts w:ascii="Arial" w:eastAsiaTheme="minorEastAsia" w:hAnsi="Arial" w:cs="Arial"/>
                <w:sz w:val="18"/>
                <w:szCs w:val="18"/>
              </w:rPr>
              <w:lastRenderedPageBreak/>
              <w:sym w:font="Wingdings" w:char="F0E0"/>
            </w:r>
            <w:r>
              <w:rPr>
                <w:rFonts w:ascii="Arial" w:eastAsiaTheme="minorEastAsia" w:hAnsi="Arial" w:cs="Arial"/>
                <w:sz w:val="18"/>
                <w:szCs w:val="18"/>
              </w:rPr>
              <w:t xml:space="preserve"> </w:t>
            </w:r>
            <w:r>
              <w:rPr>
                <w:rFonts w:ascii="Arial" w:hAnsi="Arial" w:cs="Arial"/>
                <w:sz w:val="18"/>
                <w:szCs w:val="18"/>
              </w:rPr>
              <w:t>12 RE/PRB/80 ms</w:t>
            </w:r>
          </w:p>
          <w:p w14:paraId="154B412E" w14:textId="77777777" w:rsidR="00EF613A" w:rsidRDefault="00C11C58">
            <w:pPr>
              <w:widowControl w:val="0"/>
              <w:numPr>
                <w:ilvl w:val="0"/>
                <w:numId w:val="10"/>
              </w:numPr>
              <w:snapToGrid w:val="0"/>
              <w:spacing w:after="0"/>
              <w:ind w:left="274" w:hanging="274"/>
              <w:rPr>
                <w:rFonts w:ascii="Arial" w:eastAsiaTheme="minorEastAsia" w:hAnsi="Arial" w:cs="Arial"/>
                <w:sz w:val="18"/>
                <w:szCs w:val="18"/>
              </w:rPr>
            </w:pPr>
            <w:r>
              <w:rPr>
                <w:rFonts w:ascii="Arial" w:hAnsi="Arial" w:cs="Arial"/>
                <w:sz w:val="18"/>
                <w:szCs w:val="18"/>
              </w:rPr>
              <w:t>DMRS: Type 1, Mapping A</w:t>
            </w:r>
          </w:p>
          <w:p w14:paraId="03103F62" w14:textId="77777777" w:rsidR="00EF613A" w:rsidRDefault="00C11C58">
            <w:pPr>
              <w:widowControl w:val="0"/>
              <w:snapToGrid w:val="0"/>
              <w:spacing w:after="0"/>
              <w:ind w:left="274"/>
              <w:rPr>
                <w:rFonts w:ascii="Arial" w:eastAsiaTheme="minorEastAsia" w:hAnsi="Arial" w:cs="Arial"/>
                <w:sz w:val="18"/>
                <w:szCs w:val="18"/>
              </w:rPr>
            </w:pPr>
            <w:r>
              <w:rPr>
                <w:rFonts w:ascii="Arial" w:hAnsi="Arial" w:cs="Arial"/>
                <w:sz w:val="18"/>
                <w:szCs w:val="18"/>
              </w:rPr>
              <w:sym w:font="Wingdings" w:char="F0E0"/>
            </w:r>
            <w:r>
              <w:rPr>
                <w:rFonts w:ascii="Arial" w:hAnsi="Arial" w:cs="Arial"/>
                <w:sz w:val="18"/>
                <w:szCs w:val="18"/>
              </w:rPr>
              <w:t xml:space="preserve"> 12 RE/PRB/slot</w:t>
            </w:r>
            <w:r>
              <w:rPr>
                <w:rFonts w:ascii="Arial" w:eastAsiaTheme="minorEastAsia" w:hAnsi="Arial" w:cs="Arial"/>
                <w:sz w:val="18"/>
                <w:szCs w:val="18"/>
                <w:lang w:eastAsia="zh-CN"/>
              </w:rPr>
              <w:t xml:space="preserve"> </w:t>
            </w:r>
          </w:p>
          <w:p w14:paraId="215C3286" w14:textId="77777777" w:rsidR="00EF613A" w:rsidRDefault="00C11C58">
            <w:pPr>
              <w:widowControl w:val="0"/>
              <w:numPr>
                <w:ilvl w:val="0"/>
                <w:numId w:val="10"/>
              </w:numPr>
              <w:snapToGrid w:val="0"/>
              <w:spacing w:after="0"/>
              <w:ind w:left="274" w:hanging="274"/>
              <w:rPr>
                <w:rFonts w:ascii="Arial" w:eastAsiaTheme="minorEastAsia" w:hAnsi="Arial" w:cs="Arial"/>
                <w:sz w:val="18"/>
                <w:szCs w:val="18"/>
              </w:rPr>
            </w:pPr>
            <w:r>
              <w:rPr>
                <w:rFonts w:ascii="Arial" w:hAnsi="Arial" w:cs="Arial"/>
                <w:sz w:val="18"/>
                <w:szCs w:val="18"/>
              </w:rPr>
              <w:t>CSI-RS: 1 CSI-RS ports with periodicity of 20 ms</w:t>
            </w:r>
            <w:r>
              <w:rPr>
                <w:rFonts w:ascii="Arial" w:eastAsiaTheme="minorEastAsia" w:hAnsi="Arial" w:cs="Arial"/>
                <w:sz w:val="18"/>
                <w:szCs w:val="18"/>
              </w:rPr>
              <w:br/>
            </w:r>
            <w:r>
              <w:rPr>
                <w:rFonts w:ascii="Arial" w:eastAsiaTheme="minorEastAsia" w:hAnsi="Arial" w:cs="Arial"/>
                <w:sz w:val="18"/>
                <w:szCs w:val="18"/>
              </w:rPr>
              <w:sym w:font="Wingdings" w:char="F0E0"/>
            </w:r>
            <w:r>
              <w:rPr>
                <w:rFonts w:ascii="Arial" w:eastAsiaTheme="minorEastAsia" w:hAnsi="Arial" w:cs="Arial"/>
                <w:sz w:val="18"/>
                <w:szCs w:val="18"/>
              </w:rPr>
              <w:t xml:space="preserve"> 1</w:t>
            </w:r>
            <w:r>
              <w:rPr>
                <w:rFonts w:ascii="Arial" w:hAnsi="Arial" w:cs="Arial"/>
                <w:sz w:val="18"/>
                <w:szCs w:val="18"/>
              </w:rPr>
              <w:t xml:space="preserve"> RE/PRB/20 ms</w:t>
            </w:r>
          </w:p>
          <w:p w14:paraId="690B00B1" w14:textId="77777777" w:rsidR="00EF613A" w:rsidRDefault="00C11C58">
            <w:pPr>
              <w:widowControl w:val="0"/>
              <w:numPr>
                <w:ilvl w:val="0"/>
                <w:numId w:val="10"/>
              </w:numPr>
              <w:snapToGrid w:val="0"/>
              <w:spacing w:after="0"/>
              <w:ind w:left="274" w:hanging="274"/>
              <w:rPr>
                <w:rFonts w:ascii="Arial" w:eastAsiaTheme="minorEastAsia" w:hAnsi="Arial" w:cs="Arial"/>
                <w:sz w:val="18"/>
                <w:szCs w:val="18"/>
              </w:rPr>
            </w:pPr>
            <w:r>
              <w:rPr>
                <w:rFonts w:ascii="Arial" w:hAnsi="Arial" w:cs="Arial"/>
                <w:sz w:val="18"/>
                <w:szCs w:val="18"/>
              </w:rPr>
              <w:t>1 SS/PBCH blocks (SSB) per 20 ms</w:t>
            </w:r>
            <w:r>
              <w:rPr>
                <w:rFonts w:ascii="Arial" w:eastAsiaTheme="minorEastAsia" w:hAnsi="Arial" w:cs="Arial"/>
                <w:sz w:val="18"/>
                <w:szCs w:val="18"/>
                <w:lang w:eastAsia="zh-CN"/>
              </w:rPr>
              <w:t xml:space="preserve">; one SSB occupies 960 REs = 4 OFDM symbols </w:t>
            </w:r>
            <w:r>
              <w:rPr>
                <w:rFonts w:ascii="Arial" w:hAnsi="Arial" w:cs="Arial" w:hint="eastAsia"/>
                <w:sz w:val="18"/>
                <w:szCs w:val="18"/>
                <w:lang w:eastAsia="zh-CN"/>
              </w:rPr>
              <w:t>×</w:t>
            </w:r>
            <w:r>
              <w:rPr>
                <w:rFonts w:ascii="Arial" w:eastAsiaTheme="minorEastAsia" w:hAnsi="Arial" w:cs="Arial"/>
                <w:sz w:val="18"/>
                <w:szCs w:val="18"/>
                <w:lang w:eastAsia="zh-CN"/>
              </w:rPr>
              <w:t xml:space="preserve"> 20 PRB </w:t>
            </w:r>
            <w:r>
              <w:rPr>
                <w:rFonts w:ascii="Arial" w:hAnsi="Arial" w:cs="Arial" w:hint="eastAsia"/>
                <w:sz w:val="18"/>
                <w:szCs w:val="18"/>
                <w:lang w:eastAsia="zh-CN"/>
              </w:rPr>
              <w:t>×</w:t>
            </w:r>
            <w:r>
              <w:rPr>
                <w:rFonts w:ascii="Arial" w:eastAsiaTheme="minorEastAsia" w:hAnsi="Arial" w:cs="Arial"/>
                <w:sz w:val="18"/>
                <w:szCs w:val="18"/>
                <w:lang w:eastAsia="zh-CN"/>
              </w:rPr>
              <w:t xml:space="preserve"> 12 REs/PRB</w:t>
            </w:r>
            <w:r>
              <w:rPr>
                <w:rFonts w:ascii="Arial" w:hAnsi="Arial" w:cs="Arial"/>
                <w:sz w:val="18"/>
                <w:szCs w:val="18"/>
              </w:rPr>
              <w:t xml:space="preserve"> </w:t>
            </w:r>
          </w:p>
          <w:p w14:paraId="6626781D" w14:textId="77777777" w:rsidR="00EF613A" w:rsidRDefault="00C11C58">
            <w:pPr>
              <w:widowControl w:val="0"/>
              <w:snapToGrid w:val="0"/>
              <w:spacing w:after="0"/>
              <w:rPr>
                <w:rFonts w:ascii="Arial" w:eastAsiaTheme="minorEastAsia" w:hAnsi="Arial" w:cs="Arial"/>
                <w:sz w:val="18"/>
                <w:szCs w:val="18"/>
              </w:rPr>
            </w:pPr>
            <w:r>
              <w:rPr>
                <w:rFonts w:ascii="Arial" w:hAnsi="Arial" w:cs="Arial"/>
                <w:sz w:val="16"/>
                <w:szCs w:val="16"/>
                <w:lang w:eastAsia="zh-CN"/>
              </w:rPr>
              <w:t>NOTE: If the channel bandwidth is less than TRS bandwidth, the TRS bandwidth is assumed to be equal to the channel bandwidth.</w:t>
            </w:r>
          </w:p>
        </w:tc>
        <w:tc>
          <w:tcPr>
            <w:tcW w:w="1331" w:type="pct"/>
          </w:tcPr>
          <w:p w14:paraId="6CDAED5D" w14:textId="77777777" w:rsidR="00EF613A" w:rsidRDefault="00C11C58">
            <w:pPr>
              <w:widowControl w:val="0"/>
              <w:snapToGrid w:val="0"/>
              <w:spacing w:after="0"/>
              <w:ind w:left="274"/>
              <w:rPr>
                <w:rFonts w:ascii="Arial" w:hAnsi="Arial" w:cs="Arial"/>
                <w:sz w:val="18"/>
                <w:szCs w:val="18"/>
              </w:rPr>
            </w:pPr>
            <w:r>
              <w:rPr>
                <w:rFonts w:ascii="Arial" w:hAnsi="Arial" w:cs="Arial"/>
                <w:sz w:val="18"/>
                <w:szCs w:val="18"/>
              </w:rPr>
              <w:lastRenderedPageBreak/>
              <w:t>0.14</w:t>
            </w:r>
          </w:p>
        </w:tc>
        <w:tc>
          <w:tcPr>
            <w:tcW w:w="1038" w:type="pct"/>
          </w:tcPr>
          <w:p w14:paraId="25D0FA27" w14:textId="77777777" w:rsidR="00EF613A" w:rsidRDefault="00C11C58">
            <w:pPr>
              <w:widowControl w:val="0"/>
              <w:numPr>
                <w:ilvl w:val="0"/>
                <w:numId w:val="11"/>
              </w:numPr>
              <w:snapToGrid w:val="0"/>
              <w:spacing w:after="0"/>
              <w:ind w:left="218" w:hanging="202"/>
              <w:jc w:val="both"/>
              <w:rPr>
                <w:rFonts w:ascii="Arial" w:eastAsiaTheme="minorEastAsia" w:hAnsi="Arial" w:cs="Arial"/>
                <w:sz w:val="18"/>
                <w:szCs w:val="18"/>
                <w:lang w:eastAsia="zh-CN"/>
              </w:rPr>
            </w:pPr>
            <w:r>
              <w:rPr>
                <w:rFonts w:ascii="Arial" w:hAnsi="Arial" w:cs="Arial"/>
                <w:sz w:val="18"/>
                <w:szCs w:val="18"/>
                <w:lang w:eastAsia="zh-CN"/>
              </w:rPr>
              <w:t>PUCCH: short PUCCH with 1 PRB and 1 symbol in every UL slot</w:t>
            </w:r>
            <w:r>
              <w:rPr>
                <w:rFonts w:ascii="Arial" w:hAnsi="Arial" w:cs="Arial"/>
                <w:sz w:val="18"/>
                <w:szCs w:val="18"/>
                <w:lang w:eastAsia="zh-CN"/>
              </w:rPr>
              <w:br/>
            </w:r>
            <w:r>
              <w:rPr>
                <w:rFonts w:ascii="Arial" w:hAnsi="Arial" w:cs="Arial"/>
                <w:sz w:val="18"/>
                <w:szCs w:val="18"/>
                <w:lang w:eastAsia="zh-CN"/>
              </w:rPr>
              <w:sym w:font="Wingdings" w:char="F0E0"/>
            </w:r>
            <w:r>
              <w:rPr>
                <w:rFonts w:ascii="Arial" w:hAnsi="Arial" w:cs="Arial"/>
                <w:sz w:val="18"/>
                <w:szCs w:val="18"/>
                <w:lang w:eastAsia="zh-CN"/>
              </w:rPr>
              <w:t xml:space="preserve"> 12 RE/slot</w:t>
            </w:r>
          </w:p>
          <w:p w14:paraId="5D197D43" w14:textId="77777777" w:rsidR="00EF613A" w:rsidRDefault="00C11C58">
            <w:pPr>
              <w:widowControl w:val="0"/>
              <w:numPr>
                <w:ilvl w:val="0"/>
                <w:numId w:val="11"/>
              </w:numPr>
              <w:overflowPunct w:val="0"/>
              <w:autoSpaceDE w:val="0"/>
              <w:autoSpaceDN w:val="0"/>
              <w:adjustRightInd w:val="0"/>
              <w:snapToGrid w:val="0"/>
              <w:spacing w:after="0"/>
              <w:ind w:left="218" w:hanging="202"/>
              <w:jc w:val="both"/>
              <w:textAlignment w:val="baseline"/>
              <w:rPr>
                <w:rFonts w:ascii="Arial" w:eastAsiaTheme="minorEastAsia" w:hAnsi="Arial" w:cs="Arial"/>
                <w:sz w:val="18"/>
                <w:szCs w:val="18"/>
                <w:lang w:eastAsia="zh-CN"/>
              </w:rPr>
            </w:pPr>
            <w:r>
              <w:rPr>
                <w:rFonts w:ascii="Arial" w:hAnsi="Arial" w:cs="Arial"/>
                <w:sz w:val="18"/>
                <w:szCs w:val="18"/>
                <w:lang w:eastAsia="zh-CN"/>
              </w:rPr>
              <w:t xml:space="preserve">DMRS: Type 1, one complete symbol </w:t>
            </w:r>
            <w:r>
              <w:rPr>
                <w:rFonts w:ascii="Arial" w:hAnsi="Arial" w:cs="Arial"/>
                <w:sz w:val="18"/>
                <w:szCs w:val="18"/>
                <w:lang w:eastAsia="zh-CN"/>
              </w:rPr>
              <w:br/>
            </w:r>
            <w:r>
              <w:rPr>
                <w:rFonts w:ascii="Arial" w:hAnsi="Arial" w:cs="Arial"/>
                <w:sz w:val="18"/>
                <w:szCs w:val="18"/>
                <w:lang w:eastAsia="zh-CN"/>
              </w:rPr>
              <w:sym w:font="Wingdings" w:char="F0E0"/>
            </w:r>
            <w:r>
              <w:rPr>
                <w:rFonts w:ascii="Arial" w:hAnsi="Arial" w:cs="Arial"/>
                <w:sz w:val="18"/>
                <w:szCs w:val="18"/>
                <w:lang w:eastAsia="zh-CN"/>
              </w:rPr>
              <w:t xml:space="preserve"> 12 RE/PRB/slot</w:t>
            </w:r>
          </w:p>
          <w:p w14:paraId="35E75E0A" w14:textId="77777777" w:rsidR="00EF613A" w:rsidRDefault="00C11C58">
            <w:pPr>
              <w:widowControl w:val="0"/>
              <w:numPr>
                <w:ilvl w:val="0"/>
                <w:numId w:val="10"/>
              </w:numPr>
              <w:snapToGrid w:val="0"/>
              <w:spacing w:after="0"/>
              <w:ind w:left="274" w:hanging="274"/>
              <w:rPr>
                <w:rFonts w:ascii="Arial" w:hAnsi="Arial" w:cs="Arial"/>
                <w:sz w:val="18"/>
                <w:szCs w:val="18"/>
              </w:rPr>
            </w:pPr>
            <w:r>
              <w:rPr>
                <w:rFonts w:ascii="Arial" w:hAnsi="Arial" w:cs="Arial"/>
                <w:sz w:val="18"/>
                <w:szCs w:val="18"/>
                <w:lang w:eastAsia="zh-CN"/>
              </w:rPr>
              <w:t xml:space="preserve">SRS: 1 symbol with periodicity </w:t>
            </w:r>
            <w:r>
              <w:rPr>
                <w:rFonts w:ascii="Arial" w:hAnsi="Arial" w:cs="Arial"/>
                <w:sz w:val="18"/>
                <w:szCs w:val="18"/>
                <w:lang w:eastAsia="zh-CN"/>
              </w:rPr>
              <w:lastRenderedPageBreak/>
              <w:t>of 10 ms</w:t>
            </w:r>
            <w:r>
              <w:rPr>
                <w:rFonts w:ascii="Arial" w:hAnsi="Arial" w:cs="Arial"/>
                <w:sz w:val="16"/>
                <w:szCs w:val="16"/>
                <w:lang w:eastAsia="zh-CN"/>
              </w:rPr>
              <w:t xml:space="preserve"> </w:t>
            </w:r>
          </w:p>
        </w:tc>
        <w:tc>
          <w:tcPr>
            <w:tcW w:w="1038" w:type="pct"/>
          </w:tcPr>
          <w:p w14:paraId="080F724A" w14:textId="77777777" w:rsidR="00EF613A" w:rsidRDefault="00C11C58">
            <w:pPr>
              <w:widowControl w:val="0"/>
              <w:snapToGrid w:val="0"/>
              <w:spacing w:after="0"/>
              <w:ind w:left="274"/>
              <w:rPr>
                <w:rFonts w:ascii="Arial" w:hAnsi="Arial" w:cs="Arial"/>
                <w:sz w:val="18"/>
                <w:szCs w:val="18"/>
              </w:rPr>
            </w:pPr>
            <w:r>
              <w:rPr>
                <w:rFonts w:ascii="Arial" w:hAnsi="Arial" w:cs="Arial"/>
                <w:sz w:val="18"/>
                <w:szCs w:val="18"/>
              </w:rPr>
              <w:lastRenderedPageBreak/>
              <w:t>0.08</w:t>
            </w:r>
          </w:p>
        </w:tc>
      </w:tr>
    </w:tbl>
    <w:p w14:paraId="42FA2B1F" w14:textId="77777777" w:rsidR="00EF613A" w:rsidRDefault="00EF613A">
      <w:pPr>
        <w:rPr>
          <w:b/>
          <w:bCs/>
        </w:rPr>
      </w:pPr>
    </w:p>
    <w:p w14:paraId="12551D48" w14:textId="77777777" w:rsidR="00EF613A" w:rsidRDefault="00C11C58">
      <w:r>
        <w:t>For discussion, companies are encouraged to provide input on the different values:</w:t>
      </w:r>
    </w:p>
    <w:p w14:paraId="6650FE8A" w14:textId="77777777" w:rsidR="00EF613A" w:rsidRDefault="00C11C58">
      <w:pPr>
        <w:pStyle w:val="2"/>
      </w:pPr>
      <w:r>
        <w:t>Q3.2: Please provide comments on the parameters for peak SE in the tables below:</w:t>
      </w:r>
    </w:p>
    <w:p w14:paraId="4C41D47D" w14:textId="77777777" w:rsidR="00EF613A" w:rsidRDefault="00EF613A"/>
    <w:p w14:paraId="1481AFE1" w14:textId="77777777" w:rsidR="00EF613A" w:rsidRDefault="00C11C58">
      <w:pPr>
        <w:pStyle w:val="a4"/>
        <w:keepNext/>
        <w:jc w:val="center"/>
      </w:pPr>
      <w:r>
        <w:t>Table 3.2 – Peak SE parameters for downlink</w:t>
      </w:r>
    </w:p>
    <w:tbl>
      <w:tblPr>
        <w:tblStyle w:val="4-11"/>
        <w:tblW w:w="0" w:type="auto"/>
        <w:tblLook w:val="04A0" w:firstRow="1" w:lastRow="0" w:firstColumn="1" w:lastColumn="0" w:noHBand="0" w:noVBand="1"/>
      </w:tblPr>
      <w:tblGrid>
        <w:gridCol w:w="1586"/>
        <w:gridCol w:w="1586"/>
        <w:gridCol w:w="1586"/>
        <w:gridCol w:w="1586"/>
        <w:gridCol w:w="1586"/>
        <w:gridCol w:w="1587"/>
        <w:gridCol w:w="1587"/>
        <w:gridCol w:w="1587"/>
        <w:gridCol w:w="1587"/>
      </w:tblGrid>
      <w:tr w:rsidR="00EF613A" w14:paraId="1C1FEB8F"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6" w:type="dxa"/>
          </w:tcPr>
          <w:p w14:paraId="4E4516DD" w14:textId="77777777" w:rsidR="00EF613A" w:rsidRDefault="00C11C58">
            <w:pPr>
              <w:rPr>
                <w:b w:val="0"/>
                <w:bCs w:val="0"/>
              </w:rPr>
            </w:pPr>
            <w:r>
              <w:t>Company</w:t>
            </w:r>
          </w:p>
        </w:tc>
        <w:tc>
          <w:tcPr>
            <w:tcW w:w="1586" w:type="dxa"/>
          </w:tcPr>
          <w:p w14:paraId="4B8B0B1B" w14:textId="77777777" w:rsidR="00EF613A" w:rsidRDefault="00436EC9">
            <w:pPr>
              <w:cnfStyle w:val="100000000000" w:firstRow="1" w:lastRow="0" w:firstColumn="0" w:lastColumn="0" w:oddVBand="0" w:evenVBand="0" w:oddHBand="0" w:evenHBand="0" w:firstRowFirstColumn="0" w:firstRowLastColumn="0" w:lastRowFirstColumn="0" w:lastRowLastColumn="0"/>
              <w:rPr>
                <w:b w:val="0"/>
                <w:bCs w:val="0"/>
              </w:rPr>
            </w:pPr>
            <m:oMathPara>
              <m:oMath>
                <m:sSub>
                  <m:sSubPr>
                    <m:ctrlPr>
                      <w:rPr>
                        <w:rFonts w:ascii="Cambria Math" w:hAnsi="Cambria Math"/>
                        <w:i/>
                      </w:rPr>
                    </m:ctrlPr>
                  </m:sSubPr>
                  <m:e>
                    <m:r>
                      <m:rPr>
                        <m:sty m:val="bi"/>
                      </m:rPr>
                      <w:rPr>
                        <w:rFonts w:ascii="Cambria Math"/>
                      </w:rPr>
                      <m:t>v</m:t>
                    </m:r>
                  </m:e>
                  <m:sub>
                    <m:r>
                      <m:rPr>
                        <m:sty m:val="bi"/>
                      </m:rPr>
                      <w:rPr>
                        <w:rFonts w:ascii="Cambria Math"/>
                      </w:rPr>
                      <m:t>Layers</m:t>
                    </m:r>
                  </m:sub>
                </m:sSub>
              </m:oMath>
            </m:oMathPara>
          </w:p>
        </w:tc>
        <w:tc>
          <w:tcPr>
            <w:tcW w:w="1586" w:type="dxa"/>
          </w:tcPr>
          <w:p w14:paraId="735A7E6E" w14:textId="77777777" w:rsidR="00EF613A" w:rsidRDefault="00436EC9">
            <w:pPr>
              <w:cnfStyle w:val="100000000000" w:firstRow="1" w:lastRow="0" w:firstColumn="0" w:lastColumn="0" w:oddVBand="0" w:evenVBand="0" w:oddHBand="0" w:evenHBand="0" w:firstRowFirstColumn="0" w:firstRowLastColumn="0" w:lastRowFirstColumn="0" w:lastRowLastColumn="0"/>
              <w:rPr>
                <w:b w:val="0"/>
                <w:bCs w:val="0"/>
              </w:rPr>
            </w:pPr>
            <m:oMathPara>
              <m:oMath>
                <m:sSub>
                  <m:sSubPr>
                    <m:ctrlPr>
                      <w:rPr>
                        <w:rFonts w:ascii="Cambria Math" w:hAnsi="Cambria Math"/>
                        <w:i/>
                      </w:rPr>
                    </m:ctrlPr>
                  </m:sSubPr>
                  <m:e>
                    <m:r>
                      <m:rPr>
                        <m:sty m:val="bi"/>
                      </m:rPr>
                      <w:rPr>
                        <w:rFonts w:ascii="Cambria Math"/>
                      </w:rPr>
                      <m:t>Q</m:t>
                    </m:r>
                  </m:e>
                  <m:sub>
                    <m:r>
                      <m:rPr>
                        <m:sty m:val="bi"/>
                      </m:rPr>
                      <w:rPr>
                        <w:rFonts w:ascii="Cambria Math"/>
                      </w:rPr>
                      <m:t>m</m:t>
                    </m:r>
                  </m:sub>
                </m:sSub>
              </m:oMath>
            </m:oMathPara>
          </w:p>
        </w:tc>
        <w:tc>
          <w:tcPr>
            <w:tcW w:w="1586" w:type="dxa"/>
          </w:tcPr>
          <w:p w14:paraId="14FEB1C7"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rPr>
                  <m:t>f</m:t>
                </m:r>
              </m:oMath>
            </m:oMathPara>
          </w:p>
        </w:tc>
        <w:tc>
          <w:tcPr>
            <w:tcW w:w="1586" w:type="dxa"/>
          </w:tcPr>
          <w:p w14:paraId="09F6DE63" w14:textId="77777777" w:rsidR="00EF613A" w:rsidRDefault="00436EC9">
            <w:pPr>
              <w:cnfStyle w:val="100000000000" w:firstRow="1" w:lastRow="0" w:firstColumn="0" w:lastColumn="0" w:oddVBand="0" w:evenVBand="0" w:oddHBand="0" w:evenHBand="0" w:firstRowFirstColumn="0" w:firstRowLastColumn="0" w:lastRowFirstColumn="0" w:lastRowLastColumn="0"/>
              <w:rPr>
                <w:b w:val="0"/>
                <w:bCs w:val="0"/>
              </w:rPr>
            </w:pPr>
            <m:oMathPara>
              <m:oMath>
                <m:sSub>
                  <m:sSubPr>
                    <m:ctrlPr>
                      <w:rPr>
                        <w:rFonts w:ascii="Cambria Math" w:hAnsi="Cambria Math"/>
                        <w:i/>
                      </w:rPr>
                    </m:ctrlPr>
                  </m:sSubPr>
                  <m:e>
                    <m:r>
                      <m:rPr>
                        <m:sty m:val="bi"/>
                      </m:rPr>
                      <w:rPr>
                        <w:rFonts w:ascii="Cambria Math"/>
                      </w:rPr>
                      <m:t>R</m:t>
                    </m:r>
                  </m:e>
                  <m:sub>
                    <m:r>
                      <m:rPr>
                        <m:sty m:val="bi"/>
                      </m:rPr>
                      <w:rPr>
                        <w:rFonts w:ascii="Cambria Math"/>
                      </w:rPr>
                      <m:t>max</m:t>
                    </m:r>
                  </m:sub>
                </m:sSub>
              </m:oMath>
            </m:oMathPara>
          </w:p>
        </w:tc>
        <w:tc>
          <w:tcPr>
            <w:tcW w:w="1587" w:type="dxa"/>
          </w:tcPr>
          <w:p w14:paraId="767643E1"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hAnsi="Cambria Math"/>
                  </w:rPr>
                  <m:t>μ</m:t>
                </m:r>
              </m:oMath>
            </m:oMathPara>
          </w:p>
        </w:tc>
        <w:tc>
          <w:tcPr>
            <w:tcW w:w="1587" w:type="dxa"/>
          </w:tcPr>
          <w:p w14:paraId="3217056D" w14:textId="77777777" w:rsidR="00EF613A" w:rsidRDefault="00436EC9">
            <w:pPr>
              <w:cnfStyle w:val="100000000000" w:firstRow="1" w:lastRow="0" w:firstColumn="0" w:lastColumn="0" w:oddVBand="0" w:evenVBand="0" w:oddHBand="0" w:evenHBand="0" w:firstRowFirstColumn="0" w:firstRowLastColumn="0" w:lastRowFirstColumn="0" w:lastRowLastColumn="0"/>
              <w:rPr>
                <w:b w:val="0"/>
                <w:bCs w:val="0"/>
              </w:rPr>
            </w:pPr>
            <m:oMathPara>
              <m:oMath>
                <m:sSubSup>
                  <m:sSubSupPr>
                    <m:ctrlPr>
                      <w:rPr>
                        <w:rFonts w:ascii="Cambria Math" w:hAnsi="Cambria Math"/>
                        <w:i/>
                      </w:rPr>
                    </m:ctrlPr>
                  </m:sSubSupPr>
                  <m:e>
                    <m:r>
                      <m:rPr>
                        <m:sty m:val="bi"/>
                      </m:rPr>
                      <w:rPr>
                        <w:rFonts w:ascii="Cambria Math"/>
                      </w:rPr>
                      <m:t>N</m:t>
                    </m:r>
                  </m:e>
                  <m:sub>
                    <m:r>
                      <m:rPr>
                        <m:sty m:val="bi"/>
                      </m:rPr>
                      <w:rPr>
                        <w:rFonts w:ascii="Cambria Math"/>
                      </w:rPr>
                      <m:t>PRB</m:t>
                    </m:r>
                  </m:sub>
                  <m:sup>
                    <m:r>
                      <m:rPr>
                        <m:sty m:val="bi"/>
                      </m:rPr>
                      <w:rPr>
                        <w:rFonts w:ascii="Cambria Math"/>
                      </w:rPr>
                      <m:t>BW</m:t>
                    </m:r>
                    <m:r>
                      <m:rPr>
                        <m:sty m:val="bi"/>
                      </m:rPr>
                      <w:rPr>
                        <w:rFonts w:ascii="Cambria Math"/>
                      </w:rPr>
                      <m:t>,</m:t>
                    </m:r>
                    <m:r>
                      <m:rPr>
                        <m:sty m:val="bi"/>
                      </m:rPr>
                      <w:rPr>
                        <w:rFonts w:ascii="Cambria Math"/>
                      </w:rPr>
                      <m:t>μ</m:t>
                    </m:r>
                  </m:sup>
                </m:sSubSup>
              </m:oMath>
            </m:oMathPara>
          </w:p>
        </w:tc>
        <w:tc>
          <w:tcPr>
            <w:tcW w:w="1587" w:type="dxa"/>
          </w:tcPr>
          <w:p w14:paraId="0C20FA3E"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rPr>
                  <m:t>OH</m:t>
                </m:r>
              </m:oMath>
            </m:oMathPara>
          </w:p>
        </w:tc>
        <w:tc>
          <w:tcPr>
            <w:tcW w:w="1587" w:type="dxa"/>
          </w:tcPr>
          <w:p w14:paraId="682CDCCF"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hAnsi="Cambria Math"/>
                    <w:lang w:eastAsia="zh-CN"/>
                  </w:rPr>
                  <m:t>BW</m:t>
                </m:r>
              </m:oMath>
            </m:oMathPara>
          </w:p>
        </w:tc>
      </w:tr>
      <w:tr w:rsidR="00EF613A" w14:paraId="3C64F49B" w14:textId="77777777" w:rsidTr="00EF613A">
        <w:tc>
          <w:tcPr>
            <w:cnfStyle w:val="001000000000" w:firstRow="0" w:lastRow="0" w:firstColumn="1" w:lastColumn="0" w:oddVBand="0" w:evenVBand="0" w:oddHBand="0" w:evenHBand="0" w:firstRowFirstColumn="0" w:firstRowLastColumn="0" w:lastRowFirstColumn="0" w:lastRowLastColumn="0"/>
            <w:tcW w:w="1586" w:type="dxa"/>
            <w:shd w:val="clear" w:color="auto" w:fill="D9E2F3" w:themeFill="accent1" w:themeFillTint="33"/>
          </w:tcPr>
          <w:p w14:paraId="0F9C982E" w14:textId="77777777" w:rsidR="00EF613A" w:rsidRDefault="00EF613A">
            <w:pPr>
              <w:rPr>
                <w:rFonts w:eastAsia="SimSun"/>
                <w:b w:val="0"/>
                <w:bCs w:val="0"/>
                <w:lang w:val="en-US" w:eastAsia="zh-CN"/>
              </w:rPr>
            </w:pPr>
          </w:p>
        </w:tc>
        <w:tc>
          <w:tcPr>
            <w:tcW w:w="1586" w:type="dxa"/>
            <w:shd w:val="clear" w:color="auto" w:fill="D9E2F3" w:themeFill="accent1" w:themeFillTint="33"/>
          </w:tcPr>
          <w:p w14:paraId="0586DE47" w14:textId="77777777" w:rsidR="00EF613A" w:rsidRDefault="00EF613A">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p>
        </w:tc>
        <w:tc>
          <w:tcPr>
            <w:tcW w:w="1586" w:type="dxa"/>
            <w:shd w:val="clear" w:color="auto" w:fill="D9E2F3" w:themeFill="accent1" w:themeFillTint="33"/>
          </w:tcPr>
          <w:p w14:paraId="2209FACC" w14:textId="77777777" w:rsidR="00EF613A" w:rsidRDefault="00EF613A">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p>
        </w:tc>
        <w:tc>
          <w:tcPr>
            <w:tcW w:w="1586" w:type="dxa"/>
            <w:shd w:val="clear" w:color="auto" w:fill="D9E2F3" w:themeFill="accent1" w:themeFillTint="33"/>
          </w:tcPr>
          <w:p w14:paraId="73E73601" w14:textId="77777777" w:rsidR="00EF613A" w:rsidRDefault="00EF613A">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p>
        </w:tc>
        <w:tc>
          <w:tcPr>
            <w:tcW w:w="1586" w:type="dxa"/>
            <w:shd w:val="clear" w:color="auto" w:fill="D9E2F3" w:themeFill="accent1" w:themeFillTint="33"/>
          </w:tcPr>
          <w:p w14:paraId="080FB2A9" w14:textId="77777777" w:rsidR="00EF613A" w:rsidRDefault="00EF613A">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p>
        </w:tc>
        <w:tc>
          <w:tcPr>
            <w:tcW w:w="1587" w:type="dxa"/>
            <w:shd w:val="clear" w:color="auto" w:fill="D9E2F3" w:themeFill="accent1" w:themeFillTint="33"/>
          </w:tcPr>
          <w:p w14:paraId="5D45BF41" w14:textId="77777777" w:rsidR="00EF613A" w:rsidRDefault="00EF613A">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p>
        </w:tc>
        <w:tc>
          <w:tcPr>
            <w:tcW w:w="1587" w:type="dxa"/>
            <w:shd w:val="clear" w:color="auto" w:fill="D9E2F3" w:themeFill="accent1" w:themeFillTint="33"/>
          </w:tcPr>
          <w:p w14:paraId="57C713DA" w14:textId="77777777" w:rsidR="00EF613A" w:rsidRDefault="00EF613A">
            <w:pPr>
              <w:cnfStyle w:val="000000000000" w:firstRow="0" w:lastRow="0" w:firstColumn="0" w:lastColumn="0" w:oddVBand="0" w:evenVBand="0" w:oddHBand="0" w:evenHBand="0" w:firstRowFirstColumn="0" w:firstRowLastColumn="0" w:lastRowFirstColumn="0" w:lastRowLastColumn="0"/>
            </w:pPr>
          </w:p>
        </w:tc>
        <w:tc>
          <w:tcPr>
            <w:tcW w:w="1587" w:type="dxa"/>
            <w:shd w:val="clear" w:color="auto" w:fill="D9E2F3" w:themeFill="accent1" w:themeFillTint="33"/>
          </w:tcPr>
          <w:p w14:paraId="0B5179F9" w14:textId="77777777" w:rsidR="00EF613A" w:rsidRDefault="00EF613A">
            <w:pPr>
              <w:cnfStyle w:val="000000000000" w:firstRow="0" w:lastRow="0" w:firstColumn="0" w:lastColumn="0" w:oddVBand="0" w:evenVBand="0" w:oddHBand="0" w:evenHBand="0" w:firstRowFirstColumn="0" w:firstRowLastColumn="0" w:lastRowFirstColumn="0" w:lastRowLastColumn="0"/>
            </w:pPr>
          </w:p>
        </w:tc>
        <w:tc>
          <w:tcPr>
            <w:tcW w:w="1587" w:type="dxa"/>
            <w:shd w:val="clear" w:color="auto" w:fill="D9E2F3" w:themeFill="accent1" w:themeFillTint="33"/>
          </w:tcPr>
          <w:p w14:paraId="4FC10EE3" w14:textId="77777777" w:rsidR="00EF613A" w:rsidRDefault="00EF613A">
            <w:pPr>
              <w:cnfStyle w:val="000000000000" w:firstRow="0" w:lastRow="0" w:firstColumn="0" w:lastColumn="0" w:oddVBand="0" w:evenVBand="0" w:oddHBand="0" w:evenHBand="0" w:firstRowFirstColumn="0" w:firstRowLastColumn="0" w:lastRowFirstColumn="0" w:lastRowLastColumn="0"/>
            </w:pPr>
          </w:p>
        </w:tc>
      </w:tr>
    </w:tbl>
    <w:p w14:paraId="0808A57F" w14:textId="77777777" w:rsidR="00EF613A" w:rsidRDefault="00EF613A"/>
    <w:p w14:paraId="4EC19BAE" w14:textId="77777777" w:rsidR="00EF613A" w:rsidRDefault="00C11C58">
      <w:pPr>
        <w:pStyle w:val="a4"/>
        <w:keepNext/>
        <w:jc w:val="center"/>
      </w:pPr>
      <w:r>
        <w:t>Table 3.3 – Peak SE parameters for uplink</w:t>
      </w:r>
    </w:p>
    <w:tbl>
      <w:tblPr>
        <w:tblStyle w:val="4-11"/>
        <w:tblW w:w="0" w:type="auto"/>
        <w:tblLook w:val="04A0" w:firstRow="1" w:lastRow="0" w:firstColumn="1" w:lastColumn="0" w:noHBand="0" w:noVBand="1"/>
      </w:tblPr>
      <w:tblGrid>
        <w:gridCol w:w="1586"/>
        <w:gridCol w:w="1586"/>
        <w:gridCol w:w="1586"/>
        <w:gridCol w:w="1586"/>
        <w:gridCol w:w="1586"/>
        <w:gridCol w:w="1587"/>
        <w:gridCol w:w="1587"/>
        <w:gridCol w:w="1587"/>
        <w:gridCol w:w="1587"/>
      </w:tblGrid>
      <w:tr w:rsidR="00EF613A" w14:paraId="1D433903"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6" w:type="dxa"/>
          </w:tcPr>
          <w:p w14:paraId="747E31EF" w14:textId="77777777" w:rsidR="00EF613A" w:rsidRDefault="00C11C58">
            <w:pPr>
              <w:rPr>
                <w:b w:val="0"/>
                <w:bCs w:val="0"/>
              </w:rPr>
            </w:pPr>
            <w:r>
              <w:t>Company</w:t>
            </w:r>
          </w:p>
        </w:tc>
        <w:tc>
          <w:tcPr>
            <w:tcW w:w="1586" w:type="dxa"/>
          </w:tcPr>
          <w:p w14:paraId="284E81DB" w14:textId="77777777" w:rsidR="00EF613A" w:rsidRDefault="00436EC9">
            <w:pPr>
              <w:cnfStyle w:val="100000000000" w:firstRow="1" w:lastRow="0" w:firstColumn="0" w:lastColumn="0" w:oddVBand="0" w:evenVBand="0" w:oddHBand="0" w:evenHBand="0" w:firstRowFirstColumn="0" w:firstRowLastColumn="0" w:lastRowFirstColumn="0" w:lastRowLastColumn="0"/>
              <w:rPr>
                <w:b w:val="0"/>
                <w:bCs w:val="0"/>
              </w:rPr>
            </w:pPr>
            <m:oMathPara>
              <m:oMath>
                <m:sSub>
                  <m:sSubPr>
                    <m:ctrlPr>
                      <w:rPr>
                        <w:rFonts w:ascii="Cambria Math" w:hAnsi="Cambria Math"/>
                        <w:i/>
                      </w:rPr>
                    </m:ctrlPr>
                  </m:sSubPr>
                  <m:e>
                    <m:r>
                      <m:rPr>
                        <m:sty m:val="bi"/>
                      </m:rPr>
                      <w:rPr>
                        <w:rFonts w:ascii="Cambria Math"/>
                      </w:rPr>
                      <m:t>v</m:t>
                    </m:r>
                  </m:e>
                  <m:sub>
                    <m:r>
                      <m:rPr>
                        <m:sty m:val="bi"/>
                      </m:rPr>
                      <w:rPr>
                        <w:rFonts w:ascii="Cambria Math"/>
                      </w:rPr>
                      <m:t>Layers</m:t>
                    </m:r>
                  </m:sub>
                </m:sSub>
              </m:oMath>
            </m:oMathPara>
          </w:p>
        </w:tc>
        <w:tc>
          <w:tcPr>
            <w:tcW w:w="1586" w:type="dxa"/>
          </w:tcPr>
          <w:p w14:paraId="4A61F808" w14:textId="77777777" w:rsidR="00EF613A" w:rsidRDefault="00436EC9">
            <w:pPr>
              <w:cnfStyle w:val="100000000000" w:firstRow="1" w:lastRow="0" w:firstColumn="0" w:lastColumn="0" w:oddVBand="0" w:evenVBand="0" w:oddHBand="0" w:evenHBand="0" w:firstRowFirstColumn="0" w:firstRowLastColumn="0" w:lastRowFirstColumn="0" w:lastRowLastColumn="0"/>
              <w:rPr>
                <w:b w:val="0"/>
                <w:bCs w:val="0"/>
              </w:rPr>
            </w:pPr>
            <m:oMathPara>
              <m:oMath>
                <m:sSub>
                  <m:sSubPr>
                    <m:ctrlPr>
                      <w:rPr>
                        <w:rFonts w:ascii="Cambria Math" w:hAnsi="Cambria Math"/>
                        <w:i/>
                      </w:rPr>
                    </m:ctrlPr>
                  </m:sSubPr>
                  <m:e>
                    <m:r>
                      <m:rPr>
                        <m:sty m:val="bi"/>
                      </m:rPr>
                      <w:rPr>
                        <w:rFonts w:ascii="Cambria Math"/>
                      </w:rPr>
                      <m:t>Q</m:t>
                    </m:r>
                  </m:e>
                  <m:sub>
                    <m:r>
                      <m:rPr>
                        <m:sty m:val="bi"/>
                      </m:rPr>
                      <w:rPr>
                        <w:rFonts w:ascii="Cambria Math"/>
                      </w:rPr>
                      <m:t>m</m:t>
                    </m:r>
                  </m:sub>
                </m:sSub>
              </m:oMath>
            </m:oMathPara>
          </w:p>
        </w:tc>
        <w:tc>
          <w:tcPr>
            <w:tcW w:w="1586" w:type="dxa"/>
          </w:tcPr>
          <w:p w14:paraId="6A7BD2DF"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rPr>
                  <m:t>f</m:t>
                </m:r>
              </m:oMath>
            </m:oMathPara>
          </w:p>
        </w:tc>
        <w:tc>
          <w:tcPr>
            <w:tcW w:w="1586" w:type="dxa"/>
          </w:tcPr>
          <w:p w14:paraId="2B55A914" w14:textId="77777777" w:rsidR="00EF613A" w:rsidRDefault="00436EC9">
            <w:pPr>
              <w:cnfStyle w:val="100000000000" w:firstRow="1" w:lastRow="0" w:firstColumn="0" w:lastColumn="0" w:oddVBand="0" w:evenVBand="0" w:oddHBand="0" w:evenHBand="0" w:firstRowFirstColumn="0" w:firstRowLastColumn="0" w:lastRowFirstColumn="0" w:lastRowLastColumn="0"/>
              <w:rPr>
                <w:b w:val="0"/>
                <w:bCs w:val="0"/>
              </w:rPr>
            </w:pPr>
            <m:oMathPara>
              <m:oMath>
                <m:sSub>
                  <m:sSubPr>
                    <m:ctrlPr>
                      <w:rPr>
                        <w:rFonts w:ascii="Cambria Math" w:hAnsi="Cambria Math"/>
                        <w:i/>
                      </w:rPr>
                    </m:ctrlPr>
                  </m:sSubPr>
                  <m:e>
                    <m:r>
                      <m:rPr>
                        <m:sty m:val="bi"/>
                      </m:rPr>
                      <w:rPr>
                        <w:rFonts w:ascii="Cambria Math"/>
                      </w:rPr>
                      <m:t>R</m:t>
                    </m:r>
                  </m:e>
                  <m:sub>
                    <m:r>
                      <m:rPr>
                        <m:sty m:val="bi"/>
                      </m:rPr>
                      <w:rPr>
                        <w:rFonts w:ascii="Cambria Math"/>
                      </w:rPr>
                      <m:t>max</m:t>
                    </m:r>
                  </m:sub>
                </m:sSub>
              </m:oMath>
            </m:oMathPara>
          </w:p>
        </w:tc>
        <w:tc>
          <w:tcPr>
            <w:tcW w:w="1587" w:type="dxa"/>
          </w:tcPr>
          <w:p w14:paraId="3E74C628"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hAnsi="Cambria Math"/>
                  </w:rPr>
                  <m:t>μ</m:t>
                </m:r>
              </m:oMath>
            </m:oMathPara>
          </w:p>
        </w:tc>
        <w:tc>
          <w:tcPr>
            <w:tcW w:w="1587" w:type="dxa"/>
          </w:tcPr>
          <w:p w14:paraId="20E2B178" w14:textId="77777777" w:rsidR="00EF613A" w:rsidRDefault="00436EC9">
            <w:pPr>
              <w:cnfStyle w:val="100000000000" w:firstRow="1" w:lastRow="0" w:firstColumn="0" w:lastColumn="0" w:oddVBand="0" w:evenVBand="0" w:oddHBand="0" w:evenHBand="0" w:firstRowFirstColumn="0" w:firstRowLastColumn="0" w:lastRowFirstColumn="0" w:lastRowLastColumn="0"/>
              <w:rPr>
                <w:b w:val="0"/>
                <w:bCs w:val="0"/>
              </w:rPr>
            </w:pPr>
            <m:oMathPara>
              <m:oMath>
                <m:sSubSup>
                  <m:sSubSupPr>
                    <m:ctrlPr>
                      <w:rPr>
                        <w:rFonts w:ascii="Cambria Math" w:hAnsi="Cambria Math"/>
                        <w:i/>
                      </w:rPr>
                    </m:ctrlPr>
                  </m:sSubSupPr>
                  <m:e>
                    <m:r>
                      <m:rPr>
                        <m:sty m:val="bi"/>
                      </m:rPr>
                      <w:rPr>
                        <w:rFonts w:ascii="Cambria Math"/>
                      </w:rPr>
                      <m:t>N</m:t>
                    </m:r>
                  </m:e>
                  <m:sub>
                    <m:r>
                      <m:rPr>
                        <m:sty m:val="bi"/>
                      </m:rPr>
                      <w:rPr>
                        <w:rFonts w:ascii="Cambria Math"/>
                      </w:rPr>
                      <m:t>PRB</m:t>
                    </m:r>
                  </m:sub>
                  <m:sup>
                    <m:r>
                      <m:rPr>
                        <m:sty m:val="bi"/>
                      </m:rPr>
                      <w:rPr>
                        <w:rFonts w:ascii="Cambria Math"/>
                      </w:rPr>
                      <m:t>BW</m:t>
                    </m:r>
                    <m:r>
                      <m:rPr>
                        <m:sty m:val="bi"/>
                      </m:rPr>
                      <w:rPr>
                        <w:rFonts w:ascii="Cambria Math"/>
                      </w:rPr>
                      <m:t>,</m:t>
                    </m:r>
                    <m:r>
                      <m:rPr>
                        <m:sty m:val="bi"/>
                      </m:rPr>
                      <w:rPr>
                        <w:rFonts w:ascii="Cambria Math"/>
                      </w:rPr>
                      <m:t>μ</m:t>
                    </m:r>
                  </m:sup>
                </m:sSubSup>
              </m:oMath>
            </m:oMathPara>
          </w:p>
        </w:tc>
        <w:tc>
          <w:tcPr>
            <w:tcW w:w="1587" w:type="dxa"/>
          </w:tcPr>
          <w:p w14:paraId="42E3436F"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rPr>
                  <m:t>OH</m:t>
                </m:r>
              </m:oMath>
            </m:oMathPara>
          </w:p>
        </w:tc>
        <w:tc>
          <w:tcPr>
            <w:tcW w:w="1587" w:type="dxa"/>
          </w:tcPr>
          <w:p w14:paraId="239EC6F4"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hAnsi="Cambria Math"/>
                    <w:lang w:eastAsia="zh-CN"/>
                  </w:rPr>
                  <m:t>BW</m:t>
                </m:r>
              </m:oMath>
            </m:oMathPara>
          </w:p>
        </w:tc>
      </w:tr>
      <w:tr w:rsidR="00EF613A" w14:paraId="581E98FA" w14:textId="77777777" w:rsidTr="00EF613A">
        <w:tc>
          <w:tcPr>
            <w:cnfStyle w:val="001000000000" w:firstRow="0" w:lastRow="0" w:firstColumn="1" w:lastColumn="0" w:oddVBand="0" w:evenVBand="0" w:oddHBand="0" w:evenHBand="0" w:firstRowFirstColumn="0" w:firstRowLastColumn="0" w:lastRowFirstColumn="0" w:lastRowLastColumn="0"/>
            <w:tcW w:w="1586" w:type="dxa"/>
            <w:shd w:val="clear" w:color="auto" w:fill="D9E2F3" w:themeFill="accent1" w:themeFillTint="33"/>
          </w:tcPr>
          <w:p w14:paraId="36EEEEAC" w14:textId="77777777" w:rsidR="00EF613A" w:rsidRDefault="00EF613A">
            <w:pPr>
              <w:rPr>
                <w:b w:val="0"/>
                <w:bCs w:val="0"/>
              </w:rPr>
            </w:pPr>
          </w:p>
        </w:tc>
        <w:tc>
          <w:tcPr>
            <w:tcW w:w="1586" w:type="dxa"/>
            <w:shd w:val="clear" w:color="auto" w:fill="D9E2F3" w:themeFill="accent1" w:themeFillTint="33"/>
          </w:tcPr>
          <w:p w14:paraId="07471A60" w14:textId="77777777" w:rsidR="00EF613A" w:rsidRDefault="00EF613A">
            <w:pPr>
              <w:cnfStyle w:val="000000000000" w:firstRow="0" w:lastRow="0" w:firstColumn="0" w:lastColumn="0" w:oddVBand="0" w:evenVBand="0" w:oddHBand="0" w:evenHBand="0" w:firstRowFirstColumn="0" w:firstRowLastColumn="0" w:lastRowFirstColumn="0" w:lastRowLastColumn="0"/>
            </w:pPr>
          </w:p>
        </w:tc>
        <w:tc>
          <w:tcPr>
            <w:tcW w:w="1586" w:type="dxa"/>
            <w:shd w:val="clear" w:color="auto" w:fill="D9E2F3" w:themeFill="accent1" w:themeFillTint="33"/>
          </w:tcPr>
          <w:p w14:paraId="4DCB78D7" w14:textId="77777777" w:rsidR="00EF613A" w:rsidRDefault="00EF613A">
            <w:pPr>
              <w:cnfStyle w:val="000000000000" w:firstRow="0" w:lastRow="0" w:firstColumn="0" w:lastColumn="0" w:oddVBand="0" w:evenVBand="0" w:oddHBand="0" w:evenHBand="0" w:firstRowFirstColumn="0" w:firstRowLastColumn="0" w:lastRowFirstColumn="0" w:lastRowLastColumn="0"/>
            </w:pPr>
          </w:p>
        </w:tc>
        <w:tc>
          <w:tcPr>
            <w:tcW w:w="1586" w:type="dxa"/>
            <w:shd w:val="clear" w:color="auto" w:fill="D9E2F3" w:themeFill="accent1" w:themeFillTint="33"/>
          </w:tcPr>
          <w:p w14:paraId="11E7B124" w14:textId="77777777" w:rsidR="00EF613A" w:rsidRDefault="00EF613A">
            <w:pPr>
              <w:cnfStyle w:val="000000000000" w:firstRow="0" w:lastRow="0" w:firstColumn="0" w:lastColumn="0" w:oddVBand="0" w:evenVBand="0" w:oddHBand="0" w:evenHBand="0" w:firstRowFirstColumn="0" w:firstRowLastColumn="0" w:lastRowFirstColumn="0" w:lastRowLastColumn="0"/>
            </w:pPr>
          </w:p>
        </w:tc>
        <w:tc>
          <w:tcPr>
            <w:tcW w:w="1586" w:type="dxa"/>
            <w:shd w:val="clear" w:color="auto" w:fill="D9E2F3" w:themeFill="accent1" w:themeFillTint="33"/>
          </w:tcPr>
          <w:p w14:paraId="00836E2D" w14:textId="77777777" w:rsidR="00EF613A" w:rsidRDefault="00EF613A">
            <w:pPr>
              <w:cnfStyle w:val="000000000000" w:firstRow="0" w:lastRow="0" w:firstColumn="0" w:lastColumn="0" w:oddVBand="0" w:evenVBand="0" w:oddHBand="0" w:evenHBand="0" w:firstRowFirstColumn="0" w:firstRowLastColumn="0" w:lastRowFirstColumn="0" w:lastRowLastColumn="0"/>
            </w:pPr>
          </w:p>
        </w:tc>
        <w:tc>
          <w:tcPr>
            <w:tcW w:w="1587" w:type="dxa"/>
            <w:shd w:val="clear" w:color="auto" w:fill="D9E2F3" w:themeFill="accent1" w:themeFillTint="33"/>
          </w:tcPr>
          <w:p w14:paraId="4D265B63" w14:textId="77777777" w:rsidR="00EF613A" w:rsidRDefault="00EF613A">
            <w:pPr>
              <w:cnfStyle w:val="000000000000" w:firstRow="0" w:lastRow="0" w:firstColumn="0" w:lastColumn="0" w:oddVBand="0" w:evenVBand="0" w:oddHBand="0" w:evenHBand="0" w:firstRowFirstColumn="0" w:firstRowLastColumn="0" w:lastRowFirstColumn="0" w:lastRowLastColumn="0"/>
            </w:pPr>
          </w:p>
        </w:tc>
        <w:tc>
          <w:tcPr>
            <w:tcW w:w="1587" w:type="dxa"/>
            <w:shd w:val="clear" w:color="auto" w:fill="D9E2F3" w:themeFill="accent1" w:themeFillTint="33"/>
          </w:tcPr>
          <w:p w14:paraId="538CB0CB" w14:textId="77777777" w:rsidR="00EF613A" w:rsidRDefault="00EF613A">
            <w:pPr>
              <w:cnfStyle w:val="000000000000" w:firstRow="0" w:lastRow="0" w:firstColumn="0" w:lastColumn="0" w:oddVBand="0" w:evenVBand="0" w:oddHBand="0" w:evenHBand="0" w:firstRowFirstColumn="0" w:firstRowLastColumn="0" w:lastRowFirstColumn="0" w:lastRowLastColumn="0"/>
            </w:pPr>
          </w:p>
        </w:tc>
        <w:tc>
          <w:tcPr>
            <w:tcW w:w="1587" w:type="dxa"/>
            <w:shd w:val="clear" w:color="auto" w:fill="D9E2F3" w:themeFill="accent1" w:themeFillTint="33"/>
          </w:tcPr>
          <w:p w14:paraId="57673A28" w14:textId="77777777" w:rsidR="00EF613A" w:rsidRDefault="00EF613A">
            <w:pPr>
              <w:cnfStyle w:val="000000000000" w:firstRow="0" w:lastRow="0" w:firstColumn="0" w:lastColumn="0" w:oddVBand="0" w:evenVBand="0" w:oddHBand="0" w:evenHBand="0" w:firstRowFirstColumn="0" w:firstRowLastColumn="0" w:lastRowFirstColumn="0" w:lastRowLastColumn="0"/>
            </w:pPr>
          </w:p>
        </w:tc>
        <w:tc>
          <w:tcPr>
            <w:tcW w:w="1587" w:type="dxa"/>
            <w:shd w:val="clear" w:color="auto" w:fill="D9E2F3" w:themeFill="accent1" w:themeFillTint="33"/>
          </w:tcPr>
          <w:p w14:paraId="2E2EE547" w14:textId="77777777" w:rsidR="00EF613A" w:rsidRDefault="00EF613A">
            <w:pPr>
              <w:cnfStyle w:val="000000000000" w:firstRow="0" w:lastRow="0" w:firstColumn="0" w:lastColumn="0" w:oddVBand="0" w:evenVBand="0" w:oddHBand="0" w:evenHBand="0" w:firstRowFirstColumn="0" w:firstRowLastColumn="0" w:lastRowFirstColumn="0" w:lastRowLastColumn="0"/>
            </w:pPr>
          </w:p>
        </w:tc>
      </w:tr>
    </w:tbl>
    <w:p w14:paraId="28DF93E6" w14:textId="77777777" w:rsidR="00EF613A" w:rsidRDefault="00EF613A"/>
    <w:p w14:paraId="2439B9AB" w14:textId="77777777" w:rsidR="00EF613A" w:rsidRDefault="00C11C58">
      <w:pPr>
        <w:pStyle w:val="a4"/>
        <w:keepNext/>
        <w:jc w:val="center"/>
      </w:pPr>
      <w:r>
        <w:lastRenderedPageBreak/>
        <w:t>Table 3.4 – General comments</w:t>
      </w:r>
    </w:p>
    <w:tbl>
      <w:tblPr>
        <w:tblStyle w:val="4-11"/>
        <w:tblW w:w="0" w:type="auto"/>
        <w:tblLook w:val="04A0" w:firstRow="1" w:lastRow="0" w:firstColumn="1" w:lastColumn="0" w:noHBand="0" w:noVBand="1"/>
      </w:tblPr>
      <w:tblGrid>
        <w:gridCol w:w="1586"/>
        <w:gridCol w:w="12692"/>
      </w:tblGrid>
      <w:tr w:rsidR="00EF613A" w14:paraId="12AD1106"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6" w:type="dxa"/>
          </w:tcPr>
          <w:p w14:paraId="5594AA2A" w14:textId="77777777" w:rsidR="00EF613A" w:rsidRDefault="00C11C58">
            <w:pPr>
              <w:rPr>
                <w:b w:val="0"/>
                <w:bCs w:val="0"/>
              </w:rPr>
            </w:pPr>
            <w:r>
              <w:t>Company</w:t>
            </w:r>
          </w:p>
        </w:tc>
        <w:tc>
          <w:tcPr>
            <w:tcW w:w="12692" w:type="dxa"/>
          </w:tcPr>
          <w:p w14:paraId="4350ED51"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5E353681" w14:textId="77777777" w:rsidTr="00EF613A">
        <w:tc>
          <w:tcPr>
            <w:cnfStyle w:val="001000000000" w:firstRow="0" w:lastRow="0" w:firstColumn="1" w:lastColumn="0" w:oddVBand="0" w:evenVBand="0" w:oddHBand="0" w:evenHBand="0" w:firstRowFirstColumn="0" w:firstRowLastColumn="0" w:lastRowFirstColumn="0" w:lastRowLastColumn="0"/>
            <w:tcW w:w="1586" w:type="dxa"/>
            <w:shd w:val="clear" w:color="auto" w:fill="D9E2F3" w:themeFill="accent1" w:themeFillTint="33"/>
          </w:tcPr>
          <w:p w14:paraId="1472C96E" w14:textId="77777777" w:rsidR="00EF613A" w:rsidRDefault="00C11C58">
            <w:pPr>
              <w:rPr>
                <w:rFonts w:eastAsia="SimSun"/>
                <w:b w:val="0"/>
                <w:bCs w:val="0"/>
                <w:lang w:val="en-US" w:eastAsia="zh-CN"/>
              </w:rPr>
            </w:pPr>
            <w:r>
              <w:rPr>
                <w:rFonts w:eastAsia="SimSun" w:hint="eastAsia"/>
                <w:lang w:val="en-US" w:eastAsia="zh-CN"/>
              </w:rPr>
              <w:t>ZTE</w:t>
            </w:r>
          </w:p>
        </w:tc>
        <w:tc>
          <w:tcPr>
            <w:tcW w:w="12692" w:type="dxa"/>
            <w:shd w:val="clear" w:color="auto" w:fill="D9E2F3" w:themeFill="accent1" w:themeFillTint="33"/>
          </w:tcPr>
          <w:p w14:paraId="12A647EC"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According to 38.821, CNRs of DL and UL for handheld are 6.6 dB and 2.8 dB, respectively, CNRs of DL and UL for VSAT are 8.5 dB and 18.4~23.1 dB, respectively. The Q</w:t>
            </w:r>
            <w:r>
              <w:rPr>
                <w:rFonts w:eastAsia="SimSun" w:hint="eastAsia"/>
                <w:vertAlign w:val="subscript"/>
                <w:lang w:val="en-US" w:eastAsia="zh-CN"/>
              </w:rPr>
              <w:t>m</w:t>
            </w:r>
            <w:r>
              <w:rPr>
                <w:rFonts w:eastAsia="SimSun" w:hint="eastAsia"/>
                <w:lang w:val="en-US" w:eastAsia="zh-CN"/>
              </w:rPr>
              <w:t xml:space="preserve"> may be 4 for DL and 2 for UL for handheld and 8 for UL for VSAT.  The max code rate may be 0.4785 and 0.6016 for DL for handheld and VSAT, respectively, may be 0.5879 and 0.7783 for UL for handheld and VSAT, respectively.</w:t>
            </w:r>
          </w:p>
        </w:tc>
      </w:tr>
      <w:tr w:rsidR="002F1988" w14:paraId="0B91B569" w14:textId="77777777" w:rsidTr="00EF613A">
        <w:tc>
          <w:tcPr>
            <w:cnfStyle w:val="001000000000" w:firstRow="0" w:lastRow="0" w:firstColumn="1" w:lastColumn="0" w:oddVBand="0" w:evenVBand="0" w:oddHBand="0" w:evenHBand="0" w:firstRowFirstColumn="0" w:firstRowLastColumn="0" w:lastRowFirstColumn="0" w:lastRowLastColumn="0"/>
            <w:tcW w:w="1586" w:type="dxa"/>
            <w:shd w:val="clear" w:color="auto" w:fill="D9E2F3" w:themeFill="accent1" w:themeFillTint="33"/>
          </w:tcPr>
          <w:p w14:paraId="19B126AE" w14:textId="3932DDC9" w:rsidR="002F1988" w:rsidRDefault="002F1988" w:rsidP="002F1988">
            <w:pPr>
              <w:rPr>
                <w:rFonts w:eastAsia="SimSun"/>
                <w:lang w:val="en-US" w:eastAsia="zh-CN"/>
              </w:rPr>
            </w:pPr>
            <w:r>
              <w:rPr>
                <w:rFonts w:eastAsia="Yu Mincho" w:hint="eastAsia"/>
                <w:lang w:val="en-US" w:eastAsia="ja-JP"/>
              </w:rPr>
              <w:t>P</w:t>
            </w:r>
            <w:r>
              <w:rPr>
                <w:rFonts w:eastAsia="Yu Mincho"/>
                <w:lang w:val="en-US" w:eastAsia="ja-JP"/>
              </w:rPr>
              <w:t>anasonic</w:t>
            </w:r>
          </w:p>
        </w:tc>
        <w:tc>
          <w:tcPr>
            <w:tcW w:w="12692" w:type="dxa"/>
            <w:shd w:val="clear" w:color="auto" w:fill="D9E2F3" w:themeFill="accent1" w:themeFillTint="33"/>
          </w:tcPr>
          <w:p w14:paraId="3C25A758" w14:textId="37E8FE24" w:rsidR="002F1988" w:rsidRDefault="002F1988" w:rsidP="002F198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Yu Mincho"/>
                <w:lang w:val="en-US" w:eastAsia="ja-JP"/>
              </w:rPr>
              <w:t>If we consider rea</w:t>
            </w:r>
            <w:r w:rsidR="003559D1">
              <w:rPr>
                <w:rFonts w:eastAsia="Yu Mincho"/>
                <w:lang w:val="en-US" w:eastAsia="ja-JP"/>
              </w:rPr>
              <w:t>listic link budget</w:t>
            </w:r>
            <w:r>
              <w:rPr>
                <w:rFonts w:eastAsia="Yu Mincho"/>
                <w:lang w:val="en-US" w:eastAsia="ja-JP"/>
              </w:rPr>
              <w:t>, modulation order and max coding rate for peak rate calculation should be based on link budget with the elevation angle 90 degree (i.e. Tx-Rx distance 600km)</w:t>
            </w:r>
            <w:r w:rsidR="003559D1">
              <w:rPr>
                <w:rFonts w:eastAsia="Yu Mincho"/>
                <w:lang w:val="en-US" w:eastAsia="ja-JP"/>
              </w:rPr>
              <w:t xml:space="preserve"> rather than 30 degree</w:t>
            </w:r>
            <w:r>
              <w:rPr>
                <w:rFonts w:eastAsia="Yu Mincho"/>
                <w:lang w:val="en-US" w:eastAsia="ja-JP"/>
              </w:rPr>
              <w:t>. In this case, CNR of DL and UL for handheld are 11.8dB and 7.9dB.</w:t>
            </w:r>
            <w:r>
              <w:rPr>
                <w:rFonts w:eastAsia="SimSun" w:hint="eastAsia"/>
                <w:lang w:val="en-US" w:eastAsia="zh-CN"/>
              </w:rPr>
              <w:t xml:space="preserve"> Q</w:t>
            </w:r>
            <w:r>
              <w:rPr>
                <w:rFonts w:eastAsia="SimSun" w:hint="eastAsia"/>
                <w:vertAlign w:val="subscript"/>
                <w:lang w:val="en-US" w:eastAsia="zh-CN"/>
              </w:rPr>
              <w:t>m</w:t>
            </w:r>
            <w:r>
              <w:rPr>
                <w:rFonts w:eastAsia="Yu Mincho"/>
                <w:lang w:val="en-US" w:eastAsia="ja-JP"/>
              </w:rPr>
              <w:t xml:space="preserve"> for DL and UL can be 6 and 4. </w:t>
            </w:r>
            <w:r w:rsidR="003559D1">
              <w:rPr>
                <w:rFonts w:eastAsia="Yu Mincho"/>
                <w:lang w:val="en-US" w:eastAsia="ja-JP"/>
              </w:rPr>
              <w:t xml:space="preserve">On the other hand, for UL, 360kHz transmission BW is assumed for the link budget. If 360kHz BW is used for peak rate calculation, the requirement (2Mbps) </w:t>
            </w:r>
            <w:proofErr w:type="spellStart"/>
            <w:r w:rsidR="003559D1">
              <w:rPr>
                <w:rFonts w:eastAsia="Yu Mincho"/>
                <w:lang w:val="en-US" w:eastAsia="ja-JP"/>
              </w:rPr>
              <w:t>can not</w:t>
            </w:r>
            <w:proofErr w:type="spellEnd"/>
            <w:r w:rsidR="003559D1">
              <w:rPr>
                <w:rFonts w:eastAsia="Yu Mincho"/>
                <w:lang w:val="en-US" w:eastAsia="ja-JP"/>
              </w:rPr>
              <w:t xml:space="preserve"> be satisfied. What to be considered as realistic deployment would need to be discussed. </w:t>
            </w:r>
          </w:p>
        </w:tc>
      </w:tr>
      <w:tr w:rsidR="00C51FF9" w14:paraId="205A3968" w14:textId="77777777" w:rsidTr="00EF613A">
        <w:tc>
          <w:tcPr>
            <w:cnfStyle w:val="001000000000" w:firstRow="0" w:lastRow="0" w:firstColumn="1" w:lastColumn="0" w:oddVBand="0" w:evenVBand="0" w:oddHBand="0" w:evenHBand="0" w:firstRowFirstColumn="0" w:firstRowLastColumn="0" w:lastRowFirstColumn="0" w:lastRowLastColumn="0"/>
            <w:tcW w:w="1586" w:type="dxa"/>
            <w:shd w:val="clear" w:color="auto" w:fill="D9E2F3" w:themeFill="accent1" w:themeFillTint="33"/>
          </w:tcPr>
          <w:p w14:paraId="318C1C2F" w14:textId="36BABFAD" w:rsidR="00C51FF9" w:rsidRDefault="00C51FF9" w:rsidP="00C51FF9">
            <w:pPr>
              <w:rPr>
                <w:rFonts w:eastAsia="Yu Mincho" w:hint="eastAsia"/>
                <w:lang w:val="en-US" w:eastAsia="ja-JP"/>
              </w:rPr>
            </w:pPr>
            <w:r>
              <w:rPr>
                <w:rFonts w:eastAsia="맑은 고딕" w:hint="eastAsia"/>
                <w:lang w:eastAsia="ko-KR"/>
              </w:rPr>
              <w:t>Samsung</w:t>
            </w:r>
          </w:p>
        </w:tc>
        <w:tc>
          <w:tcPr>
            <w:tcW w:w="12692" w:type="dxa"/>
            <w:shd w:val="clear" w:color="auto" w:fill="D9E2F3" w:themeFill="accent1" w:themeFillTint="33"/>
          </w:tcPr>
          <w:p w14:paraId="67220D04" w14:textId="17812FAA" w:rsidR="00C51FF9" w:rsidRDefault="00C51FF9" w:rsidP="00C51FF9">
            <w:pPr>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맑은 고딕" w:hint="eastAsia"/>
                <w:lang w:eastAsia="ko-KR"/>
              </w:rPr>
              <w:t>For MCS level, we are open to discuss realistic value</w:t>
            </w:r>
            <w:r>
              <w:rPr>
                <w:rFonts w:eastAsia="맑은 고딕"/>
                <w:lang w:eastAsia="ko-KR"/>
              </w:rPr>
              <w:t>s</w:t>
            </w:r>
            <w:r>
              <w:rPr>
                <w:rFonts w:eastAsia="맑은 고딕" w:hint="eastAsia"/>
                <w:lang w:eastAsia="ko-KR"/>
              </w:rPr>
              <w:t xml:space="preserve"> based on link budget results. </w:t>
            </w:r>
            <w:r>
              <w:rPr>
                <w:rFonts w:eastAsia="맑은 고딕"/>
                <w:lang w:eastAsia="ko-KR"/>
              </w:rPr>
              <w:t xml:space="preserve">For UL BW, if majorities prefer to consider 30MHz, we are fine with that. However, we would like to understand the logic before that. </w:t>
            </w:r>
            <w:r>
              <w:rPr>
                <w:rFonts w:eastAsia="맑은 고딕"/>
                <w:lang w:eastAsia="ko-KR"/>
              </w:rPr>
              <w:t xml:space="preserve">As we observed in our contribution, at least MCS level 22 and 13 is necessary for DL and UL, respectively assuming that DL=30MHz, UL=1.44MHz. </w:t>
            </w:r>
          </w:p>
        </w:tc>
      </w:tr>
    </w:tbl>
    <w:p w14:paraId="3A78EA13" w14:textId="77777777" w:rsidR="00EF613A" w:rsidRDefault="00EF613A"/>
    <w:p w14:paraId="4BB8B45E" w14:textId="77777777" w:rsidR="00EF613A" w:rsidRDefault="00EF613A"/>
    <w:p w14:paraId="07EC4F58" w14:textId="77777777" w:rsidR="00EF613A" w:rsidRDefault="00C11C58">
      <w:pPr>
        <w:pStyle w:val="1"/>
        <w:numPr>
          <w:ilvl w:val="0"/>
          <w:numId w:val="4"/>
        </w:numPr>
        <w:tabs>
          <w:tab w:val="left" w:pos="720"/>
        </w:tabs>
        <w:ind w:left="720" w:hanging="720"/>
        <w:jc w:val="both"/>
      </w:pPr>
      <w:r>
        <w:t>Spectral efficiency – eMBB-s additional assumptions (#3, #4, #5, #6)</w:t>
      </w:r>
    </w:p>
    <w:p w14:paraId="0FACAA9A" w14:textId="77777777" w:rsidR="00EF613A" w:rsidRDefault="00C11C58">
      <w:r>
        <w:t xml:space="preserve">For eMBB evaluations, there are additional parameters that would need to be agreed before performing the evaluations. The table below captures a summary of the proposed parameters from several companies. </w:t>
      </w:r>
    </w:p>
    <w:tbl>
      <w:tblPr>
        <w:tblStyle w:val="af"/>
        <w:tblW w:w="0" w:type="auto"/>
        <w:tblLook w:val="04A0" w:firstRow="1" w:lastRow="0" w:firstColumn="1" w:lastColumn="0" w:noHBand="0" w:noVBand="1"/>
      </w:tblPr>
      <w:tblGrid>
        <w:gridCol w:w="2695"/>
        <w:gridCol w:w="11583"/>
      </w:tblGrid>
      <w:tr w:rsidR="00EF613A" w14:paraId="0B0B0DC6" w14:textId="77777777">
        <w:tc>
          <w:tcPr>
            <w:tcW w:w="2695" w:type="dxa"/>
          </w:tcPr>
          <w:p w14:paraId="6E19A24B" w14:textId="77777777" w:rsidR="00EF613A" w:rsidRDefault="00C11C58">
            <w:pPr>
              <w:rPr>
                <w:rFonts w:ascii="Arial" w:hAnsi="Arial"/>
                <w:sz w:val="18"/>
              </w:rPr>
            </w:pPr>
            <w:r>
              <w:rPr>
                <w:rFonts w:ascii="Arial" w:hAnsi="Arial"/>
                <w:sz w:val="18"/>
              </w:rPr>
              <w:t>CSI feedback</w:t>
            </w:r>
          </w:p>
        </w:tc>
        <w:tc>
          <w:tcPr>
            <w:tcW w:w="11583" w:type="dxa"/>
          </w:tcPr>
          <w:p w14:paraId="68741AF8" w14:textId="77777777" w:rsidR="00EF613A" w:rsidRDefault="00C11C58">
            <w:pPr>
              <w:pStyle w:val="af4"/>
              <w:numPr>
                <w:ilvl w:val="0"/>
                <w:numId w:val="8"/>
              </w:numPr>
              <w:rPr>
                <w:rFonts w:ascii="Arial" w:eastAsia="Times New Roman" w:hAnsi="Arial"/>
                <w:sz w:val="18"/>
              </w:rPr>
            </w:pPr>
            <w:r>
              <w:rPr>
                <w:rFonts w:ascii="Arial" w:eastAsia="Times New Roman" w:hAnsi="Arial"/>
                <w:sz w:val="18"/>
              </w:rPr>
              <w:t>ZTE: Release 15 + RTT</w:t>
            </w:r>
          </w:p>
          <w:p w14:paraId="493B8285" w14:textId="77777777" w:rsidR="00EF613A" w:rsidRDefault="00C11C58">
            <w:pPr>
              <w:pStyle w:val="af4"/>
              <w:numPr>
                <w:ilvl w:val="0"/>
                <w:numId w:val="8"/>
              </w:numPr>
              <w:rPr>
                <w:rFonts w:ascii="Arial" w:eastAsia="Times New Roman" w:hAnsi="Arial"/>
                <w:sz w:val="18"/>
              </w:rPr>
            </w:pPr>
            <w:r>
              <w:rPr>
                <w:rFonts w:ascii="Arial" w:eastAsia="Times New Roman" w:hAnsi="Arial"/>
                <w:sz w:val="18"/>
              </w:rPr>
              <w:t>QC: TBD</w:t>
            </w:r>
          </w:p>
        </w:tc>
      </w:tr>
      <w:tr w:rsidR="00EF613A" w14:paraId="4D4015CF" w14:textId="77777777">
        <w:tc>
          <w:tcPr>
            <w:tcW w:w="2695" w:type="dxa"/>
          </w:tcPr>
          <w:p w14:paraId="421C1628" w14:textId="77777777" w:rsidR="00EF613A" w:rsidRDefault="00C11C58">
            <w:pPr>
              <w:rPr>
                <w:rFonts w:ascii="Arial" w:hAnsi="Arial"/>
                <w:sz w:val="18"/>
              </w:rPr>
            </w:pPr>
            <w:r>
              <w:rPr>
                <w:rFonts w:ascii="Arial" w:hAnsi="Arial"/>
                <w:sz w:val="18"/>
              </w:rPr>
              <w:t>Frequency offset</w:t>
            </w:r>
          </w:p>
        </w:tc>
        <w:tc>
          <w:tcPr>
            <w:tcW w:w="11583" w:type="dxa"/>
          </w:tcPr>
          <w:p w14:paraId="4A8AE355" w14:textId="77777777" w:rsidR="00EF613A" w:rsidRDefault="00C11C58">
            <w:pPr>
              <w:pStyle w:val="af4"/>
              <w:numPr>
                <w:ilvl w:val="0"/>
                <w:numId w:val="8"/>
              </w:numPr>
              <w:rPr>
                <w:rFonts w:ascii="Arial" w:eastAsia="Times New Roman" w:hAnsi="Arial"/>
                <w:sz w:val="18"/>
              </w:rPr>
            </w:pPr>
            <w:r>
              <w:rPr>
                <w:rFonts w:ascii="Arial" w:eastAsia="Times New Roman" w:hAnsi="Arial"/>
                <w:sz w:val="18"/>
              </w:rPr>
              <w:t>ZTE: 0.1ppm</w:t>
            </w:r>
          </w:p>
        </w:tc>
      </w:tr>
      <w:tr w:rsidR="00EF613A" w14:paraId="35FF1618" w14:textId="77777777">
        <w:tc>
          <w:tcPr>
            <w:tcW w:w="2695" w:type="dxa"/>
          </w:tcPr>
          <w:p w14:paraId="2E918F8D" w14:textId="77777777" w:rsidR="00EF613A" w:rsidRDefault="00C11C58">
            <w:pPr>
              <w:rPr>
                <w:rFonts w:ascii="Arial" w:hAnsi="Arial"/>
                <w:sz w:val="18"/>
              </w:rPr>
            </w:pPr>
            <w:r>
              <w:rPr>
                <w:rFonts w:ascii="Arial" w:hAnsi="Arial"/>
                <w:sz w:val="18"/>
              </w:rPr>
              <w:t>Frequency drift</w:t>
            </w:r>
          </w:p>
        </w:tc>
        <w:tc>
          <w:tcPr>
            <w:tcW w:w="11583" w:type="dxa"/>
          </w:tcPr>
          <w:p w14:paraId="213CD689" w14:textId="77777777" w:rsidR="00EF613A" w:rsidRDefault="00C11C58">
            <w:pPr>
              <w:pStyle w:val="af4"/>
              <w:numPr>
                <w:ilvl w:val="0"/>
                <w:numId w:val="8"/>
              </w:numPr>
              <w:rPr>
                <w:rFonts w:ascii="Arial" w:eastAsia="Times New Roman" w:hAnsi="Arial"/>
                <w:sz w:val="18"/>
              </w:rPr>
            </w:pPr>
            <w:r>
              <w:rPr>
                <w:rFonts w:ascii="Arial" w:eastAsia="Times New Roman" w:hAnsi="Arial"/>
                <w:sz w:val="18"/>
              </w:rPr>
              <w:t>ZTE: [Doppler rate values provided in Table 6.1.1.1-8 in [4]]</w:t>
            </w:r>
          </w:p>
        </w:tc>
      </w:tr>
      <w:tr w:rsidR="00EF613A" w14:paraId="6F92EFE5" w14:textId="77777777">
        <w:tc>
          <w:tcPr>
            <w:tcW w:w="2695" w:type="dxa"/>
          </w:tcPr>
          <w:p w14:paraId="15FF65C5" w14:textId="77777777" w:rsidR="00EF613A" w:rsidRDefault="00C11C58">
            <w:pPr>
              <w:rPr>
                <w:rFonts w:ascii="Arial" w:hAnsi="Arial"/>
                <w:sz w:val="18"/>
              </w:rPr>
            </w:pPr>
            <w:r>
              <w:rPr>
                <w:rFonts w:ascii="Arial" w:hAnsi="Arial"/>
                <w:sz w:val="18"/>
              </w:rPr>
              <w:t>UE speed</w:t>
            </w:r>
          </w:p>
        </w:tc>
        <w:tc>
          <w:tcPr>
            <w:tcW w:w="11583" w:type="dxa"/>
          </w:tcPr>
          <w:p w14:paraId="01F00240" w14:textId="77777777" w:rsidR="00EF613A" w:rsidRDefault="00C11C58">
            <w:pPr>
              <w:pStyle w:val="af4"/>
              <w:numPr>
                <w:ilvl w:val="0"/>
                <w:numId w:val="8"/>
              </w:numPr>
              <w:rPr>
                <w:rFonts w:ascii="Arial" w:eastAsia="Times New Roman" w:hAnsi="Arial"/>
                <w:sz w:val="18"/>
              </w:rPr>
            </w:pPr>
            <w:r>
              <w:rPr>
                <w:rFonts w:ascii="Arial" w:eastAsia="Times New Roman" w:hAnsi="Arial"/>
                <w:sz w:val="18"/>
              </w:rPr>
              <w:t>ZTE: 3 km/h, 0 km/s (stationary)</w:t>
            </w:r>
          </w:p>
        </w:tc>
      </w:tr>
      <w:tr w:rsidR="00EF613A" w14:paraId="57662DB3" w14:textId="77777777">
        <w:tc>
          <w:tcPr>
            <w:tcW w:w="2695" w:type="dxa"/>
          </w:tcPr>
          <w:p w14:paraId="730A0932" w14:textId="77777777" w:rsidR="00EF613A" w:rsidRDefault="00C11C58">
            <w:pPr>
              <w:rPr>
                <w:rFonts w:ascii="Arial" w:hAnsi="Arial"/>
                <w:sz w:val="18"/>
              </w:rPr>
            </w:pPr>
            <w:r>
              <w:rPr>
                <w:rFonts w:ascii="Arial" w:hAnsi="Arial"/>
                <w:sz w:val="18"/>
              </w:rPr>
              <w:t>UE antenna configuration</w:t>
            </w:r>
          </w:p>
        </w:tc>
        <w:tc>
          <w:tcPr>
            <w:tcW w:w="11583" w:type="dxa"/>
          </w:tcPr>
          <w:p w14:paraId="630FAE62" w14:textId="77777777" w:rsidR="00EF613A" w:rsidRDefault="00C11C58">
            <w:pPr>
              <w:pStyle w:val="af4"/>
              <w:numPr>
                <w:ilvl w:val="0"/>
                <w:numId w:val="8"/>
              </w:numPr>
              <w:rPr>
                <w:rFonts w:ascii="Arial" w:eastAsia="Times New Roman" w:hAnsi="Arial"/>
                <w:sz w:val="18"/>
              </w:rPr>
            </w:pPr>
            <w:r>
              <w:rPr>
                <w:rFonts w:ascii="Arial" w:eastAsia="Times New Roman" w:hAnsi="Arial"/>
                <w:sz w:val="18"/>
              </w:rPr>
              <w:t>ZTE: (1,1,2) with omni</w:t>
            </w:r>
          </w:p>
          <w:p w14:paraId="6BA1E31B" w14:textId="77777777" w:rsidR="00EF613A" w:rsidRDefault="00C11C58">
            <w:pPr>
              <w:pStyle w:val="af4"/>
              <w:numPr>
                <w:ilvl w:val="0"/>
                <w:numId w:val="8"/>
              </w:numPr>
              <w:rPr>
                <w:rFonts w:ascii="Arial" w:eastAsia="Times New Roman" w:hAnsi="Arial"/>
                <w:sz w:val="18"/>
              </w:rPr>
            </w:pPr>
            <w:r>
              <w:rPr>
                <w:rFonts w:ascii="Arial" w:eastAsia="Times New Roman" w:hAnsi="Arial"/>
                <w:sz w:val="18"/>
              </w:rPr>
              <w:t>HW: Up to 4 Tx/Rx</w:t>
            </w:r>
          </w:p>
          <w:p w14:paraId="3C92662A" w14:textId="77777777" w:rsidR="00EF613A" w:rsidRDefault="00C11C58">
            <w:pPr>
              <w:pStyle w:val="af4"/>
              <w:numPr>
                <w:ilvl w:val="0"/>
                <w:numId w:val="8"/>
              </w:numPr>
              <w:rPr>
                <w:rFonts w:ascii="Arial" w:eastAsia="Times New Roman" w:hAnsi="Arial"/>
                <w:sz w:val="18"/>
              </w:rPr>
            </w:pPr>
            <w:r>
              <w:rPr>
                <w:rFonts w:ascii="Arial" w:eastAsia="Times New Roman" w:hAnsi="Arial"/>
                <w:sz w:val="18"/>
              </w:rPr>
              <w:t>QC: 2Rx / 1Tx</w:t>
            </w:r>
          </w:p>
        </w:tc>
      </w:tr>
      <w:tr w:rsidR="00EF613A" w14:paraId="6843BC43" w14:textId="77777777">
        <w:tc>
          <w:tcPr>
            <w:tcW w:w="2695" w:type="dxa"/>
            <w:vAlign w:val="center"/>
          </w:tcPr>
          <w:p w14:paraId="05F42112" w14:textId="77777777" w:rsidR="00EF613A" w:rsidRDefault="00C11C58">
            <w:pPr>
              <w:rPr>
                <w:rFonts w:ascii="Arial" w:hAnsi="Arial"/>
                <w:sz w:val="18"/>
              </w:rPr>
            </w:pPr>
            <w:r>
              <w:rPr>
                <w:rFonts w:ascii="Arial" w:hAnsi="Arial"/>
                <w:sz w:val="18"/>
              </w:rPr>
              <w:t>DL CSI measurement</w:t>
            </w:r>
          </w:p>
        </w:tc>
        <w:tc>
          <w:tcPr>
            <w:tcW w:w="11583" w:type="dxa"/>
            <w:vAlign w:val="center"/>
          </w:tcPr>
          <w:p w14:paraId="01A55861" w14:textId="77777777" w:rsidR="00EF613A" w:rsidRDefault="00C11C58">
            <w:pPr>
              <w:pStyle w:val="af4"/>
              <w:numPr>
                <w:ilvl w:val="0"/>
                <w:numId w:val="8"/>
              </w:numPr>
              <w:rPr>
                <w:rFonts w:ascii="Arial" w:eastAsia="Times New Roman" w:hAnsi="Arial"/>
                <w:sz w:val="18"/>
              </w:rPr>
            </w:pPr>
            <w:r>
              <w:rPr>
                <w:rFonts w:ascii="Arial" w:eastAsia="Times New Roman" w:hAnsi="Arial"/>
                <w:sz w:val="18"/>
              </w:rPr>
              <w:t>QC: One layer/ 1-port CSI-RS</w:t>
            </w:r>
          </w:p>
          <w:p w14:paraId="3F3C347D" w14:textId="77777777" w:rsidR="00EF613A" w:rsidRDefault="00C11C58">
            <w:pPr>
              <w:pStyle w:val="af4"/>
              <w:numPr>
                <w:ilvl w:val="0"/>
                <w:numId w:val="8"/>
              </w:numPr>
              <w:rPr>
                <w:rFonts w:ascii="Arial" w:eastAsia="Times New Roman" w:hAnsi="Arial"/>
                <w:sz w:val="18"/>
              </w:rPr>
            </w:pPr>
            <w:r>
              <w:rPr>
                <w:rFonts w:ascii="Arial" w:eastAsia="Times New Roman" w:hAnsi="Arial"/>
                <w:sz w:val="18"/>
              </w:rPr>
              <w:t>OPPO: Non-precoded/precoded according to CSI measurement (with codebook selection) and interference measurement</w:t>
            </w:r>
          </w:p>
          <w:p w14:paraId="03B6828C" w14:textId="77777777" w:rsidR="00EF613A" w:rsidRDefault="00C11C58">
            <w:pPr>
              <w:pStyle w:val="af4"/>
              <w:numPr>
                <w:ilvl w:val="0"/>
                <w:numId w:val="8"/>
              </w:numPr>
              <w:rPr>
                <w:rFonts w:ascii="Arial" w:eastAsia="Times New Roman" w:hAnsi="Arial"/>
                <w:sz w:val="18"/>
              </w:rPr>
            </w:pPr>
            <w:r>
              <w:rPr>
                <w:rFonts w:ascii="Arial" w:eastAsia="Times New Roman" w:hAnsi="Arial"/>
                <w:sz w:val="18"/>
              </w:rPr>
              <w:lastRenderedPageBreak/>
              <w:t>OPPO: SU-CQI</w:t>
            </w:r>
          </w:p>
          <w:p w14:paraId="0BBAD95A" w14:textId="77777777" w:rsidR="00EF613A" w:rsidRDefault="00C11C58">
            <w:pPr>
              <w:pStyle w:val="af4"/>
              <w:numPr>
                <w:ilvl w:val="0"/>
                <w:numId w:val="8"/>
              </w:numPr>
              <w:rPr>
                <w:rFonts w:ascii="Arial" w:eastAsia="Times New Roman" w:hAnsi="Arial"/>
                <w:sz w:val="18"/>
              </w:rPr>
            </w:pPr>
            <w:r>
              <w:rPr>
                <w:rFonts w:ascii="Arial" w:eastAsia="Times New Roman" w:hAnsi="Arial"/>
                <w:sz w:val="18"/>
              </w:rPr>
              <w:t>OPPO: For slot/non-slot: PMI, CQI: every [5] slot; RI: every [5] slot, CRI: every [5] slot</w:t>
            </w:r>
          </w:p>
          <w:p w14:paraId="1A3116C8" w14:textId="77777777" w:rsidR="00EF613A" w:rsidRDefault="00C11C58">
            <w:pPr>
              <w:pStyle w:val="af4"/>
              <w:numPr>
                <w:ilvl w:val="1"/>
                <w:numId w:val="8"/>
              </w:numPr>
              <w:rPr>
                <w:rFonts w:ascii="Arial" w:eastAsia="Times New Roman" w:hAnsi="Arial"/>
                <w:sz w:val="18"/>
              </w:rPr>
            </w:pPr>
            <w:r>
              <w:rPr>
                <w:rFonts w:ascii="Arial" w:eastAsia="Times New Roman" w:hAnsi="Arial"/>
                <w:sz w:val="18"/>
              </w:rPr>
              <w:t>Subband based</w:t>
            </w:r>
          </w:p>
        </w:tc>
      </w:tr>
      <w:tr w:rsidR="00EF613A" w14:paraId="425179E7" w14:textId="77777777">
        <w:tc>
          <w:tcPr>
            <w:tcW w:w="2695" w:type="dxa"/>
            <w:vAlign w:val="center"/>
          </w:tcPr>
          <w:p w14:paraId="099A4CBB" w14:textId="77777777" w:rsidR="00EF613A" w:rsidRDefault="00C11C58">
            <w:pPr>
              <w:rPr>
                <w:rFonts w:ascii="Arial" w:hAnsi="Arial"/>
                <w:sz w:val="18"/>
              </w:rPr>
            </w:pPr>
            <w:r>
              <w:rPr>
                <w:rFonts w:ascii="Arial" w:hAnsi="Arial"/>
                <w:sz w:val="18"/>
              </w:rPr>
              <w:lastRenderedPageBreak/>
              <w:t>PRB bundling</w:t>
            </w:r>
          </w:p>
        </w:tc>
        <w:tc>
          <w:tcPr>
            <w:tcW w:w="11583" w:type="dxa"/>
            <w:vAlign w:val="center"/>
          </w:tcPr>
          <w:p w14:paraId="7F7E551B" w14:textId="77777777" w:rsidR="00EF613A" w:rsidRDefault="00C11C58">
            <w:pPr>
              <w:pStyle w:val="af4"/>
              <w:numPr>
                <w:ilvl w:val="0"/>
                <w:numId w:val="8"/>
              </w:numPr>
              <w:rPr>
                <w:rFonts w:ascii="Arial" w:eastAsia="Times New Roman" w:hAnsi="Arial"/>
                <w:sz w:val="18"/>
              </w:rPr>
            </w:pPr>
            <w:r>
              <w:rPr>
                <w:rFonts w:ascii="Arial" w:eastAsia="Times New Roman" w:hAnsi="Arial"/>
                <w:sz w:val="18"/>
              </w:rPr>
              <w:t> QC: Wideband</w:t>
            </w:r>
          </w:p>
          <w:p w14:paraId="2C93EF56" w14:textId="77777777" w:rsidR="00EF613A" w:rsidRDefault="00C11C58">
            <w:pPr>
              <w:pStyle w:val="af4"/>
              <w:numPr>
                <w:ilvl w:val="0"/>
                <w:numId w:val="8"/>
              </w:numPr>
              <w:rPr>
                <w:rFonts w:ascii="Arial" w:eastAsia="Times New Roman" w:hAnsi="Arial"/>
                <w:sz w:val="18"/>
              </w:rPr>
            </w:pPr>
            <w:r>
              <w:rPr>
                <w:rFonts w:ascii="Arial" w:eastAsia="Times New Roman" w:hAnsi="Arial"/>
                <w:sz w:val="18"/>
              </w:rPr>
              <w:t>OPPO: 4 PRB or wideband</w:t>
            </w:r>
          </w:p>
        </w:tc>
      </w:tr>
      <w:tr w:rsidR="00EF613A" w14:paraId="710A5D9E" w14:textId="77777777">
        <w:tc>
          <w:tcPr>
            <w:tcW w:w="2695" w:type="dxa"/>
            <w:vAlign w:val="center"/>
          </w:tcPr>
          <w:p w14:paraId="4ABE6D95" w14:textId="77777777" w:rsidR="00EF613A" w:rsidRDefault="00C11C58">
            <w:pPr>
              <w:rPr>
                <w:rFonts w:ascii="Arial" w:hAnsi="Arial"/>
                <w:sz w:val="18"/>
              </w:rPr>
            </w:pPr>
            <w:r>
              <w:rPr>
                <w:rFonts w:ascii="Arial" w:hAnsi="Arial"/>
                <w:sz w:val="18"/>
              </w:rPr>
              <w:t>Codeword (CW)</w:t>
            </w:r>
          </w:p>
        </w:tc>
        <w:tc>
          <w:tcPr>
            <w:tcW w:w="11583" w:type="dxa"/>
            <w:vAlign w:val="center"/>
          </w:tcPr>
          <w:p w14:paraId="067EBEBB" w14:textId="77777777" w:rsidR="00EF613A" w:rsidRDefault="00C11C58">
            <w:pPr>
              <w:pStyle w:val="af4"/>
              <w:numPr>
                <w:ilvl w:val="0"/>
                <w:numId w:val="8"/>
              </w:numPr>
              <w:rPr>
                <w:rFonts w:ascii="Arial" w:eastAsia="Times New Roman" w:hAnsi="Arial"/>
                <w:sz w:val="18"/>
              </w:rPr>
            </w:pPr>
            <w:r>
              <w:rPr>
                <w:rFonts w:ascii="Arial" w:eastAsia="Times New Roman" w:hAnsi="Arial"/>
                <w:sz w:val="18"/>
              </w:rPr>
              <w:t> QC: single CW</w:t>
            </w:r>
          </w:p>
          <w:p w14:paraId="4767B7FE" w14:textId="77777777" w:rsidR="00EF613A" w:rsidRDefault="00C11C58">
            <w:pPr>
              <w:pStyle w:val="af4"/>
              <w:numPr>
                <w:ilvl w:val="0"/>
                <w:numId w:val="8"/>
              </w:numPr>
              <w:rPr>
                <w:rFonts w:ascii="Arial" w:eastAsia="Times New Roman" w:hAnsi="Arial"/>
                <w:sz w:val="18"/>
              </w:rPr>
            </w:pPr>
            <w:r>
              <w:rPr>
                <w:rFonts w:ascii="Arial" w:eastAsia="Times New Roman" w:hAnsi="Arial"/>
                <w:sz w:val="18"/>
              </w:rPr>
              <w:t>OPPO: for 1-4 layers, CW1, for 5 layers or more, 2CW</w:t>
            </w:r>
          </w:p>
        </w:tc>
      </w:tr>
      <w:tr w:rsidR="00EF613A" w14:paraId="48583941" w14:textId="77777777">
        <w:tc>
          <w:tcPr>
            <w:tcW w:w="2695" w:type="dxa"/>
            <w:vAlign w:val="center"/>
          </w:tcPr>
          <w:p w14:paraId="35B66824" w14:textId="77777777" w:rsidR="00EF613A" w:rsidRDefault="00C11C58">
            <w:pPr>
              <w:rPr>
                <w:rFonts w:ascii="Arial" w:hAnsi="Arial"/>
                <w:sz w:val="18"/>
              </w:rPr>
            </w:pPr>
            <w:r>
              <w:rPr>
                <w:rFonts w:ascii="Arial" w:hAnsi="Arial"/>
                <w:sz w:val="18"/>
              </w:rPr>
              <w:t>Transmission scheme</w:t>
            </w:r>
          </w:p>
        </w:tc>
        <w:tc>
          <w:tcPr>
            <w:tcW w:w="11583" w:type="dxa"/>
            <w:vAlign w:val="center"/>
          </w:tcPr>
          <w:p w14:paraId="31C5FCBA" w14:textId="77777777" w:rsidR="00EF613A" w:rsidRDefault="00C11C58">
            <w:pPr>
              <w:pStyle w:val="af4"/>
              <w:numPr>
                <w:ilvl w:val="0"/>
                <w:numId w:val="8"/>
              </w:numPr>
              <w:rPr>
                <w:rFonts w:ascii="Arial" w:eastAsia="Times New Roman" w:hAnsi="Arial"/>
                <w:sz w:val="18"/>
              </w:rPr>
            </w:pPr>
            <w:r>
              <w:rPr>
                <w:rFonts w:ascii="Arial" w:eastAsia="Times New Roman" w:hAnsi="Arial"/>
                <w:sz w:val="18"/>
              </w:rPr>
              <w:t>QC: One layer/ No MIMO</w:t>
            </w:r>
          </w:p>
          <w:p w14:paraId="137D48A2" w14:textId="77777777" w:rsidR="00EF613A" w:rsidRDefault="00C11C58">
            <w:pPr>
              <w:pStyle w:val="af4"/>
              <w:numPr>
                <w:ilvl w:val="0"/>
                <w:numId w:val="8"/>
              </w:numPr>
              <w:rPr>
                <w:rFonts w:ascii="Arial" w:eastAsia="Times New Roman" w:hAnsi="Arial"/>
                <w:sz w:val="18"/>
              </w:rPr>
            </w:pPr>
            <w:r>
              <w:rPr>
                <w:rFonts w:ascii="Arial" w:eastAsia="Times New Roman" w:hAnsi="Arial"/>
                <w:sz w:val="18"/>
              </w:rPr>
              <w:t>OPPO: Closed loop SU-MIMO adaptation</w:t>
            </w:r>
          </w:p>
        </w:tc>
      </w:tr>
      <w:tr w:rsidR="00EF613A" w14:paraId="66DC700F" w14:textId="77777777">
        <w:tc>
          <w:tcPr>
            <w:tcW w:w="2695" w:type="dxa"/>
            <w:vAlign w:val="center"/>
          </w:tcPr>
          <w:p w14:paraId="7B995A9C" w14:textId="77777777" w:rsidR="00EF613A" w:rsidRDefault="00C11C58">
            <w:pPr>
              <w:rPr>
                <w:rFonts w:ascii="Arial" w:hAnsi="Arial"/>
                <w:sz w:val="18"/>
              </w:rPr>
            </w:pPr>
            <w:r>
              <w:rPr>
                <w:rFonts w:ascii="Arial" w:hAnsi="Arial"/>
                <w:sz w:val="18"/>
              </w:rPr>
              <w:t>Scheduler</w:t>
            </w:r>
          </w:p>
        </w:tc>
        <w:tc>
          <w:tcPr>
            <w:tcW w:w="11583" w:type="dxa"/>
            <w:vAlign w:val="center"/>
          </w:tcPr>
          <w:p w14:paraId="4536175F" w14:textId="77777777" w:rsidR="00EF613A" w:rsidRDefault="00C11C58">
            <w:pPr>
              <w:pStyle w:val="af4"/>
              <w:numPr>
                <w:ilvl w:val="0"/>
                <w:numId w:val="8"/>
              </w:numPr>
              <w:rPr>
                <w:rFonts w:ascii="Arial" w:eastAsia="Times New Roman" w:hAnsi="Arial"/>
                <w:sz w:val="18"/>
              </w:rPr>
            </w:pPr>
            <w:r>
              <w:rPr>
                <w:rFonts w:ascii="Arial" w:eastAsia="Times New Roman" w:hAnsi="Arial"/>
                <w:sz w:val="18"/>
              </w:rPr>
              <w:t>QC: PF</w:t>
            </w:r>
          </w:p>
          <w:p w14:paraId="472B655D" w14:textId="77777777" w:rsidR="00EF613A" w:rsidRDefault="00C11C58">
            <w:pPr>
              <w:pStyle w:val="af4"/>
              <w:numPr>
                <w:ilvl w:val="0"/>
                <w:numId w:val="8"/>
              </w:numPr>
              <w:rPr>
                <w:rFonts w:ascii="Arial" w:eastAsia="Times New Roman" w:hAnsi="Arial"/>
                <w:sz w:val="18"/>
              </w:rPr>
            </w:pPr>
            <w:r>
              <w:rPr>
                <w:rFonts w:ascii="Arial" w:eastAsia="Times New Roman" w:hAnsi="Arial"/>
                <w:sz w:val="18"/>
              </w:rPr>
              <w:t>Pana: To be reported by companies</w:t>
            </w:r>
          </w:p>
        </w:tc>
      </w:tr>
      <w:tr w:rsidR="00EF613A" w14:paraId="59207422" w14:textId="77777777">
        <w:tc>
          <w:tcPr>
            <w:tcW w:w="2695" w:type="dxa"/>
            <w:vAlign w:val="center"/>
          </w:tcPr>
          <w:p w14:paraId="31C3D008" w14:textId="77777777" w:rsidR="00EF613A" w:rsidRDefault="00C11C58">
            <w:pPr>
              <w:rPr>
                <w:rFonts w:ascii="Arial" w:hAnsi="Arial"/>
                <w:sz w:val="18"/>
              </w:rPr>
            </w:pPr>
            <w:r>
              <w:rPr>
                <w:rFonts w:ascii="Arial" w:hAnsi="Arial"/>
                <w:sz w:val="18"/>
              </w:rPr>
              <w:t>Number of HARQ processes</w:t>
            </w:r>
          </w:p>
        </w:tc>
        <w:tc>
          <w:tcPr>
            <w:tcW w:w="11583" w:type="dxa"/>
            <w:vAlign w:val="center"/>
          </w:tcPr>
          <w:p w14:paraId="4010A1EA" w14:textId="77777777" w:rsidR="00EF613A" w:rsidRDefault="00C11C58">
            <w:pPr>
              <w:pStyle w:val="af4"/>
              <w:numPr>
                <w:ilvl w:val="0"/>
                <w:numId w:val="8"/>
              </w:numPr>
              <w:rPr>
                <w:rFonts w:ascii="Arial" w:eastAsia="Times New Roman" w:hAnsi="Arial"/>
                <w:sz w:val="18"/>
              </w:rPr>
            </w:pPr>
            <w:r>
              <w:rPr>
                <w:rFonts w:ascii="Arial" w:eastAsia="Times New Roman" w:hAnsi="Arial"/>
                <w:sz w:val="18"/>
              </w:rPr>
              <w:t>Pana: Up to 32</w:t>
            </w:r>
          </w:p>
        </w:tc>
      </w:tr>
      <w:tr w:rsidR="00EF613A" w14:paraId="6C3B5E5F" w14:textId="77777777">
        <w:tc>
          <w:tcPr>
            <w:tcW w:w="2695" w:type="dxa"/>
            <w:vAlign w:val="center"/>
          </w:tcPr>
          <w:p w14:paraId="4D142C4B" w14:textId="77777777" w:rsidR="00EF613A" w:rsidRDefault="00C11C58">
            <w:pPr>
              <w:rPr>
                <w:rFonts w:ascii="Arial" w:hAnsi="Arial"/>
                <w:sz w:val="18"/>
              </w:rPr>
            </w:pPr>
            <w:r>
              <w:rPr>
                <w:rFonts w:ascii="Arial" w:hAnsi="Arial"/>
                <w:sz w:val="18"/>
              </w:rPr>
              <w:t>HARQ-ACK delay</w:t>
            </w:r>
          </w:p>
        </w:tc>
        <w:tc>
          <w:tcPr>
            <w:tcW w:w="11583" w:type="dxa"/>
            <w:vAlign w:val="center"/>
          </w:tcPr>
          <w:p w14:paraId="19F42153" w14:textId="77777777" w:rsidR="00EF613A" w:rsidRDefault="00C11C58">
            <w:pPr>
              <w:pStyle w:val="af4"/>
              <w:numPr>
                <w:ilvl w:val="0"/>
                <w:numId w:val="8"/>
              </w:numPr>
              <w:rPr>
                <w:rFonts w:ascii="Arial" w:eastAsia="Times New Roman" w:hAnsi="Arial"/>
                <w:sz w:val="18"/>
              </w:rPr>
            </w:pPr>
            <w:r>
              <w:rPr>
                <w:rFonts w:ascii="Arial" w:eastAsia="Times New Roman" w:hAnsi="Arial"/>
                <w:sz w:val="18"/>
              </w:rPr>
              <w:t xml:space="preserve">QC: </w:t>
            </w:r>
            <w:r>
              <w:rPr>
                <w:rFonts w:eastAsia="Times New Roman"/>
                <w:sz w:val="18"/>
                <w:szCs w:val="18"/>
              </w:rPr>
              <w:t>[no HARQ, N+4]</w:t>
            </w:r>
          </w:p>
          <w:p w14:paraId="45AF2C18" w14:textId="77777777" w:rsidR="00EF613A" w:rsidRDefault="00C11C58">
            <w:pPr>
              <w:pStyle w:val="af4"/>
              <w:numPr>
                <w:ilvl w:val="0"/>
                <w:numId w:val="8"/>
              </w:numPr>
              <w:rPr>
                <w:rFonts w:ascii="Arial" w:eastAsia="Times New Roman" w:hAnsi="Arial"/>
                <w:sz w:val="18"/>
              </w:rPr>
            </w:pPr>
            <w:r>
              <w:rPr>
                <w:rFonts w:ascii="Arial" w:eastAsia="Times New Roman" w:hAnsi="Arial"/>
                <w:sz w:val="18"/>
              </w:rPr>
              <w:t>OPPO: Enabled or disabled</w:t>
            </w:r>
          </w:p>
        </w:tc>
      </w:tr>
      <w:tr w:rsidR="00EF613A" w14:paraId="2C8C36AC" w14:textId="77777777">
        <w:tc>
          <w:tcPr>
            <w:tcW w:w="2695" w:type="dxa"/>
            <w:vAlign w:val="center"/>
          </w:tcPr>
          <w:p w14:paraId="3CA0518E" w14:textId="77777777" w:rsidR="00EF613A" w:rsidRDefault="00C11C58">
            <w:pPr>
              <w:rPr>
                <w:rFonts w:ascii="Arial" w:hAnsi="Arial"/>
                <w:sz w:val="18"/>
              </w:rPr>
            </w:pPr>
            <w:r>
              <w:rPr>
                <w:rFonts w:ascii="Arial" w:hAnsi="Arial"/>
                <w:sz w:val="18"/>
              </w:rPr>
              <w:t>Retransmission delay</w:t>
            </w:r>
          </w:p>
        </w:tc>
        <w:tc>
          <w:tcPr>
            <w:tcW w:w="11583" w:type="dxa"/>
            <w:vAlign w:val="center"/>
          </w:tcPr>
          <w:p w14:paraId="6D6595EA" w14:textId="77777777" w:rsidR="00EF613A" w:rsidRDefault="00C11C58">
            <w:pPr>
              <w:pStyle w:val="af4"/>
              <w:numPr>
                <w:ilvl w:val="0"/>
                <w:numId w:val="8"/>
              </w:numPr>
              <w:rPr>
                <w:rFonts w:ascii="Arial" w:eastAsia="Times New Roman" w:hAnsi="Arial"/>
                <w:sz w:val="18"/>
                <w:lang w:val="es-ES"/>
              </w:rPr>
            </w:pPr>
            <w:r>
              <w:rPr>
                <w:rFonts w:ascii="Arial" w:eastAsia="Times New Roman" w:hAnsi="Arial"/>
                <w:sz w:val="18"/>
                <w:lang w:val="es-ES"/>
              </w:rPr>
              <w:t xml:space="preserve">QC: </w:t>
            </w:r>
            <w:r>
              <w:rPr>
                <w:rFonts w:eastAsia="Times New Roman"/>
                <w:sz w:val="18"/>
                <w:szCs w:val="18"/>
                <w:lang w:val="es-ES"/>
              </w:rPr>
              <w:t>[no HARQ, N+4/N+8 + RTT]</w:t>
            </w:r>
          </w:p>
          <w:p w14:paraId="6D353056" w14:textId="77777777" w:rsidR="00EF613A" w:rsidRDefault="00C11C58">
            <w:pPr>
              <w:pStyle w:val="af4"/>
              <w:numPr>
                <w:ilvl w:val="0"/>
                <w:numId w:val="8"/>
              </w:numPr>
              <w:rPr>
                <w:rFonts w:ascii="Arial" w:eastAsia="Times New Roman" w:hAnsi="Arial"/>
                <w:sz w:val="18"/>
                <w:lang w:val="es-ES"/>
              </w:rPr>
            </w:pPr>
            <w:r>
              <w:rPr>
                <w:rFonts w:ascii="Arial" w:eastAsia="Times New Roman" w:hAnsi="Arial"/>
                <w:sz w:val="18"/>
                <w:lang w:val="es-ES"/>
              </w:rPr>
              <w:t>OPPO: Companies to report</w:t>
            </w:r>
          </w:p>
        </w:tc>
      </w:tr>
      <w:tr w:rsidR="00EF613A" w14:paraId="5DC08F5A" w14:textId="77777777">
        <w:tc>
          <w:tcPr>
            <w:tcW w:w="2695" w:type="dxa"/>
            <w:vAlign w:val="center"/>
          </w:tcPr>
          <w:p w14:paraId="1A1A3FD3" w14:textId="77777777" w:rsidR="00EF613A" w:rsidRDefault="00C11C58">
            <w:pPr>
              <w:rPr>
                <w:rFonts w:ascii="Arial" w:hAnsi="Arial"/>
                <w:sz w:val="18"/>
              </w:rPr>
            </w:pPr>
            <w:r>
              <w:rPr>
                <w:rFonts w:ascii="Arial" w:hAnsi="Arial"/>
                <w:sz w:val="18"/>
              </w:rPr>
              <w:t>Antenna gain</w:t>
            </w:r>
          </w:p>
        </w:tc>
        <w:tc>
          <w:tcPr>
            <w:tcW w:w="11583" w:type="dxa"/>
            <w:vAlign w:val="center"/>
          </w:tcPr>
          <w:p w14:paraId="7C0F453C" w14:textId="77777777" w:rsidR="00EF613A" w:rsidRDefault="00C11C58">
            <w:pPr>
              <w:pStyle w:val="af4"/>
              <w:numPr>
                <w:ilvl w:val="0"/>
                <w:numId w:val="8"/>
              </w:numPr>
              <w:rPr>
                <w:rFonts w:ascii="Arial" w:eastAsia="Times New Roman" w:hAnsi="Arial"/>
                <w:sz w:val="18"/>
                <w:lang w:val="es-ES"/>
              </w:rPr>
            </w:pPr>
            <w:r>
              <w:rPr>
                <w:rFonts w:ascii="Arial" w:eastAsia="Times New Roman" w:hAnsi="Arial"/>
                <w:sz w:val="18"/>
                <w:lang w:val="es-ES"/>
              </w:rPr>
              <w:t>Nk: -5.5dBi</w:t>
            </w:r>
          </w:p>
          <w:p w14:paraId="70E008DA" w14:textId="77777777" w:rsidR="00EF613A" w:rsidRDefault="00C11C58">
            <w:pPr>
              <w:pStyle w:val="af4"/>
              <w:numPr>
                <w:ilvl w:val="0"/>
                <w:numId w:val="8"/>
              </w:numPr>
              <w:rPr>
                <w:rFonts w:ascii="Arial" w:eastAsia="Times New Roman" w:hAnsi="Arial"/>
                <w:sz w:val="18"/>
                <w:lang w:val="en-US"/>
              </w:rPr>
            </w:pPr>
            <w:r>
              <w:rPr>
                <w:rFonts w:ascii="Arial" w:eastAsia="Times New Roman" w:hAnsi="Arial"/>
                <w:sz w:val="18"/>
                <w:lang w:val="en-US"/>
              </w:rPr>
              <w:t>Others: use the value in M.2510 (0dBi)</w:t>
            </w:r>
          </w:p>
        </w:tc>
      </w:tr>
      <w:tr w:rsidR="00EF613A" w14:paraId="1F574B89" w14:textId="77777777">
        <w:tc>
          <w:tcPr>
            <w:tcW w:w="2695" w:type="dxa"/>
            <w:vAlign w:val="center"/>
          </w:tcPr>
          <w:p w14:paraId="3F4848C9" w14:textId="77777777" w:rsidR="00EF613A" w:rsidRDefault="00C11C58">
            <w:pPr>
              <w:rPr>
                <w:rFonts w:ascii="Arial" w:hAnsi="Arial"/>
                <w:sz w:val="18"/>
              </w:rPr>
            </w:pPr>
            <w:r>
              <w:rPr>
                <w:rFonts w:ascii="Arial" w:hAnsi="Arial"/>
                <w:sz w:val="18"/>
              </w:rPr>
              <w:t>Frame structure</w:t>
            </w:r>
          </w:p>
        </w:tc>
        <w:tc>
          <w:tcPr>
            <w:tcW w:w="11583" w:type="dxa"/>
            <w:vAlign w:val="center"/>
          </w:tcPr>
          <w:p w14:paraId="531D1FBC" w14:textId="77777777" w:rsidR="00EF613A" w:rsidRDefault="00C11C58">
            <w:pPr>
              <w:pStyle w:val="af4"/>
              <w:numPr>
                <w:ilvl w:val="0"/>
                <w:numId w:val="8"/>
              </w:numPr>
              <w:rPr>
                <w:rFonts w:ascii="Arial" w:eastAsia="Times New Roman" w:hAnsi="Arial"/>
                <w:sz w:val="18"/>
                <w:lang w:val="es-ES"/>
              </w:rPr>
            </w:pPr>
            <w:r>
              <w:rPr>
                <w:rFonts w:ascii="Arial" w:eastAsia="Times New Roman" w:hAnsi="Arial"/>
                <w:sz w:val="18"/>
                <w:lang w:val="es-ES"/>
              </w:rPr>
              <w:t>Oppo: FDD</w:t>
            </w:r>
          </w:p>
        </w:tc>
      </w:tr>
      <w:tr w:rsidR="00EF613A" w14:paraId="796807D8" w14:textId="77777777">
        <w:tc>
          <w:tcPr>
            <w:tcW w:w="2695" w:type="dxa"/>
            <w:vAlign w:val="center"/>
          </w:tcPr>
          <w:p w14:paraId="72F9913F" w14:textId="77777777" w:rsidR="00EF613A" w:rsidRDefault="00C11C58">
            <w:pPr>
              <w:rPr>
                <w:rFonts w:ascii="Arial" w:hAnsi="Arial"/>
                <w:sz w:val="18"/>
              </w:rPr>
            </w:pPr>
            <w:r>
              <w:rPr>
                <w:rFonts w:ascii="Arial" w:hAnsi="Arial"/>
                <w:sz w:val="18"/>
              </w:rPr>
              <w:t>PDCCH resource sharing</w:t>
            </w:r>
          </w:p>
        </w:tc>
        <w:tc>
          <w:tcPr>
            <w:tcW w:w="11583" w:type="dxa"/>
            <w:vAlign w:val="center"/>
          </w:tcPr>
          <w:p w14:paraId="6B460CDA" w14:textId="77777777" w:rsidR="00EF613A" w:rsidRDefault="00C11C58">
            <w:pPr>
              <w:pStyle w:val="af4"/>
              <w:numPr>
                <w:ilvl w:val="0"/>
                <w:numId w:val="8"/>
              </w:numPr>
              <w:rPr>
                <w:rFonts w:ascii="Arial" w:eastAsia="Times New Roman" w:hAnsi="Arial"/>
                <w:sz w:val="18"/>
                <w:lang w:val="en-US"/>
              </w:rPr>
            </w:pPr>
            <w:r>
              <w:rPr>
                <w:rFonts w:ascii="Arial" w:eastAsia="Times New Roman" w:hAnsi="Arial"/>
                <w:sz w:val="18"/>
                <w:lang w:val="en-US"/>
              </w:rPr>
              <w:t>OPPO: Consider in overhead calculation</w:t>
            </w:r>
          </w:p>
        </w:tc>
      </w:tr>
      <w:tr w:rsidR="00EF613A" w14:paraId="789A535F" w14:textId="77777777">
        <w:tc>
          <w:tcPr>
            <w:tcW w:w="2695" w:type="dxa"/>
            <w:vAlign w:val="center"/>
          </w:tcPr>
          <w:p w14:paraId="2701E507" w14:textId="77777777" w:rsidR="00EF613A" w:rsidRDefault="00C11C58">
            <w:pPr>
              <w:rPr>
                <w:rFonts w:ascii="Arial" w:hAnsi="Arial"/>
                <w:sz w:val="18"/>
              </w:rPr>
            </w:pPr>
            <w:r>
              <w:rPr>
                <w:rFonts w:ascii="Arial" w:hAnsi="Arial"/>
                <w:sz w:val="18"/>
              </w:rPr>
              <w:t>Overhead</w:t>
            </w:r>
          </w:p>
        </w:tc>
        <w:tc>
          <w:tcPr>
            <w:tcW w:w="11583" w:type="dxa"/>
            <w:vAlign w:val="center"/>
          </w:tcPr>
          <w:p w14:paraId="0EBC0541" w14:textId="77777777" w:rsidR="00EF613A" w:rsidRDefault="00C11C58">
            <w:pPr>
              <w:pStyle w:val="af4"/>
              <w:numPr>
                <w:ilvl w:val="0"/>
                <w:numId w:val="8"/>
              </w:numPr>
              <w:rPr>
                <w:rFonts w:ascii="Arial" w:eastAsia="Times New Roman" w:hAnsi="Arial"/>
                <w:sz w:val="18"/>
                <w:lang w:val="en-US"/>
              </w:rPr>
            </w:pPr>
            <w:r>
              <w:rPr>
                <w:rFonts w:ascii="Arial" w:eastAsia="Times New Roman" w:hAnsi="Arial"/>
                <w:sz w:val="18"/>
                <w:lang w:val="en-US"/>
              </w:rPr>
              <w:t xml:space="preserve">OPPO:  SS/PBCH block </w:t>
            </w:r>
          </w:p>
          <w:p w14:paraId="5E223B92" w14:textId="77777777" w:rsidR="00EF613A" w:rsidRDefault="00C11C58">
            <w:pPr>
              <w:pStyle w:val="af4"/>
              <w:numPr>
                <w:ilvl w:val="1"/>
                <w:numId w:val="8"/>
              </w:numPr>
              <w:rPr>
                <w:rFonts w:ascii="Arial" w:eastAsia="Times New Roman" w:hAnsi="Arial"/>
                <w:sz w:val="18"/>
                <w:lang w:val="en-US"/>
              </w:rPr>
            </w:pPr>
            <w:r>
              <w:rPr>
                <w:rFonts w:ascii="Arial" w:eastAsia="Times New Roman" w:hAnsi="Arial"/>
                <w:sz w:val="18"/>
                <w:lang w:val="en-US"/>
              </w:rPr>
              <w:t>([1 SS/PBCH block in every 20ms])</w:t>
            </w:r>
          </w:p>
          <w:p w14:paraId="62542947" w14:textId="77777777" w:rsidR="00EF613A" w:rsidRDefault="00C11C58">
            <w:pPr>
              <w:pStyle w:val="af4"/>
              <w:numPr>
                <w:ilvl w:val="1"/>
                <w:numId w:val="8"/>
              </w:numPr>
              <w:rPr>
                <w:rFonts w:ascii="Arial" w:eastAsia="Times New Roman" w:hAnsi="Arial"/>
                <w:sz w:val="18"/>
                <w:lang w:val="en-US"/>
              </w:rPr>
            </w:pPr>
            <w:r>
              <w:rPr>
                <w:rFonts w:ascii="Arial" w:eastAsia="Times New Roman" w:hAnsi="Arial"/>
                <w:sz w:val="18"/>
                <w:lang w:val="en-US"/>
              </w:rPr>
              <w:t>CSI-RS, DMRS and TRS, CSI-IM (if used)</w:t>
            </w:r>
          </w:p>
          <w:p w14:paraId="51C06F72" w14:textId="77777777" w:rsidR="00EF613A" w:rsidRDefault="00C11C58">
            <w:pPr>
              <w:pStyle w:val="af4"/>
              <w:numPr>
                <w:ilvl w:val="1"/>
                <w:numId w:val="8"/>
              </w:numPr>
              <w:rPr>
                <w:rFonts w:ascii="Arial" w:eastAsia="Times New Roman" w:hAnsi="Arial"/>
                <w:sz w:val="18"/>
                <w:lang w:val="en-US"/>
              </w:rPr>
            </w:pPr>
            <w:r>
              <w:rPr>
                <w:rFonts w:ascii="Arial" w:eastAsia="Times New Roman" w:hAnsi="Arial"/>
                <w:sz w:val="18"/>
                <w:lang w:val="en-US"/>
              </w:rPr>
              <w:t>PDCCH</w:t>
            </w:r>
          </w:p>
          <w:p w14:paraId="5E803C68" w14:textId="77777777" w:rsidR="00EF613A" w:rsidRDefault="00C11C58">
            <w:pPr>
              <w:pStyle w:val="af4"/>
              <w:numPr>
                <w:ilvl w:val="0"/>
                <w:numId w:val="8"/>
              </w:numPr>
              <w:rPr>
                <w:rFonts w:ascii="Arial" w:eastAsia="Times New Roman" w:hAnsi="Arial"/>
                <w:sz w:val="18"/>
                <w:lang w:val="en-US"/>
              </w:rPr>
            </w:pPr>
            <w:r>
              <w:rPr>
                <w:rFonts w:ascii="Arial" w:eastAsia="Times New Roman" w:hAnsi="Arial"/>
                <w:sz w:val="18"/>
                <w:lang w:val="en-US"/>
              </w:rPr>
              <w:t>QC: PDCCH / SSB / CSI-RS for CM / DMRS / TRS/ PUCCH / DMRS / SRS</w:t>
            </w:r>
          </w:p>
        </w:tc>
      </w:tr>
    </w:tbl>
    <w:p w14:paraId="537D4B70" w14:textId="77777777" w:rsidR="00EF613A" w:rsidRDefault="00EF613A">
      <w:pPr>
        <w:rPr>
          <w:lang w:val="en-US"/>
        </w:rPr>
      </w:pPr>
    </w:p>
    <w:p w14:paraId="08C3DF22" w14:textId="77777777" w:rsidR="00EF613A" w:rsidRDefault="00C11C58">
      <w:pPr>
        <w:rPr>
          <w:lang w:val="en-US"/>
        </w:rPr>
      </w:pPr>
      <w:r>
        <w:rPr>
          <w:b/>
          <w:bCs/>
          <w:u w:val="single"/>
        </w:rPr>
        <w:t xml:space="preserve">Proposal 4.1: </w:t>
      </w:r>
      <w:r>
        <w:rPr>
          <w:b/>
          <w:bCs/>
        </w:rPr>
        <w:t>RAN1 to discuss additional parameters for eMBB-s SLS taking the table above as start</w:t>
      </w:r>
      <w:bookmarkStart w:id="3" w:name="_GoBack"/>
      <w:bookmarkEnd w:id="3"/>
      <w:r>
        <w:rPr>
          <w:b/>
          <w:bCs/>
        </w:rPr>
        <w:t>ing point.</w:t>
      </w:r>
    </w:p>
    <w:p w14:paraId="5D53CDDA" w14:textId="77777777" w:rsidR="00EF613A" w:rsidRDefault="00C11C58">
      <w:pPr>
        <w:pStyle w:val="2"/>
      </w:pPr>
      <w:r>
        <w:t>Q4.1: Please provide comments on proposal 4.1</w:t>
      </w:r>
    </w:p>
    <w:p w14:paraId="730D0E5E" w14:textId="77777777" w:rsidR="00EF613A" w:rsidRDefault="00EF613A">
      <w:pPr>
        <w:rPr>
          <w:b/>
          <w:bCs/>
        </w:rPr>
      </w:pPr>
    </w:p>
    <w:tbl>
      <w:tblPr>
        <w:tblStyle w:val="4-11"/>
        <w:tblW w:w="0" w:type="auto"/>
        <w:tblLook w:val="04A0" w:firstRow="1" w:lastRow="0" w:firstColumn="1" w:lastColumn="0" w:noHBand="0" w:noVBand="1"/>
      </w:tblPr>
      <w:tblGrid>
        <w:gridCol w:w="1586"/>
        <w:gridCol w:w="12692"/>
      </w:tblGrid>
      <w:tr w:rsidR="00EF613A" w14:paraId="584C85FA"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6" w:type="dxa"/>
          </w:tcPr>
          <w:p w14:paraId="56ED14BF" w14:textId="77777777" w:rsidR="00EF613A" w:rsidRDefault="00C11C58">
            <w:pPr>
              <w:rPr>
                <w:b w:val="0"/>
                <w:bCs w:val="0"/>
              </w:rPr>
            </w:pPr>
            <w:r>
              <w:lastRenderedPageBreak/>
              <w:t>Company</w:t>
            </w:r>
          </w:p>
        </w:tc>
        <w:tc>
          <w:tcPr>
            <w:tcW w:w="12692" w:type="dxa"/>
          </w:tcPr>
          <w:p w14:paraId="6041D31A"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6CD7C8CB" w14:textId="77777777" w:rsidTr="00EF613A">
        <w:tc>
          <w:tcPr>
            <w:cnfStyle w:val="001000000000" w:firstRow="0" w:lastRow="0" w:firstColumn="1" w:lastColumn="0" w:oddVBand="0" w:evenVBand="0" w:oddHBand="0" w:evenHBand="0" w:firstRowFirstColumn="0" w:firstRowLastColumn="0" w:lastRowFirstColumn="0" w:lastRowLastColumn="0"/>
            <w:tcW w:w="1586" w:type="dxa"/>
            <w:shd w:val="clear" w:color="auto" w:fill="D9E2F3" w:themeFill="accent1" w:themeFillTint="33"/>
          </w:tcPr>
          <w:p w14:paraId="0ABCB97D" w14:textId="77777777" w:rsidR="00EF613A" w:rsidRDefault="00C11C58">
            <w:pPr>
              <w:rPr>
                <w:rFonts w:eastAsia="SimSun"/>
                <w:b w:val="0"/>
                <w:bCs w:val="0"/>
                <w:lang w:val="en-US" w:eastAsia="zh-CN"/>
              </w:rPr>
            </w:pPr>
            <w:r>
              <w:rPr>
                <w:rFonts w:eastAsia="SimSun" w:hint="eastAsia"/>
                <w:lang w:val="en-US" w:eastAsia="zh-CN"/>
              </w:rPr>
              <w:t>ZTE</w:t>
            </w:r>
          </w:p>
        </w:tc>
        <w:tc>
          <w:tcPr>
            <w:tcW w:w="12692" w:type="dxa"/>
            <w:shd w:val="clear" w:color="auto" w:fill="D9E2F3" w:themeFill="accent1" w:themeFillTint="33"/>
          </w:tcPr>
          <w:p w14:paraId="0524B8F2"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Agree.</w:t>
            </w:r>
          </w:p>
        </w:tc>
      </w:tr>
      <w:tr w:rsidR="002F1988" w14:paraId="3322A8C2" w14:textId="77777777" w:rsidTr="00EF613A">
        <w:tc>
          <w:tcPr>
            <w:cnfStyle w:val="001000000000" w:firstRow="0" w:lastRow="0" w:firstColumn="1" w:lastColumn="0" w:oddVBand="0" w:evenVBand="0" w:oddHBand="0" w:evenHBand="0" w:firstRowFirstColumn="0" w:firstRowLastColumn="0" w:lastRowFirstColumn="0" w:lastRowLastColumn="0"/>
            <w:tcW w:w="1586" w:type="dxa"/>
            <w:shd w:val="clear" w:color="auto" w:fill="D9E2F3" w:themeFill="accent1" w:themeFillTint="33"/>
          </w:tcPr>
          <w:p w14:paraId="0E12DABE" w14:textId="40B33FA8" w:rsidR="002F1988" w:rsidRDefault="002F1988" w:rsidP="002F1988">
            <w:pPr>
              <w:rPr>
                <w:rFonts w:eastAsia="SimSun"/>
                <w:lang w:val="en-US" w:eastAsia="zh-CN"/>
              </w:rPr>
            </w:pPr>
            <w:r>
              <w:rPr>
                <w:rFonts w:eastAsia="Yu Mincho" w:hint="eastAsia"/>
                <w:lang w:val="en-US" w:eastAsia="ja-JP"/>
              </w:rPr>
              <w:t>P</w:t>
            </w:r>
            <w:r>
              <w:rPr>
                <w:rFonts w:eastAsia="Yu Mincho"/>
                <w:lang w:val="en-US" w:eastAsia="ja-JP"/>
              </w:rPr>
              <w:t>anasonic</w:t>
            </w:r>
          </w:p>
        </w:tc>
        <w:tc>
          <w:tcPr>
            <w:tcW w:w="12692" w:type="dxa"/>
            <w:shd w:val="clear" w:color="auto" w:fill="D9E2F3" w:themeFill="accent1" w:themeFillTint="33"/>
          </w:tcPr>
          <w:p w14:paraId="045E5D01" w14:textId="379DEB72" w:rsidR="002F1988" w:rsidRDefault="002F1988" w:rsidP="002F198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Yu Mincho"/>
                <w:lang w:val="en-US" w:eastAsia="ja-JP"/>
              </w:rPr>
              <w:t xml:space="preserve">Agree. The assumptions should basically be based on TR38.821. It is not clear if parameters not defined in TR38.821 need to be agreed. To be reported by companies would be ok.  </w:t>
            </w:r>
          </w:p>
        </w:tc>
      </w:tr>
      <w:tr w:rsidR="00C51FF9" w14:paraId="389E5AE3" w14:textId="77777777" w:rsidTr="00EF613A">
        <w:tc>
          <w:tcPr>
            <w:cnfStyle w:val="001000000000" w:firstRow="0" w:lastRow="0" w:firstColumn="1" w:lastColumn="0" w:oddVBand="0" w:evenVBand="0" w:oddHBand="0" w:evenHBand="0" w:firstRowFirstColumn="0" w:firstRowLastColumn="0" w:lastRowFirstColumn="0" w:lastRowLastColumn="0"/>
            <w:tcW w:w="1586" w:type="dxa"/>
            <w:shd w:val="clear" w:color="auto" w:fill="D9E2F3" w:themeFill="accent1" w:themeFillTint="33"/>
          </w:tcPr>
          <w:p w14:paraId="341AE5D4" w14:textId="7E594824" w:rsidR="00C51FF9" w:rsidRPr="00C51FF9" w:rsidRDefault="00C51FF9" w:rsidP="002F1988">
            <w:pPr>
              <w:rPr>
                <w:rFonts w:eastAsia="맑은 고딕" w:hint="eastAsia"/>
                <w:lang w:val="en-US" w:eastAsia="ko-KR"/>
              </w:rPr>
            </w:pPr>
            <w:r>
              <w:rPr>
                <w:rFonts w:eastAsia="맑은 고딕" w:hint="eastAsia"/>
                <w:lang w:val="en-US" w:eastAsia="ko-KR"/>
              </w:rPr>
              <w:t>Samsung</w:t>
            </w:r>
          </w:p>
        </w:tc>
        <w:tc>
          <w:tcPr>
            <w:tcW w:w="12692" w:type="dxa"/>
            <w:shd w:val="clear" w:color="auto" w:fill="D9E2F3" w:themeFill="accent1" w:themeFillTint="33"/>
          </w:tcPr>
          <w:p w14:paraId="06EFCD29" w14:textId="56984424" w:rsidR="00C51FF9" w:rsidRPr="00C51FF9" w:rsidRDefault="00C51FF9" w:rsidP="002F1988">
            <w:pPr>
              <w:cnfStyle w:val="000000000000" w:firstRow="0" w:lastRow="0" w:firstColumn="0" w:lastColumn="0" w:oddVBand="0" w:evenVBand="0" w:oddHBand="0" w:evenHBand="0" w:firstRowFirstColumn="0" w:firstRowLastColumn="0" w:lastRowFirstColumn="0" w:lastRowLastColumn="0"/>
              <w:rPr>
                <w:rFonts w:eastAsia="맑은 고딕" w:hint="eastAsia"/>
                <w:lang w:val="en-US" w:eastAsia="ko-KR"/>
              </w:rPr>
            </w:pPr>
            <w:r>
              <w:rPr>
                <w:rFonts w:eastAsia="맑은 고딕" w:hint="eastAsia"/>
                <w:lang w:val="en-US" w:eastAsia="ko-KR"/>
              </w:rPr>
              <w:t>Fine with th</w:t>
            </w:r>
            <w:r>
              <w:rPr>
                <w:rFonts w:eastAsia="맑은 고딕"/>
                <w:lang w:val="en-US" w:eastAsia="ko-KR"/>
              </w:rPr>
              <w:t xml:space="preserve">e proposals. </w:t>
            </w:r>
          </w:p>
        </w:tc>
      </w:tr>
    </w:tbl>
    <w:p w14:paraId="2D3F0C62" w14:textId="77777777" w:rsidR="00EF613A" w:rsidRDefault="00EF613A">
      <w:pPr>
        <w:rPr>
          <w:lang w:val="en-US"/>
        </w:rPr>
      </w:pPr>
    </w:p>
    <w:p w14:paraId="66CAD029" w14:textId="77777777" w:rsidR="00EF613A" w:rsidRDefault="00C11C58">
      <w:pPr>
        <w:pStyle w:val="1"/>
        <w:numPr>
          <w:ilvl w:val="0"/>
          <w:numId w:val="4"/>
        </w:numPr>
        <w:tabs>
          <w:tab w:val="left" w:pos="720"/>
        </w:tabs>
        <w:ind w:left="720" w:hanging="720"/>
        <w:jc w:val="both"/>
      </w:pPr>
      <w:r>
        <w:t>Connection density – mMTC-s (#9)</w:t>
      </w:r>
    </w:p>
    <w:p w14:paraId="0DA09674" w14:textId="77777777" w:rsidR="00EF613A" w:rsidRDefault="00C11C58">
      <w:r>
        <w:t>For the evaluation on connection density, the input from contributions (as well as documented in [2]) is to support both full buffer and non-full buffer evaluations. One issue brought up is how to compute the area for the connection density, since not all the beams in the evaluation have the same size:</w:t>
      </w:r>
    </w:p>
    <w:p w14:paraId="64B8A6A5" w14:textId="77777777" w:rsidR="00EF613A" w:rsidRDefault="00C11C58">
      <w:pPr>
        <w:rPr>
          <w:b/>
          <w:bCs/>
        </w:rPr>
      </w:pPr>
      <w:r>
        <w:rPr>
          <w:b/>
          <w:bCs/>
          <w:u w:val="single"/>
        </w:rPr>
        <w:t>Proposal 5.1:</w:t>
      </w:r>
      <w:r>
        <w:rPr>
          <w:b/>
          <w:bCs/>
        </w:rPr>
        <w:t xml:space="preserve"> For connection density evaluation, non-full buffer and full-buffer evaluations (as described in M.2412) are allowed.</w:t>
      </w:r>
    </w:p>
    <w:p w14:paraId="1ADE0539" w14:textId="77777777" w:rsidR="00EF613A" w:rsidRDefault="00C11C58">
      <w:pPr>
        <w:rPr>
          <w:b/>
          <w:bCs/>
        </w:rPr>
      </w:pPr>
      <w:r>
        <w:rPr>
          <w:b/>
          <w:bCs/>
          <w:u w:val="single"/>
        </w:rPr>
        <w:t xml:space="preserve">Proposal 5.2: </w:t>
      </w:r>
      <w:r>
        <w:rPr>
          <w:b/>
          <w:bCs/>
        </w:rPr>
        <w:t>For computing the area for connection density, RAN1 to discuss whether to consider:</w:t>
      </w:r>
    </w:p>
    <w:p w14:paraId="527B2A28" w14:textId="77777777" w:rsidR="00EF613A" w:rsidRDefault="00C11C58">
      <w:pPr>
        <w:pStyle w:val="af4"/>
        <w:numPr>
          <w:ilvl w:val="0"/>
          <w:numId w:val="12"/>
        </w:numPr>
        <w:rPr>
          <w:b/>
          <w:bCs/>
        </w:rPr>
      </w:pPr>
      <w:r>
        <w:rPr>
          <w:b/>
          <w:bCs/>
        </w:rPr>
        <w:t>Only the central beam</w:t>
      </w:r>
    </w:p>
    <w:p w14:paraId="5A0D2130" w14:textId="77777777" w:rsidR="00EF613A" w:rsidRDefault="00C11C58">
      <w:pPr>
        <w:pStyle w:val="af4"/>
        <w:numPr>
          <w:ilvl w:val="0"/>
          <w:numId w:val="12"/>
        </w:numPr>
        <w:rPr>
          <w:b/>
          <w:bCs/>
        </w:rPr>
      </w:pPr>
      <w:r>
        <w:rPr>
          <w:b/>
          <w:bCs/>
        </w:rPr>
        <w:t>All the beams</w:t>
      </w:r>
    </w:p>
    <w:p w14:paraId="44BF146A" w14:textId="77777777" w:rsidR="00EF613A" w:rsidRDefault="00C11C58">
      <w:pPr>
        <w:rPr>
          <w:b/>
          <w:bCs/>
          <w:u w:val="single"/>
        </w:rPr>
      </w:pPr>
      <w:r>
        <w:rPr>
          <w:b/>
          <w:bCs/>
          <w:u w:val="single"/>
        </w:rPr>
        <w:t xml:space="preserve">Proposal 5.3: </w:t>
      </w:r>
      <w:r>
        <w:rPr>
          <w:b/>
          <w:bCs/>
        </w:rPr>
        <w:t xml:space="preserve">For SLS to LLS metric, use “pre-processing SNR” as described in </w:t>
      </w:r>
      <w:r>
        <w:rPr>
          <w:b/>
          <w:iCs/>
          <w:szCs w:val="21"/>
        </w:rPr>
        <w:t>TR 37.910.</w:t>
      </w:r>
    </w:p>
    <w:p w14:paraId="717F0883" w14:textId="77777777" w:rsidR="00EF613A" w:rsidRDefault="00EF613A">
      <w:pPr>
        <w:rPr>
          <w:b/>
          <w:bCs/>
          <w:u w:val="single"/>
        </w:rPr>
      </w:pPr>
    </w:p>
    <w:p w14:paraId="317679E9" w14:textId="77777777" w:rsidR="00EF613A" w:rsidRDefault="00C11C58">
      <w:pPr>
        <w:pStyle w:val="2"/>
      </w:pPr>
      <w:r>
        <w:t>Q5.1: Please provide comments on proposals 5.1, 5.2 and 5.3</w:t>
      </w:r>
    </w:p>
    <w:p w14:paraId="292F9DE9" w14:textId="77777777" w:rsidR="00EF613A" w:rsidRDefault="00EF613A">
      <w:pPr>
        <w:rPr>
          <w:b/>
          <w:bCs/>
        </w:rPr>
      </w:pPr>
    </w:p>
    <w:tbl>
      <w:tblPr>
        <w:tblStyle w:val="4-11"/>
        <w:tblW w:w="0" w:type="auto"/>
        <w:tblLook w:val="04A0" w:firstRow="1" w:lastRow="0" w:firstColumn="1" w:lastColumn="0" w:noHBand="0" w:noVBand="1"/>
      </w:tblPr>
      <w:tblGrid>
        <w:gridCol w:w="1586"/>
        <w:gridCol w:w="12692"/>
      </w:tblGrid>
      <w:tr w:rsidR="00EF613A" w14:paraId="60857067"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6" w:type="dxa"/>
          </w:tcPr>
          <w:p w14:paraId="22C9CB50" w14:textId="77777777" w:rsidR="00EF613A" w:rsidRDefault="00C11C58">
            <w:pPr>
              <w:rPr>
                <w:b w:val="0"/>
                <w:bCs w:val="0"/>
              </w:rPr>
            </w:pPr>
            <w:r>
              <w:t>Company</w:t>
            </w:r>
          </w:p>
        </w:tc>
        <w:tc>
          <w:tcPr>
            <w:tcW w:w="12692" w:type="dxa"/>
          </w:tcPr>
          <w:p w14:paraId="32898378"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37C8ACAA" w14:textId="77777777" w:rsidTr="00EF613A">
        <w:tc>
          <w:tcPr>
            <w:cnfStyle w:val="001000000000" w:firstRow="0" w:lastRow="0" w:firstColumn="1" w:lastColumn="0" w:oddVBand="0" w:evenVBand="0" w:oddHBand="0" w:evenHBand="0" w:firstRowFirstColumn="0" w:firstRowLastColumn="0" w:lastRowFirstColumn="0" w:lastRowLastColumn="0"/>
            <w:tcW w:w="1586" w:type="dxa"/>
            <w:shd w:val="clear" w:color="auto" w:fill="D9E2F3" w:themeFill="accent1" w:themeFillTint="33"/>
          </w:tcPr>
          <w:p w14:paraId="7A360923" w14:textId="77777777" w:rsidR="00EF613A" w:rsidRDefault="00C11C58">
            <w:pPr>
              <w:rPr>
                <w:rFonts w:eastAsia="SimSun"/>
                <w:b w:val="0"/>
                <w:bCs w:val="0"/>
                <w:lang w:val="en-US" w:eastAsia="zh-CN"/>
              </w:rPr>
            </w:pPr>
            <w:r>
              <w:rPr>
                <w:rFonts w:eastAsia="SimSun" w:hint="eastAsia"/>
                <w:lang w:val="en-US" w:eastAsia="zh-CN"/>
              </w:rPr>
              <w:t>ZTE</w:t>
            </w:r>
          </w:p>
        </w:tc>
        <w:tc>
          <w:tcPr>
            <w:tcW w:w="12692" w:type="dxa"/>
            <w:shd w:val="clear" w:color="auto" w:fill="D9E2F3" w:themeFill="accent1" w:themeFillTint="33"/>
          </w:tcPr>
          <w:p w14:paraId="06098F3C"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Agree. To compute the area of the central beam is preferred.</w:t>
            </w:r>
          </w:p>
        </w:tc>
      </w:tr>
      <w:tr w:rsidR="00DB5274" w14:paraId="5B9D2402" w14:textId="77777777" w:rsidTr="00EF613A">
        <w:tc>
          <w:tcPr>
            <w:cnfStyle w:val="001000000000" w:firstRow="0" w:lastRow="0" w:firstColumn="1" w:lastColumn="0" w:oddVBand="0" w:evenVBand="0" w:oddHBand="0" w:evenHBand="0" w:firstRowFirstColumn="0" w:firstRowLastColumn="0" w:lastRowFirstColumn="0" w:lastRowLastColumn="0"/>
            <w:tcW w:w="1586" w:type="dxa"/>
            <w:shd w:val="clear" w:color="auto" w:fill="D9E2F3" w:themeFill="accent1" w:themeFillTint="33"/>
          </w:tcPr>
          <w:p w14:paraId="2C4F60DF" w14:textId="6F36A658" w:rsidR="00DB5274" w:rsidRDefault="00DB5274">
            <w:pPr>
              <w:rPr>
                <w:rFonts w:eastAsia="SimSun"/>
                <w:lang w:val="en-US" w:eastAsia="zh-CN"/>
              </w:rPr>
            </w:pPr>
            <w:r>
              <w:rPr>
                <w:rFonts w:eastAsia="SimSun"/>
                <w:lang w:val="en-US" w:eastAsia="zh-CN"/>
              </w:rPr>
              <w:t>MediaTek</w:t>
            </w:r>
          </w:p>
        </w:tc>
        <w:tc>
          <w:tcPr>
            <w:tcW w:w="12692" w:type="dxa"/>
            <w:shd w:val="clear" w:color="auto" w:fill="D9E2F3" w:themeFill="accent1" w:themeFillTint="33"/>
          </w:tcPr>
          <w:p w14:paraId="2CC8A3A0" w14:textId="5ED69B40" w:rsidR="00DB5274" w:rsidRDefault="00DB5274">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5.1: Agree, but whether we apply the same 10 second</w:t>
            </w:r>
            <w:r w:rsidR="006A03EC">
              <w:rPr>
                <w:rFonts w:eastAsia="SimSun"/>
                <w:lang w:val="en-US" w:eastAsia="zh-CN"/>
              </w:rPr>
              <w:t xml:space="preserve"> packet delivery</w:t>
            </w:r>
            <w:r>
              <w:rPr>
                <w:rFonts w:eastAsia="SimSun"/>
                <w:lang w:val="en-US" w:eastAsia="zh-CN"/>
              </w:rPr>
              <w:t xml:space="preserve"> restriction as for IMT-2020 should be clarified. </w:t>
            </w:r>
          </w:p>
          <w:p w14:paraId="70C6122A" w14:textId="22897CC7" w:rsidR="00DB5274" w:rsidRDefault="00DB5274">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5.2: </w:t>
            </w:r>
            <w:r w:rsidR="00A53FBB">
              <w:rPr>
                <w:rFonts w:eastAsia="SimSun"/>
                <w:lang w:val="en-US" w:eastAsia="zh-CN"/>
              </w:rPr>
              <w:t xml:space="preserve">The requirement says 500 UEs/km2. </w:t>
            </w:r>
            <w:r w:rsidR="00AB5220">
              <w:rPr>
                <w:rFonts w:eastAsia="SimSun"/>
                <w:lang w:val="en-US" w:eastAsia="zh-CN"/>
              </w:rPr>
              <w:t>So does this mean we would only evaluate the connection density for central beam and then calculate the per km2 density from that? Would we then only drop UEs into the central beam?</w:t>
            </w:r>
          </w:p>
          <w:p w14:paraId="7C4419C2" w14:textId="65AAD1EF" w:rsidR="00A53FBB" w:rsidRDefault="00A53FBB">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lastRenderedPageBreak/>
              <w:t xml:space="preserve">5.3: </w:t>
            </w:r>
            <w:r w:rsidR="00430BFA">
              <w:rPr>
                <w:rFonts w:eastAsia="SimSun"/>
                <w:lang w:val="en-US" w:eastAsia="zh-CN"/>
              </w:rPr>
              <w:t xml:space="preserve">Looking at 37.901, pre-processing SINR includes assumptions on the small-scale modelling. We suggest to put this on hold </w:t>
            </w:r>
            <w:r w:rsidR="006A03EC">
              <w:rPr>
                <w:rFonts w:eastAsia="SimSun"/>
                <w:lang w:val="en-US" w:eastAsia="zh-CN"/>
              </w:rPr>
              <w:t>and come back to it once</w:t>
            </w:r>
            <w:r w:rsidR="00430BFA">
              <w:rPr>
                <w:rFonts w:eastAsia="SimSun"/>
                <w:lang w:val="en-US" w:eastAsia="zh-CN"/>
              </w:rPr>
              <w:t xml:space="preserve"> we have agreed on the channel modelling aspects. </w:t>
            </w:r>
          </w:p>
        </w:tc>
      </w:tr>
    </w:tbl>
    <w:p w14:paraId="2894D49E" w14:textId="77777777" w:rsidR="00EF613A" w:rsidRDefault="00EF613A">
      <w:pPr>
        <w:rPr>
          <w:b/>
          <w:bCs/>
          <w:u w:val="single"/>
        </w:rPr>
      </w:pPr>
    </w:p>
    <w:p w14:paraId="70AD8996" w14:textId="77777777" w:rsidR="00EF613A" w:rsidRDefault="00C11C58">
      <w:r>
        <w:t>For the LLS evaluations, RAN1 would need to agree on the parameters for eMTC, NB-IoT and NR (since all 3 technologies are to be evaluated for this KPI)</w:t>
      </w:r>
    </w:p>
    <w:p w14:paraId="4C8437AD" w14:textId="77777777" w:rsidR="00EF613A" w:rsidRDefault="00C11C58">
      <w:r>
        <w:rPr>
          <w:b/>
          <w:bCs/>
          <w:u w:val="single"/>
        </w:rPr>
        <w:t xml:space="preserve">Proposal 5.4: </w:t>
      </w:r>
      <w:r>
        <w:rPr>
          <w:b/>
          <w:bCs/>
        </w:rPr>
        <w:t xml:space="preserve">RAN1 to discuss the LLS parameters for NR, eMTC and NB-IoT, taking the following table as starting point. </w:t>
      </w:r>
    </w:p>
    <w:tbl>
      <w:tblPr>
        <w:tblStyle w:val="4-11"/>
        <w:tblW w:w="12280" w:type="dxa"/>
        <w:tblLook w:val="04A0" w:firstRow="1" w:lastRow="0" w:firstColumn="1" w:lastColumn="0" w:noHBand="0" w:noVBand="1"/>
      </w:tblPr>
      <w:tblGrid>
        <w:gridCol w:w="2020"/>
        <w:gridCol w:w="3420"/>
        <w:gridCol w:w="3420"/>
        <w:gridCol w:w="3420"/>
      </w:tblGrid>
      <w:tr w:rsidR="00EF613A" w14:paraId="0CD28DAE" w14:textId="77777777" w:rsidTr="00EF613A">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020" w:type="dxa"/>
          </w:tcPr>
          <w:p w14:paraId="0758CF2D" w14:textId="77777777" w:rsidR="00EF613A" w:rsidRDefault="00EF613A">
            <w:pPr>
              <w:spacing w:after="0"/>
              <w:jc w:val="center"/>
              <w:rPr>
                <w:rFonts w:ascii="Arial" w:hAnsi="Arial" w:cs="Arial"/>
                <w:b w:val="0"/>
                <w:bCs w:val="0"/>
                <w:sz w:val="18"/>
                <w:szCs w:val="18"/>
                <w:lang w:eastAsia="zh-CN"/>
              </w:rPr>
            </w:pPr>
          </w:p>
        </w:tc>
        <w:tc>
          <w:tcPr>
            <w:tcW w:w="3420" w:type="dxa"/>
          </w:tcPr>
          <w:p w14:paraId="7510B754" w14:textId="77777777" w:rsidR="00EF613A" w:rsidRDefault="00C11C5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NB-IoT Uplink</w:t>
            </w:r>
          </w:p>
        </w:tc>
        <w:tc>
          <w:tcPr>
            <w:tcW w:w="3420" w:type="dxa"/>
          </w:tcPr>
          <w:p w14:paraId="1D560462" w14:textId="77777777" w:rsidR="00EF613A" w:rsidRDefault="00C11C5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eMTC Uplink</w:t>
            </w:r>
          </w:p>
        </w:tc>
        <w:tc>
          <w:tcPr>
            <w:tcW w:w="3420" w:type="dxa"/>
          </w:tcPr>
          <w:p w14:paraId="07F2E89D" w14:textId="77777777" w:rsidR="00EF613A" w:rsidRDefault="00C11C5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Uplink</w:t>
            </w:r>
          </w:p>
        </w:tc>
      </w:tr>
      <w:tr w:rsidR="00EF613A" w14:paraId="6FA8CD36" w14:textId="77777777" w:rsidTr="00EF613A">
        <w:trPr>
          <w:trHeight w:val="240"/>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0491F9FF"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Physical channel</w:t>
            </w:r>
          </w:p>
        </w:tc>
        <w:tc>
          <w:tcPr>
            <w:tcW w:w="3420" w:type="dxa"/>
            <w:shd w:val="clear" w:color="auto" w:fill="D9E2F3" w:themeFill="accent1" w:themeFillTint="33"/>
          </w:tcPr>
          <w:p w14:paraId="6F305E70"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NPUSCH</w:t>
            </w:r>
          </w:p>
        </w:tc>
        <w:tc>
          <w:tcPr>
            <w:tcW w:w="3420" w:type="dxa"/>
            <w:shd w:val="clear" w:color="auto" w:fill="D9E2F3" w:themeFill="accent1" w:themeFillTint="33"/>
          </w:tcPr>
          <w:p w14:paraId="2DA3CE5F"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c>
          <w:tcPr>
            <w:tcW w:w="3420" w:type="dxa"/>
            <w:shd w:val="clear" w:color="auto" w:fill="D9E2F3" w:themeFill="accent1" w:themeFillTint="33"/>
          </w:tcPr>
          <w:p w14:paraId="0030EAB5"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r>
      <w:tr w:rsidR="00EF613A" w14:paraId="5C2530C5" w14:textId="77777777" w:rsidTr="00EF613A">
        <w:trPr>
          <w:trHeight w:val="456"/>
        </w:trPr>
        <w:tc>
          <w:tcPr>
            <w:cnfStyle w:val="001000000000" w:firstRow="0" w:lastRow="0" w:firstColumn="1" w:lastColumn="0" w:oddVBand="0" w:evenVBand="0" w:oddHBand="0" w:evenHBand="0" w:firstRowFirstColumn="0" w:firstRowLastColumn="0" w:lastRowFirstColumn="0" w:lastRowLastColumn="0"/>
            <w:tcW w:w="2020" w:type="dxa"/>
          </w:tcPr>
          <w:p w14:paraId="39D577F2"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Simulation bandwidth</w:t>
            </w:r>
          </w:p>
        </w:tc>
        <w:tc>
          <w:tcPr>
            <w:tcW w:w="3420" w:type="dxa"/>
          </w:tcPr>
          <w:p w14:paraId="4D67535C"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Single Tone</w:t>
            </w:r>
          </w:p>
        </w:tc>
        <w:tc>
          <w:tcPr>
            <w:tcW w:w="3420" w:type="dxa"/>
          </w:tcPr>
          <w:p w14:paraId="0FF5BF1A"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tcPr>
          <w:p w14:paraId="61B0F148"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EF613A" w14:paraId="2EE4CC5C" w14:textId="77777777" w:rsidTr="00EF613A">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19CCD8B3"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users in simulation</w:t>
            </w:r>
          </w:p>
        </w:tc>
        <w:tc>
          <w:tcPr>
            <w:tcW w:w="3420" w:type="dxa"/>
            <w:shd w:val="clear" w:color="auto" w:fill="D9E2F3" w:themeFill="accent1" w:themeFillTint="33"/>
          </w:tcPr>
          <w:p w14:paraId="62A20A6A"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c>
          <w:tcPr>
            <w:tcW w:w="3420" w:type="dxa"/>
            <w:shd w:val="clear" w:color="auto" w:fill="D9E2F3" w:themeFill="accent1" w:themeFillTint="33"/>
          </w:tcPr>
          <w:p w14:paraId="7D7677F8"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c>
          <w:tcPr>
            <w:tcW w:w="3420" w:type="dxa"/>
            <w:shd w:val="clear" w:color="auto" w:fill="D9E2F3" w:themeFill="accent1" w:themeFillTint="33"/>
          </w:tcPr>
          <w:p w14:paraId="44E561C6"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r>
      <w:tr w:rsidR="00EF613A" w14:paraId="60346568" w14:textId="77777777" w:rsidTr="00EF613A">
        <w:trPr>
          <w:trHeight w:val="648"/>
        </w:trPr>
        <w:tc>
          <w:tcPr>
            <w:cnfStyle w:val="001000000000" w:firstRow="0" w:lastRow="0" w:firstColumn="1" w:lastColumn="0" w:oddVBand="0" w:evenVBand="0" w:oddHBand="0" w:evenHBand="0" w:firstRowFirstColumn="0" w:firstRowLastColumn="0" w:lastRowFirstColumn="0" w:lastRowLastColumn="0"/>
            <w:tcW w:w="2020" w:type="dxa"/>
          </w:tcPr>
          <w:p w14:paraId="1A80C0B0" w14:textId="77777777" w:rsidR="00EF613A" w:rsidRDefault="00C11C58">
            <w:pPr>
              <w:spacing w:after="0"/>
              <w:jc w:val="center"/>
              <w:rPr>
                <w:rFonts w:ascii="Arial" w:hAnsi="Arial" w:cs="Arial"/>
                <w:color w:val="000000"/>
                <w:sz w:val="18"/>
                <w:szCs w:val="18"/>
                <w:lang w:eastAsia="zh-CN"/>
              </w:rPr>
            </w:pPr>
            <w:r>
              <w:rPr>
                <w:rFonts w:ascii="Arial" w:hAnsi="Arial" w:cs="Arial"/>
                <w:color w:val="000000"/>
                <w:sz w:val="18"/>
                <w:szCs w:val="18"/>
                <w:lang w:eastAsia="zh-CN"/>
              </w:rPr>
              <w:t>Link-level Channel model</w:t>
            </w:r>
          </w:p>
        </w:tc>
        <w:tc>
          <w:tcPr>
            <w:tcW w:w="3420" w:type="dxa"/>
          </w:tcPr>
          <w:p w14:paraId="586CDC8E"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TBD</w:t>
            </w:r>
          </w:p>
        </w:tc>
        <w:tc>
          <w:tcPr>
            <w:tcW w:w="3420" w:type="dxa"/>
          </w:tcPr>
          <w:p w14:paraId="63560B66"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c>
          <w:tcPr>
            <w:tcW w:w="3420" w:type="dxa"/>
          </w:tcPr>
          <w:p w14:paraId="770043C2"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EF613A" w14:paraId="5C3E5C29" w14:textId="77777777" w:rsidTr="00EF613A">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55233167" w14:textId="77777777" w:rsidR="00EF613A" w:rsidRDefault="00C11C58">
            <w:pPr>
              <w:spacing w:after="0"/>
              <w:rPr>
                <w:rFonts w:ascii="Arial" w:hAnsi="Arial" w:cs="Arial"/>
                <w:b w:val="0"/>
                <w:bCs w:val="0"/>
                <w:sz w:val="18"/>
                <w:szCs w:val="18"/>
                <w:lang w:eastAsia="zh-CN"/>
              </w:rPr>
            </w:pPr>
            <w:r>
              <w:rPr>
                <w:rFonts w:ascii="Arial" w:hAnsi="Arial" w:cs="Arial"/>
                <w:sz w:val="18"/>
                <w:szCs w:val="18"/>
                <w:lang w:eastAsia="zh-CN"/>
              </w:rPr>
              <w:t>Antenna configuration at Satellite</w:t>
            </w:r>
          </w:p>
        </w:tc>
        <w:tc>
          <w:tcPr>
            <w:tcW w:w="3420" w:type="dxa"/>
            <w:shd w:val="clear" w:color="auto" w:fill="D9E2F3" w:themeFill="accent1" w:themeFillTint="33"/>
          </w:tcPr>
          <w:p w14:paraId="422B2877"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1Rx</w:t>
            </w:r>
          </w:p>
        </w:tc>
        <w:tc>
          <w:tcPr>
            <w:tcW w:w="3420" w:type="dxa"/>
            <w:shd w:val="clear" w:color="auto" w:fill="D9E2F3" w:themeFill="accent1" w:themeFillTint="33"/>
          </w:tcPr>
          <w:p w14:paraId="0CBC343A"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1Rx</w:t>
            </w:r>
          </w:p>
        </w:tc>
        <w:tc>
          <w:tcPr>
            <w:tcW w:w="3420" w:type="dxa"/>
            <w:shd w:val="clear" w:color="auto" w:fill="D9E2F3" w:themeFill="accent1" w:themeFillTint="33"/>
          </w:tcPr>
          <w:p w14:paraId="2B2C4420"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410B94CE" w14:textId="77777777" w:rsidTr="00EF613A">
        <w:trPr>
          <w:trHeight w:val="456"/>
        </w:trPr>
        <w:tc>
          <w:tcPr>
            <w:cnfStyle w:val="001000000000" w:firstRow="0" w:lastRow="0" w:firstColumn="1" w:lastColumn="0" w:oddVBand="0" w:evenVBand="0" w:oddHBand="0" w:evenHBand="0" w:firstRowFirstColumn="0" w:firstRowLastColumn="0" w:lastRowFirstColumn="0" w:lastRowLastColumn="0"/>
            <w:tcW w:w="2020" w:type="dxa"/>
          </w:tcPr>
          <w:p w14:paraId="5F62773F" w14:textId="77777777" w:rsidR="00EF613A" w:rsidRDefault="00C11C58">
            <w:pPr>
              <w:spacing w:after="0"/>
              <w:rPr>
                <w:rFonts w:ascii="Arial" w:hAnsi="Arial" w:cs="Arial"/>
                <w:b w:val="0"/>
                <w:bCs w:val="0"/>
                <w:sz w:val="18"/>
                <w:szCs w:val="18"/>
                <w:lang w:eastAsia="zh-CN"/>
              </w:rPr>
            </w:pPr>
            <w:r>
              <w:rPr>
                <w:rFonts w:ascii="Arial" w:hAnsi="Arial" w:cs="Arial"/>
                <w:sz w:val="18"/>
                <w:szCs w:val="18"/>
                <w:lang w:eastAsia="zh-CN"/>
              </w:rPr>
              <w:t>Antenna configuration at UE</w:t>
            </w:r>
          </w:p>
        </w:tc>
        <w:tc>
          <w:tcPr>
            <w:tcW w:w="3420" w:type="dxa"/>
          </w:tcPr>
          <w:p w14:paraId="5F858A5F"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1Tx</w:t>
            </w:r>
          </w:p>
        </w:tc>
        <w:tc>
          <w:tcPr>
            <w:tcW w:w="3420" w:type="dxa"/>
          </w:tcPr>
          <w:p w14:paraId="211A3A3A"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1Tx</w:t>
            </w:r>
          </w:p>
        </w:tc>
        <w:tc>
          <w:tcPr>
            <w:tcW w:w="3420" w:type="dxa"/>
          </w:tcPr>
          <w:p w14:paraId="06388323"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14028168" w14:textId="77777777" w:rsidTr="00EF613A">
        <w:trPr>
          <w:trHeight w:val="228"/>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4587A6D"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mode</w:t>
            </w:r>
          </w:p>
        </w:tc>
        <w:tc>
          <w:tcPr>
            <w:tcW w:w="3420" w:type="dxa"/>
            <w:shd w:val="clear" w:color="auto" w:fill="D9E2F3" w:themeFill="accent1" w:themeFillTint="33"/>
          </w:tcPr>
          <w:p w14:paraId="015D8E67"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c>
          <w:tcPr>
            <w:tcW w:w="3420" w:type="dxa"/>
            <w:shd w:val="clear" w:color="auto" w:fill="D9E2F3" w:themeFill="accent1" w:themeFillTint="33"/>
          </w:tcPr>
          <w:p w14:paraId="7D2CC0FC"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c>
          <w:tcPr>
            <w:tcW w:w="3420" w:type="dxa"/>
            <w:shd w:val="clear" w:color="auto" w:fill="D9E2F3" w:themeFill="accent1" w:themeFillTint="33"/>
          </w:tcPr>
          <w:p w14:paraId="38F46CE6"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r>
      <w:tr w:rsidR="00EF613A" w14:paraId="434B368E" w14:textId="77777777" w:rsidTr="00EF613A">
        <w:trPr>
          <w:trHeight w:val="228"/>
        </w:trPr>
        <w:tc>
          <w:tcPr>
            <w:cnfStyle w:val="001000000000" w:firstRow="0" w:lastRow="0" w:firstColumn="1" w:lastColumn="0" w:oddVBand="0" w:evenVBand="0" w:oddHBand="0" w:evenHBand="0" w:firstRowFirstColumn="0" w:firstRowLastColumn="0" w:lastRowFirstColumn="0" w:lastRowLastColumn="0"/>
            <w:tcW w:w="2020" w:type="dxa"/>
          </w:tcPr>
          <w:p w14:paraId="3F2B420E"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rank</w:t>
            </w:r>
          </w:p>
        </w:tc>
        <w:tc>
          <w:tcPr>
            <w:tcW w:w="3420" w:type="dxa"/>
          </w:tcPr>
          <w:p w14:paraId="7991F3AA"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c>
          <w:tcPr>
            <w:tcW w:w="3420" w:type="dxa"/>
          </w:tcPr>
          <w:p w14:paraId="6F3DC621"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c>
          <w:tcPr>
            <w:tcW w:w="3420" w:type="dxa"/>
          </w:tcPr>
          <w:p w14:paraId="2FE6C61E"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r>
      <w:tr w:rsidR="00EF613A" w14:paraId="6D2CCA2F" w14:textId="77777777" w:rsidTr="00EF613A">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3778AE44"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TBS</w:t>
            </w:r>
          </w:p>
        </w:tc>
        <w:tc>
          <w:tcPr>
            <w:tcW w:w="3420" w:type="dxa"/>
            <w:shd w:val="clear" w:color="auto" w:fill="D9E2F3" w:themeFill="accent1" w:themeFillTint="33"/>
          </w:tcPr>
          <w:p w14:paraId="2BC247E3"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256</w:t>
            </w:r>
          </w:p>
        </w:tc>
        <w:tc>
          <w:tcPr>
            <w:tcW w:w="3420" w:type="dxa"/>
            <w:shd w:val="clear" w:color="auto" w:fill="D9E2F3" w:themeFill="accent1" w:themeFillTint="33"/>
          </w:tcPr>
          <w:p w14:paraId="574C997E"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256</w:t>
            </w:r>
          </w:p>
        </w:tc>
        <w:tc>
          <w:tcPr>
            <w:tcW w:w="3420" w:type="dxa"/>
            <w:shd w:val="clear" w:color="auto" w:fill="D9E2F3" w:themeFill="accent1" w:themeFillTint="33"/>
          </w:tcPr>
          <w:p w14:paraId="30A9624C"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256</w:t>
            </w:r>
          </w:p>
        </w:tc>
      </w:tr>
      <w:tr w:rsidR="00EF613A" w14:paraId="75D9EC3B" w14:textId="77777777" w:rsidTr="00EF613A">
        <w:trPr>
          <w:trHeight w:val="228"/>
        </w:trPr>
        <w:tc>
          <w:tcPr>
            <w:cnfStyle w:val="001000000000" w:firstRow="0" w:lastRow="0" w:firstColumn="1" w:lastColumn="0" w:oddVBand="0" w:evenVBand="0" w:oddHBand="0" w:evenHBand="0" w:firstRowFirstColumn="0" w:firstRowLastColumn="0" w:lastRowFirstColumn="0" w:lastRowLastColumn="0"/>
            <w:tcW w:w="2020" w:type="dxa"/>
          </w:tcPr>
          <w:p w14:paraId="6A555F56"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Modulation order</w:t>
            </w:r>
          </w:p>
        </w:tc>
        <w:tc>
          <w:tcPr>
            <w:tcW w:w="3420" w:type="dxa"/>
          </w:tcPr>
          <w:p w14:paraId="68376698"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[BPSK-π/2, QPSK-π/4]</w:t>
            </w:r>
          </w:p>
        </w:tc>
        <w:tc>
          <w:tcPr>
            <w:tcW w:w="3420" w:type="dxa"/>
          </w:tcPr>
          <w:p w14:paraId="3067B4D4"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1590FA2A"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56FA7DEB" w14:textId="77777777" w:rsidTr="00EF613A">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4487E82" w14:textId="77777777" w:rsidR="00EF613A" w:rsidRDefault="00C11C58">
            <w:pPr>
              <w:spacing w:after="0"/>
              <w:jc w:val="center"/>
              <w:rPr>
                <w:rFonts w:ascii="Arial" w:hAnsi="Arial" w:cs="Arial"/>
                <w:b w:val="0"/>
                <w:bCs w:val="0"/>
                <w:sz w:val="18"/>
                <w:szCs w:val="18"/>
                <w:lang w:eastAsia="zh-CN"/>
              </w:rPr>
            </w:pPr>
            <w:r>
              <w:rPr>
                <w:rFonts w:ascii="Arial" w:hAnsi="Arial" w:cs="Arial"/>
                <w:sz w:val="18"/>
                <w:szCs w:val="18"/>
                <w:lang w:eastAsia="zh-CN"/>
              </w:rPr>
              <w:t>Number of Resource units</w:t>
            </w:r>
          </w:p>
        </w:tc>
        <w:tc>
          <w:tcPr>
            <w:tcW w:w="3420" w:type="dxa"/>
            <w:shd w:val="clear" w:color="auto" w:fill="D9E2F3" w:themeFill="accent1" w:themeFillTint="33"/>
          </w:tcPr>
          <w:p w14:paraId="2C2A0A6F"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[2,3,4,5,6,8,10]</w:t>
            </w:r>
          </w:p>
        </w:tc>
        <w:tc>
          <w:tcPr>
            <w:tcW w:w="3420" w:type="dxa"/>
            <w:shd w:val="clear" w:color="auto" w:fill="D9E2F3" w:themeFill="accent1" w:themeFillTint="33"/>
          </w:tcPr>
          <w:p w14:paraId="63DF098E"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7E7E867E"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1FF789BD" w14:textId="77777777" w:rsidTr="00EF613A">
        <w:trPr>
          <w:trHeight w:val="228"/>
        </w:trPr>
        <w:tc>
          <w:tcPr>
            <w:cnfStyle w:val="001000000000" w:firstRow="0" w:lastRow="0" w:firstColumn="1" w:lastColumn="0" w:oddVBand="0" w:evenVBand="0" w:oddHBand="0" w:evenHBand="0" w:firstRowFirstColumn="0" w:firstRowLastColumn="0" w:lastRowFirstColumn="0" w:lastRowLastColumn="0"/>
            <w:tcW w:w="2020" w:type="dxa"/>
          </w:tcPr>
          <w:p w14:paraId="62BD7ACF"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repetition</w:t>
            </w:r>
          </w:p>
        </w:tc>
        <w:tc>
          <w:tcPr>
            <w:tcW w:w="3420" w:type="dxa"/>
          </w:tcPr>
          <w:p w14:paraId="1A1D3A42"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[1,2,4,8,16]</w:t>
            </w:r>
          </w:p>
        </w:tc>
        <w:tc>
          <w:tcPr>
            <w:tcW w:w="3420" w:type="dxa"/>
          </w:tcPr>
          <w:p w14:paraId="6E50AE65"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283F5047"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6129DEBC" w14:textId="77777777" w:rsidTr="00EF613A">
        <w:trPr>
          <w:trHeight w:val="240"/>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66BD83F"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estimation</w:t>
            </w:r>
          </w:p>
        </w:tc>
        <w:tc>
          <w:tcPr>
            <w:tcW w:w="3420" w:type="dxa"/>
            <w:shd w:val="clear" w:color="auto" w:fill="D9E2F3" w:themeFill="accent1" w:themeFillTint="33"/>
          </w:tcPr>
          <w:p w14:paraId="2253D8C2"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[LMMSE]</w:t>
            </w:r>
          </w:p>
        </w:tc>
        <w:tc>
          <w:tcPr>
            <w:tcW w:w="3420" w:type="dxa"/>
            <w:shd w:val="clear" w:color="auto" w:fill="D9E2F3" w:themeFill="accent1" w:themeFillTint="33"/>
          </w:tcPr>
          <w:p w14:paraId="05AF454D"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30023EA4"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2F6EC0E3" w14:textId="77777777" w:rsidTr="00EF613A">
        <w:trPr>
          <w:trHeight w:val="54"/>
        </w:trPr>
        <w:tc>
          <w:tcPr>
            <w:cnfStyle w:val="001000000000" w:firstRow="0" w:lastRow="0" w:firstColumn="1" w:lastColumn="0" w:oddVBand="0" w:evenVBand="0" w:oddHBand="0" w:evenHBand="0" w:firstRowFirstColumn="0" w:firstRowLastColumn="0" w:lastRowFirstColumn="0" w:lastRowLastColumn="0"/>
            <w:tcW w:w="2020" w:type="dxa"/>
          </w:tcPr>
          <w:p w14:paraId="1E52C53D"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coding scheme</w:t>
            </w:r>
          </w:p>
        </w:tc>
        <w:tc>
          <w:tcPr>
            <w:tcW w:w="3420" w:type="dxa"/>
          </w:tcPr>
          <w:p w14:paraId="6865810F"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Turbo code</w:t>
            </w:r>
          </w:p>
        </w:tc>
        <w:tc>
          <w:tcPr>
            <w:tcW w:w="3420" w:type="dxa"/>
          </w:tcPr>
          <w:p w14:paraId="19151CBB"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Turbo code</w:t>
            </w:r>
          </w:p>
        </w:tc>
        <w:tc>
          <w:tcPr>
            <w:tcW w:w="3420" w:type="dxa"/>
          </w:tcPr>
          <w:p w14:paraId="59FBE436"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LDPC</w:t>
            </w:r>
          </w:p>
        </w:tc>
      </w:tr>
      <w:tr w:rsidR="00EF613A" w14:paraId="4A12BD07" w14:textId="77777777" w:rsidTr="00EF613A">
        <w:trPr>
          <w:trHeight w:val="54"/>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6EA9311"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Doppler spread</w:t>
            </w:r>
          </w:p>
        </w:tc>
        <w:tc>
          <w:tcPr>
            <w:tcW w:w="3420" w:type="dxa"/>
            <w:shd w:val="clear" w:color="auto" w:fill="D9E2F3" w:themeFill="accent1" w:themeFillTint="33"/>
          </w:tcPr>
          <w:p w14:paraId="3018BB68"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shd w:val="clear" w:color="auto" w:fill="D9E2F3" w:themeFill="accent1" w:themeFillTint="33"/>
          </w:tcPr>
          <w:p w14:paraId="3FDA6284"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shd w:val="clear" w:color="auto" w:fill="D9E2F3" w:themeFill="accent1" w:themeFillTint="33"/>
          </w:tcPr>
          <w:p w14:paraId="380244B6"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bl>
    <w:p w14:paraId="4BEA9740" w14:textId="77777777" w:rsidR="00EF613A" w:rsidRDefault="00EF613A"/>
    <w:p w14:paraId="01B946B3" w14:textId="77777777" w:rsidR="00EF613A" w:rsidRDefault="00EF613A"/>
    <w:p w14:paraId="3BD9E957" w14:textId="77777777" w:rsidR="00EF613A" w:rsidRDefault="00EF613A"/>
    <w:p w14:paraId="31D97DCF" w14:textId="77777777" w:rsidR="00EF613A" w:rsidRDefault="00C11C58">
      <w:pPr>
        <w:pStyle w:val="2"/>
      </w:pPr>
      <w:r>
        <w:lastRenderedPageBreak/>
        <w:t>Q5.2: Please provide comments on proposal 5.4</w:t>
      </w:r>
    </w:p>
    <w:p w14:paraId="7FBC3873" w14:textId="77777777" w:rsidR="00EF613A" w:rsidRDefault="00EF613A">
      <w:pPr>
        <w:rPr>
          <w:b/>
          <w:bCs/>
        </w:rPr>
      </w:pPr>
    </w:p>
    <w:tbl>
      <w:tblPr>
        <w:tblStyle w:val="4-11"/>
        <w:tblW w:w="0" w:type="auto"/>
        <w:tblLook w:val="04A0" w:firstRow="1" w:lastRow="0" w:firstColumn="1" w:lastColumn="0" w:noHBand="0" w:noVBand="1"/>
      </w:tblPr>
      <w:tblGrid>
        <w:gridCol w:w="1586"/>
        <w:gridCol w:w="12692"/>
      </w:tblGrid>
      <w:tr w:rsidR="00EF613A" w14:paraId="17650970"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6" w:type="dxa"/>
          </w:tcPr>
          <w:p w14:paraId="72CE9434" w14:textId="77777777" w:rsidR="00EF613A" w:rsidRDefault="00C11C58">
            <w:pPr>
              <w:rPr>
                <w:b w:val="0"/>
                <w:bCs w:val="0"/>
              </w:rPr>
            </w:pPr>
            <w:r>
              <w:t>Company</w:t>
            </w:r>
          </w:p>
        </w:tc>
        <w:tc>
          <w:tcPr>
            <w:tcW w:w="12692" w:type="dxa"/>
          </w:tcPr>
          <w:p w14:paraId="7A18759D"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02E879EE" w14:textId="77777777" w:rsidTr="00EF613A">
        <w:tc>
          <w:tcPr>
            <w:cnfStyle w:val="001000000000" w:firstRow="0" w:lastRow="0" w:firstColumn="1" w:lastColumn="0" w:oddVBand="0" w:evenVBand="0" w:oddHBand="0" w:evenHBand="0" w:firstRowFirstColumn="0" w:firstRowLastColumn="0" w:lastRowFirstColumn="0" w:lastRowLastColumn="0"/>
            <w:tcW w:w="1586" w:type="dxa"/>
            <w:shd w:val="clear" w:color="auto" w:fill="D9E2F3" w:themeFill="accent1" w:themeFillTint="33"/>
          </w:tcPr>
          <w:p w14:paraId="1A27DBD7" w14:textId="77777777" w:rsidR="00EF613A" w:rsidRDefault="00C11C58">
            <w:pPr>
              <w:rPr>
                <w:rFonts w:eastAsia="SimSun"/>
                <w:b w:val="0"/>
                <w:bCs w:val="0"/>
                <w:lang w:val="en-US" w:eastAsia="zh-CN"/>
              </w:rPr>
            </w:pPr>
            <w:r>
              <w:rPr>
                <w:rFonts w:eastAsia="SimSun" w:hint="eastAsia"/>
                <w:lang w:val="en-US" w:eastAsia="zh-CN"/>
              </w:rPr>
              <w:t>ZTE</w:t>
            </w:r>
          </w:p>
        </w:tc>
        <w:tc>
          <w:tcPr>
            <w:tcW w:w="12692" w:type="dxa"/>
            <w:shd w:val="clear" w:color="auto" w:fill="D9E2F3" w:themeFill="accent1" w:themeFillTint="33"/>
          </w:tcPr>
          <w:p w14:paraId="06298BE5"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Agree. LOS channel model can be considered. </w:t>
            </w:r>
          </w:p>
        </w:tc>
      </w:tr>
      <w:tr w:rsidR="00AB5220" w14:paraId="511DACED" w14:textId="77777777" w:rsidTr="00EF613A">
        <w:tc>
          <w:tcPr>
            <w:cnfStyle w:val="001000000000" w:firstRow="0" w:lastRow="0" w:firstColumn="1" w:lastColumn="0" w:oddVBand="0" w:evenVBand="0" w:oddHBand="0" w:evenHBand="0" w:firstRowFirstColumn="0" w:firstRowLastColumn="0" w:lastRowFirstColumn="0" w:lastRowLastColumn="0"/>
            <w:tcW w:w="1586" w:type="dxa"/>
            <w:shd w:val="clear" w:color="auto" w:fill="D9E2F3" w:themeFill="accent1" w:themeFillTint="33"/>
          </w:tcPr>
          <w:p w14:paraId="6A6CCBFB" w14:textId="1D9A9539" w:rsidR="00AB5220" w:rsidRDefault="00AB5220">
            <w:pPr>
              <w:rPr>
                <w:rFonts w:eastAsia="SimSun"/>
                <w:lang w:val="en-US" w:eastAsia="zh-CN"/>
              </w:rPr>
            </w:pPr>
            <w:r>
              <w:rPr>
                <w:rFonts w:eastAsia="SimSun"/>
                <w:lang w:val="en-US" w:eastAsia="zh-CN"/>
              </w:rPr>
              <w:t>MediaTek</w:t>
            </w:r>
          </w:p>
        </w:tc>
        <w:tc>
          <w:tcPr>
            <w:tcW w:w="12692" w:type="dxa"/>
            <w:shd w:val="clear" w:color="auto" w:fill="D9E2F3" w:themeFill="accent1" w:themeFillTint="33"/>
          </w:tcPr>
          <w:p w14:paraId="6CE74EE4" w14:textId="52F37772" w:rsidR="00AB5220" w:rsidRDefault="00AB5220">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For NB-IoT, we need to </w:t>
            </w:r>
            <w:r w:rsidR="00E67E5D">
              <w:rPr>
                <w:rFonts w:eastAsia="SimSun"/>
                <w:lang w:val="en-US" w:eastAsia="zh-CN"/>
              </w:rPr>
              <w:t>add</w:t>
            </w:r>
            <w:r>
              <w:rPr>
                <w:rFonts w:eastAsia="SimSun"/>
                <w:lang w:val="en-US" w:eastAsia="zh-CN"/>
              </w:rPr>
              <w:t xml:space="preserve"> the </w:t>
            </w:r>
            <w:r w:rsidR="00E67E5D" w:rsidRPr="006A03EC">
              <w:rPr>
                <w:rFonts w:eastAsia="SimSun"/>
                <w:b/>
                <w:bCs/>
                <w:lang w:val="en-US" w:eastAsia="zh-CN"/>
              </w:rPr>
              <w:t>Subcarrier Spacing</w:t>
            </w:r>
            <w:r w:rsidR="00E67E5D">
              <w:rPr>
                <w:rFonts w:eastAsia="SimSun"/>
                <w:lang w:val="en-US" w:eastAsia="zh-CN"/>
              </w:rPr>
              <w:t>, e.g.</w:t>
            </w:r>
            <w:r>
              <w:rPr>
                <w:rFonts w:eastAsia="SimSun"/>
                <w:lang w:val="en-US" w:eastAsia="zh-CN"/>
              </w:rPr>
              <w:t xml:space="preserve"> 15kHz as baseline.</w:t>
            </w:r>
          </w:p>
          <w:p w14:paraId="2BA82BF2" w14:textId="4BF502C7" w:rsidR="00AB5220" w:rsidRDefault="00AB5220">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Note that the radio configuration aspects are also covered in the SLS part</w:t>
            </w:r>
            <w:r w:rsidR="00A67907">
              <w:rPr>
                <w:rFonts w:eastAsia="SimSun"/>
                <w:lang w:val="en-US" w:eastAsia="zh-CN"/>
              </w:rPr>
              <w:t>, and from the original IMT-2020 parameters (we would also need to add (see R1-2303346):</w:t>
            </w:r>
          </w:p>
          <w:p w14:paraId="36754376" w14:textId="3B3E6E83" w:rsidR="00A67907" w:rsidRDefault="00A67907" w:rsidP="00A67907">
            <w:pPr>
              <w:pStyle w:val="af4"/>
              <w:numPr>
                <w:ilvl w:val="0"/>
                <w:numId w:val="10"/>
              </w:numPr>
              <w:cnfStyle w:val="000000000000" w:firstRow="0" w:lastRow="0" w:firstColumn="0" w:lastColumn="0" w:oddVBand="0" w:evenVBand="0" w:oddHBand="0" w:evenHBand="0" w:firstRowFirstColumn="0" w:firstRowLastColumn="0" w:lastRowFirstColumn="0" w:lastRowLastColumn="0"/>
              <w:rPr>
                <w:lang w:val="en-US" w:eastAsia="zh-CN"/>
              </w:rPr>
            </w:pPr>
            <w:r w:rsidRPr="006A03EC">
              <w:rPr>
                <w:b/>
                <w:bCs/>
                <w:lang w:val="en-US" w:eastAsia="zh-CN"/>
              </w:rPr>
              <w:t xml:space="preserve">PUSCH scheduling Unit: </w:t>
            </w:r>
            <w:r w:rsidR="00E67E5D">
              <w:rPr>
                <w:lang w:val="en-US" w:eastAsia="zh-CN"/>
              </w:rPr>
              <w:t xml:space="preserve">e.g. </w:t>
            </w:r>
            <w:r>
              <w:rPr>
                <w:lang w:val="en-US" w:eastAsia="zh-CN"/>
              </w:rPr>
              <w:t>1 tone</w:t>
            </w:r>
            <w:r w:rsidR="00E67E5D">
              <w:rPr>
                <w:lang w:val="en-US" w:eastAsia="zh-CN"/>
              </w:rPr>
              <w:t xml:space="preserve"> for NB-IoT</w:t>
            </w:r>
          </w:p>
          <w:p w14:paraId="50D94103" w14:textId="77777777" w:rsidR="00A67907" w:rsidRPr="006A03EC" w:rsidRDefault="00A67907" w:rsidP="00A67907">
            <w:pPr>
              <w:pStyle w:val="af4"/>
              <w:numPr>
                <w:ilvl w:val="0"/>
                <w:numId w:val="10"/>
              </w:numPr>
              <w:cnfStyle w:val="000000000000" w:firstRow="0" w:lastRow="0" w:firstColumn="0" w:lastColumn="0" w:oddVBand="0" w:evenVBand="0" w:oddHBand="0" w:evenHBand="0" w:firstRowFirstColumn="0" w:firstRowLastColumn="0" w:lastRowFirstColumn="0" w:lastRowLastColumn="0"/>
              <w:rPr>
                <w:b/>
                <w:bCs/>
                <w:lang w:val="en-US" w:eastAsia="zh-CN"/>
              </w:rPr>
            </w:pPr>
            <w:r w:rsidRPr="006A03EC">
              <w:rPr>
                <w:b/>
                <w:bCs/>
                <w:lang w:val="en-US" w:eastAsia="zh-CN"/>
              </w:rPr>
              <w:t xml:space="preserve">Power control parameters </w:t>
            </w:r>
          </w:p>
          <w:p w14:paraId="4CD3480E" w14:textId="77777777" w:rsidR="00A67907" w:rsidRPr="006A03EC" w:rsidRDefault="00A67907" w:rsidP="00A67907">
            <w:pPr>
              <w:pStyle w:val="af4"/>
              <w:numPr>
                <w:ilvl w:val="0"/>
                <w:numId w:val="10"/>
              </w:numPr>
              <w:cnfStyle w:val="000000000000" w:firstRow="0" w:lastRow="0" w:firstColumn="0" w:lastColumn="0" w:oddVBand="0" w:evenVBand="0" w:oddHBand="0" w:evenHBand="0" w:firstRowFirstColumn="0" w:firstRowLastColumn="0" w:lastRowFirstColumn="0" w:lastRowLastColumn="0"/>
              <w:rPr>
                <w:b/>
                <w:bCs/>
                <w:lang w:val="en-US" w:eastAsia="zh-CN"/>
              </w:rPr>
            </w:pPr>
            <w:r w:rsidRPr="006A03EC">
              <w:rPr>
                <w:b/>
                <w:bCs/>
                <w:lang w:val="en-US" w:eastAsia="zh-CN"/>
              </w:rPr>
              <w:t>UL DMRS configuration</w:t>
            </w:r>
          </w:p>
          <w:p w14:paraId="125DB183" w14:textId="77777777" w:rsidR="00A67907" w:rsidRDefault="00A67907" w:rsidP="00A67907">
            <w:pPr>
              <w:pStyle w:val="af4"/>
              <w:numPr>
                <w:ilvl w:val="0"/>
                <w:numId w:val="10"/>
              </w:numPr>
              <w:cnfStyle w:val="000000000000" w:firstRow="0" w:lastRow="0" w:firstColumn="0" w:lastColumn="0" w:oddVBand="0" w:evenVBand="0" w:oddHBand="0" w:evenHBand="0" w:firstRowFirstColumn="0" w:firstRowLastColumn="0" w:lastRowFirstColumn="0" w:lastRowLastColumn="0"/>
              <w:rPr>
                <w:lang w:val="en-US" w:eastAsia="zh-CN"/>
              </w:rPr>
            </w:pPr>
            <w:r w:rsidRPr="006A03EC">
              <w:rPr>
                <w:b/>
                <w:bCs/>
                <w:lang w:val="en-US" w:eastAsia="zh-CN"/>
              </w:rPr>
              <w:t>PRACH configuration:</w:t>
            </w:r>
            <w:r w:rsidR="000B5599">
              <w:rPr>
                <w:lang w:val="en-US" w:eastAsia="zh-CN"/>
              </w:rPr>
              <w:t xml:space="preserve"> for</w:t>
            </w:r>
            <w:r>
              <w:rPr>
                <w:lang w:val="en-US" w:eastAsia="zh-CN"/>
              </w:rPr>
              <w:t xml:space="preserve"> non-full buffer only</w:t>
            </w:r>
          </w:p>
          <w:p w14:paraId="6ADA3B31" w14:textId="63046909" w:rsidR="00E67E5D" w:rsidRPr="00A67907" w:rsidRDefault="00E67E5D" w:rsidP="00A67907">
            <w:pPr>
              <w:pStyle w:val="af4"/>
              <w:numPr>
                <w:ilvl w:val="0"/>
                <w:numId w:val="10"/>
              </w:numPr>
              <w:cnfStyle w:val="000000000000" w:firstRow="0" w:lastRow="0" w:firstColumn="0" w:lastColumn="0" w:oddVBand="0" w:evenVBand="0" w:oddHBand="0" w:evenHBand="0" w:firstRowFirstColumn="0" w:firstRowLastColumn="0" w:lastRowFirstColumn="0" w:lastRowLastColumn="0"/>
              <w:rPr>
                <w:lang w:val="en-US" w:eastAsia="zh-CN"/>
              </w:rPr>
            </w:pPr>
            <w:r w:rsidRPr="006A03EC">
              <w:rPr>
                <w:b/>
                <w:bCs/>
                <w:lang w:val="en-US" w:eastAsia="zh-CN"/>
              </w:rPr>
              <w:t>Duplex mode</w:t>
            </w:r>
            <w:r w:rsidR="006A03EC" w:rsidRPr="006A03EC">
              <w:rPr>
                <w:b/>
                <w:bCs/>
                <w:lang w:val="en-US" w:eastAsia="zh-CN"/>
              </w:rPr>
              <w:t>:</w:t>
            </w:r>
            <w:r>
              <w:rPr>
                <w:lang w:val="en-US" w:eastAsia="zh-CN"/>
              </w:rPr>
              <w:t xml:space="preserve"> for eMTC (HD or FD)</w:t>
            </w:r>
          </w:p>
        </w:tc>
      </w:tr>
      <w:tr w:rsidR="00A67907" w14:paraId="573B1E44" w14:textId="77777777" w:rsidTr="00EF613A">
        <w:tc>
          <w:tcPr>
            <w:cnfStyle w:val="001000000000" w:firstRow="0" w:lastRow="0" w:firstColumn="1" w:lastColumn="0" w:oddVBand="0" w:evenVBand="0" w:oddHBand="0" w:evenHBand="0" w:firstRowFirstColumn="0" w:firstRowLastColumn="0" w:lastRowFirstColumn="0" w:lastRowLastColumn="0"/>
            <w:tcW w:w="1586" w:type="dxa"/>
            <w:shd w:val="clear" w:color="auto" w:fill="D9E2F3" w:themeFill="accent1" w:themeFillTint="33"/>
          </w:tcPr>
          <w:p w14:paraId="699C3E14" w14:textId="77777777" w:rsidR="00A67907" w:rsidRDefault="00A67907" w:rsidP="00A67907">
            <w:pPr>
              <w:ind w:left="720"/>
              <w:rPr>
                <w:rFonts w:eastAsia="SimSun"/>
                <w:lang w:val="en-US" w:eastAsia="zh-CN"/>
              </w:rPr>
            </w:pPr>
          </w:p>
        </w:tc>
        <w:tc>
          <w:tcPr>
            <w:tcW w:w="12692" w:type="dxa"/>
            <w:shd w:val="clear" w:color="auto" w:fill="D9E2F3" w:themeFill="accent1" w:themeFillTint="33"/>
          </w:tcPr>
          <w:p w14:paraId="2A068578" w14:textId="77777777" w:rsidR="00A67907" w:rsidRDefault="00A67907">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p>
        </w:tc>
      </w:tr>
    </w:tbl>
    <w:p w14:paraId="2B9A599B" w14:textId="77777777" w:rsidR="00EF613A" w:rsidRDefault="00EF613A"/>
    <w:p w14:paraId="5B6C675A" w14:textId="77777777" w:rsidR="00EF613A" w:rsidRDefault="00EF613A"/>
    <w:p w14:paraId="68C5C295" w14:textId="77777777" w:rsidR="00EF613A" w:rsidRDefault="00C11C58">
      <w:pPr>
        <w:pStyle w:val="1"/>
        <w:numPr>
          <w:ilvl w:val="0"/>
          <w:numId w:val="4"/>
        </w:numPr>
        <w:tabs>
          <w:tab w:val="left" w:pos="720"/>
        </w:tabs>
        <w:ind w:left="720" w:hanging="720"/>
        <w:jc w:val="both"/>
      </w:pPr>
      <w:r>
        <w:t>Reliability – HRC-s (#11)</w:t>
      </w:r>
    </w:p>
    <w:p w14:paraId="05C6B4A2" w14:textId="77777777" w:rsidR="00EF613A" w:rsidRDefault="00C11C58">
      <w:r>
        <w:t>For reliability evaluations, RAN1 should follow the approach in [1] which includes SLS followed by LLS. The SLS simulation assumptions should be the same as for “average spectral efficiency” and “5%-ile user spectral efficiency”, as described in [3].</w:t>
      </w:r>
    </w:p>
    <w:p w14:paraId="330C70E9" w14:textId="77777777" w:rsidR="00EF613A" w:rsidRDefault="00C11C58">
      <w:r>
        <w:rPr>
          <w:b/>
          <w:bCs/>
          <w:u w:val="single"/>
        </w:rPr>
        <w:t xml:space="preserve">Proposal 6.1: </w:t>
      </w:r>
      <w:r>
        <w:rPr>
          <w:b/>
          <w:bCs/>
        </w:rPr>
        <w:t>For reliability evaluations, RAN1 to use “SLS followed by LLS”, using the same SLS simulation assumptions as in “average spectral efficiency”, and using pre-processing SINR as the SLS to LLS metric.</w:t>
      </w:r>
    </w:p>
    <w:p w14:paraId="7F546E1C" w14:textId="77777777" w:rsidR="00EF613A" w:rsidRDefault="00C11C58">
      <w:pPr>
        <w:ind w:left="1988" w:hanging="1988"/>
        <w:jc w:val="both"/>
        <w:rPr>
          <w:rFonts w:ascii="Arial" w:hAnsi="Arial"/>
          <w:b/>
          <w:bCs/>
          <w:sz w:val="24"/>
        </w:rPr>
      </w:pPr>
      <w:r>
        <w:rPr>
          <w:b/>
          <w:bCs/>
          <w:u w:val="single"/>
        </w:rPr>
        <w:t>Proposal 6.2</w:t>
      </w:r>
      <w:r>
        <w:rPr>
          <w:b/>
          <w:bCs/>
        </w:rPr>
        <w:t>: For mobility evaluations, RAN1 to use discuss LLS parameters for NR, taking the following table as starting point:</w:t>
      </w:r>
    </w:p>
    <w:p w14:paraId="651135B6" w14:textId="77777777" w:rsidR="00EF613A" w:rsidRDefault="00EF613A"/>
    <w:tbl>
      <w:tblPr>
        <w:tblStyle w:val="4-11"/>
        <w:tblW w:w="8860" w:type="dxa"/>
        <w:jc w:val="center"/>
        <w:tblLook w:val="04A0" w:firstRow="1" w:lastRow="0" w:firstColumn="1" w:lastColumn="0" w:noHBand="0" w:noVBand="1"/>
      </w:tblPr>
      <w:tblGrid>
        <w:gridCol w:w="2020"/>
        <w:gridCol w:w="3420"/>
        <w:gridCol w:w="3420"/>
      </w:tblGrid>
      <w:tr w:rsidR="00EF613A" w14:paraId="65B6F4F4" w14:textId="77777777" w:rsidTr="00EF613A">
        <w:trPr>
          <w:cnfStyle w:val="100000000000" w:firstRow="1" w:lastRow="0" w:firstColumn="0" w:lastColumn="0" w:oddVBand="0" w:evenVBand="0" w:oddHBand="0"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2020" w:type="dxa"/>
          </w:tcPr>
          <w:p w14:paraId="6046659A" w14:textId="77777777" w:rsidR="00EF613A" w:rsidRDefault="00EF613A">
            <w:pPr>
              <w:spacing w:after="0"/>
              <w:jc w:val="center"/>
              <w:rPr>
                <w:rFonts w:ascii="Arial" w:hAnsi="Arial" w:cs="Arial"/>
                <w:b w:val="0"/>
                <w:bCs w:val="0"/>
                <w:color w:val="000000"/>
                <w:sz w:val="18"/>
                <w:szCs w:val="18"/>
                <w:lang w:eastAsia="zh-CN"/>
              </w:rPr>
            </w:pPr>
          </w:p>
        </w:tc>
        <w:tc>
          <w:tcPr>
            <w:tcW w:w="3420" w:type="dxa"/>
          </w:tcPr>
          <w:p w14:paraId="07B4A0A9" w14:textId="77777777" w:rsidR="00EF613A" w:rsidRDefault="00C11C5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Uplink</w:t>
            </w:r>
          </w:p>
        </w:tc>
        <w:tc>
          <w:tcPr>
            <w:tcW w:w="3420" w:type="dxa"/>
          </w:tcPr>
          <w:p w14:paraId="37843376" w14:textId="77777777" w:rsidR="00EF613A" w:rsidRDefault="00C11C5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Downlink</w:t>
            </w:r>
          </w:p>
        </w:tc>
      </w:tr>
      <w:tr w:rsidR="00EF613A" w14:paraId="5CED9DBC" w14:textId="77777777" w:rsidTr="00EF613A">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36E03299"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Physical channel</w:t>
            </w:r>
          </w:p>
        </w:tc>
        <w:tc>
          <w:tcPr>
            <w:tcW w:w="3420" w:type="dxa"/>
            <w:shd w:val="clear" w:color="auto" w:fill="D9E2F3" w:themeFill="accent1" w:themeFillTint="33"/>
          </w:tcPr>
          <w:p w14:paraId="5201D805"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c>
          <w:tcPr>
            <w:tcW w:w="3420" w:type="dxa"/>
            <w:shd w:val="clear" w:color="auto" w:fill="D9E2F3" w:themeFill="accent1" w:themeFillTint="33"/>
          </w:tcPr>
          <w:p w14:paraId="2BC919C0"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PDSCH</w:t>
            </w:r>
          </w:p>
        </w:tc>
      </w:tr>
      <w:tr w:rsidR="00EF613A" w14:paraId="42CCE76E"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22C91DF9"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Simulation bandwidth</w:t>
            </w:r>
          </w:p>
        </w:tc>
        <w:tc>
          <w:tcPr>
            <w:tcW w:w="3420" w:type="dxa"/>
          </w:tcPr>
          <w:p w14:paraId="188FA9C8"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tcPr>
          <w:p w14:paraId="5A712CB4"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EF613A" w14:paraId="7AB9F70C"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9D75255"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lastRenderedPageBreak/>
              <w:t>Number of users in simulation</w:t>
            </w:r>
          </w:p>
        </w:tc>
        <w:tc>
          <w:tcPr>
            <w:tcW w:w="3420" w:type="dxa"/>
            <w:shd w:val="clear" w:color="auto" w:fill="D9E2F3" w:themeFill="accent1" w:themeFillTint="33"/>
          </w:tcPr>
          <w:p w14:paraId="647E6BE1"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c>
          <w:tcPr>
            <w:tcW w:w="3420" w:type="dxa"/>
            <w:shd w:val="clear" w:color="auto" w:fill="D9E2F3" w:themeFill="accent1" w:themeFillTint="33"/>
          </w:tcPr>
          <w:p w14:paraId="60FD913F"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EF613A" w14:paraId="1BB23B1F" w14:textId="77777777" w:rsidTr="00EF613A">
        <w:trPr>
          <w:trHeight w:val="648"/>
          <w:jc w:val="center"/>
        </w:trPr>
        <w:tc>
          <w:tcPr>
            <w:cnfStyle w:val="001000000000" w:firstRow="0" w:lastRow="0" w:firstColumn="1" w:lastColumn="0" w:oddVBand="0" w:evenVBand="0" w:oddHBand="0" w:evenHBand="0" w:firstRowFirstColumn="0" w:firstRowLastColumn="0" w:lastRowFirstColumn="0" w:lastRowLastColumn="0"/>
            <w:tcW w:w="2020" w:type="dxa"/>
          </w:tcPr>
          <w:p w14:paraId="4B478D68" w14:textId="77777777" w:rsidR="00EF613A" w:rsidRDefault="00C11C58">
            <w:pPr>
              <w:spacing w:after="0"/>
              <w:jc w:val="center"/>
              <w:rPr>
                <w:rFonts w:ascii="Arial" w:hAnsi="Arial" w:cs="Arial"/>
                <w:color w:val="000000"/>
                <w:sz w:val="18"/>
                <w:szCs w:val="18"/>
                <w:lang w:eastAsia="zh-CN"/>
              </w:rPr>
            </w:pPr>
            <w:r>
              <w:rPr>
                <w:rFonts w:ascii="Arial" w:hAnsi="Arial" w:cs="Arial"/>
                <w:color w:val="000000"/>
                <w:sz w:val="18"/>
                <w:szCs w:val="18"/>
                <w:lang w:eastAsia="zh-CN"/>
              </w:rPr>
              <w:t>Link-level Channel model</w:t>
            </w:r>
          </w:p>
        </w:tc>
        <w:tc>
          <w:tcPr>
            <w:tcW w:w="3420" w:type="dxa"/>
          </w:tcPr>
          <w:p w14:paraId="1308A6FA"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c>
          <w:tcPr>
            <w:tcW w:w="3420" w:type="dxa"/>
          </w:tcPr>
          <w:p w14:paraId="4DFA7047"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EF613A" w14:paraId="4B7F2C60"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1F92DA3F" w14:textId="77777777" w:rsidR="00EF613A" w:rsidRDefault="00C11C58">
            <w:pPr>
              <w:spacing w:after="0"/>
              <w:rPr>
                <w:rFonts w:ascii="Arial" w:hAnsi="Arial" w:cs="Arial"/>
                <w:b w:val="0"/>
                <w:bCs w:val="0"/>
                <w:sz w:val="18"/>
                <w:szCs w:val="18"/>
                <w:lang w:eastAsia="zh-CN"/>
              </w:rPr>
            </w:pPr>
            <w:r>
              <w:rPr>
                <w:rFonts w:ascii="Arial" w:hAnsi="Arial" w:cs="Arial"/>
                <w:sz w:val="18"/>
                <w:szCs w:val="18"/>
                <w:lang w:eastAsia="zh-CN"/>
              </w:rPr>
              <w:t>Antenna configuration at Satellite</w:t>
            </w:r>
          </w:p>
        </w:tc>
        <w:tc>
          <w:tcPr>
            <w:tcW w:w="3420" w:type="dxa"/>
            <w:shd w:val="clear" w:color="auto" w:fill="D9E2F3" w:themeFill="accent1" w:themeFillTint="33"/>
          </w:tcPr>
          <w:p w14:paraId="5FCB6F63"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1A7D1444"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4C3DBAEA"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68D63723" w14:textId="77777777" w:rsidR="00EF613A" w:rsidRDefault="00C11C58">
            <w:pPr>
              <w:spacing w:after="0"/>
              <w:rPr>
                <w:rFonts w:ascii="Arial" w:hAnsi="Arial" w:cs="Arial"/>
                <w:b w:val="0"/>
                <w:bCs w:val="0"/>
                <w:sz w:val="18"/>
                <w:szCs w:val="18"/>
                <w:lang w:eastAsia="zh-CN"/>
              </w:rPr>
            </w:pPr>
            <w:r>
              <w:rPr>
                <w:rFonts w:ascii="Arial" w:hAnsi="Arial" w:cs="Arial"/>
                <w:sz w:val="18"/>
                <w:szCs w:val="18"/>
                <w:lang w:eastAsia="zh-CN"/>
              </w:rPr>
              <w:t>Antenna configuration at UE</w:t>
            </w:r>
          </w:p>
        </w:tc>
        <w:tc>
          <w:tcPr>
            <w:tcW w:w="3420" w:type="dxa"/>
          </w:tcPr>
          <w:p w14:paraId="7D0E38DD"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25A87FDB"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113CFDE8"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7389259"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mode</w:t>
            </w:r>
          </w:p>
        </w:tc>
        <w:tc>
          <w:tcPr>
            <w:tcW w:w="3420" w:type="dxa"/>
            <w:shd w:val="clear" w:color="auto" w:fill="D9E2F3" w:themeFill="accent1" w:themeFillTint="33"/>
          </w:tcPr>
          <w:p w14:paraId="50535D63"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c>
          <w:tcPr>
            <w:tcW w:w="3420" w:type="dxa"/>
            <w:shd w:val="clear" w:color="auto" w:fill="D9E2F3" w:themeFill="accent1" w:themeFillTint="33"/>
          </w:tcPr>
          <w:p w14:paraId="29327EF3"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2C9841C9"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6BE567A6"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rank</w:t>
            </w:r>
          </w:p>
        </w:tc>
        <w:tc>
          <w:tcPr>
            <w:tcW w:w="3420" w:type="dxa"/>
          </w:tcPr>
          <w:p w14:paraId="5AC63840"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c>
          <w:tcPr>
            <w:tcW w:w="3420" w:type="dxa"/>
          </w:tcPr>
          <w:p w14:paraId="0168CD4A"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1942B458"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82094CF"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TBS</w:t>
            </w:r>
          </w:p>
        </w:tc>
        <w:tc>
          <w:tcPr>
            <w:tcW w:w="3420" w:type="dxa"/>
            <w:shd w:val="clear" w:color="auto" w:fill="D9E2F3" w:themeFill="accent1" w:themeFillTint="33"/>
          </w:tcPr>
          <w:p w14:paraId="44F9B7E8"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3B111440"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2ABDFDC9"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2F0D4652"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Modulation order</w:t>
            </w:r>
          </w:p>
        </w:tc>
        <w:tc>
          <w:tcPr>
            <w:tcW w:w="3420" w:type="dxa"/>
          </w:tcPr>
          <w:p w14:paraId="2B4F9407"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26EE9B06"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6428160F"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55BDE23B" w14:textId="77777777" w:rsidR="00EF613A" w:rsidRDefault="00C11C58">
            <w:pPr>
              <w:spacing w:after="0"/>
              <w:jc w:val="center"/>
              <w:rPr>
                <w:rFonts w:ascii="Arial" w:hAnsi="Arial" w:cs="Arial"/>
                <w:b w:val="0"/>
                <w:bCs w:val="0"/>
                <w:sz w:val="18"/>
                <w:szCs w:val="18"/>
                <w:lang w:eastAsia="zh-CN"/>
              </w:rPr>
            </w:pPr>
            <w:r>
              <w:rPr>
                <w:rFonts w:ascii="Arial" w:hAnsi="Arial" w:cs="Arial"/>
                <w:sz w:val="18"/>
                <w:szCs w:val="18"/>
                <w:lang w:eastAsia="zh-CN"/>
              </w:rPr>
              <w:t>Number of Resource units</w:t>
            </w:r>
          </w:p>
        </w:tc>
        <w:tc>
          <w:tcPr>
            <w:tcW w:w="3420" w:type="dxa"/>
            <w:shd w:val="clear" w:color="auto" w:fill="D9E2F3" w:themeFill="accent1" w:themeFillTint="33"/>
          </w:tcPr>
          <w:p w14:paraId="709CE5F2"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4E2E6010"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29C987AE"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70E32BE4"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repetition</w:t>
            </w:r>
          </w:p>
        </w:tc>
        <w:tc>
          <w:tcPr>
            <w:tcW w:w="3420" w:type="dxa"/>
          </w:tcPr>
          <w:p w14:paraId="5617BFFD"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682D37FB"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19FDF13D" w14:textId="77777777" w:rsidTr="00EF613A">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3366DC7A"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estimation</w:t>
            </w:r>
          </w:p>
        </w:tc>
        <w:tc>
          <w:tcPr>
            <w:tcW w:w="3420" w:type="dxa"/>
            <w:shd w:val="clear" w:color="auto" w:fill="D9E2F3" w:themeFill="accent1" w:themeFillTint="33"/>
          </w:tcPr>
          <w:p w14:paraId="0C250BFD"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0449B052"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0CE5F5C6" w14:textId="77777777" w:rsidTr="00EF613A">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tcPr>
          <w:p w14:paraId="3E1C7485"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coding scheme</w:t>
            </w:r>
          </w:p>
        </w:tc>
        <w:tc>
          <w:tcPr>
            <w:tcW w:w="3420" w:type="dxa"/>
          </w:tcPr>
          <w:p w14:paraId="64AEF778"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LDPC</w:t>
            </w:r>
          </w:p>
        </w:tc>
        <w:tc>
          <w:tcPr>
            <w:tcW w:w="3420" w:type="dxa"/>
          </w:tcPr>
          <w:p w14:paraId="275898AD"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EF613A" w14:paraId="4AD3AF4A" w14:textId="77777777" w:rsidTr="00EF613A">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D1266FF"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Doppler spread</w:t>
            </w:r>
          </w:p>
        </w:tc>
        <w:tc>
          <w:tcPr>
            <w:tcW w:w="3420" w:type="dxa"/>
            <w:shd w:val="clear" w:color="auto" w:fill="D9E2F3" w:themeFill="accent1" w:themeFillTint="33"/>
          </w:tcPr>
          <w:p w14:paraId="76063C12"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shd w:val="clear" w:color="auto" w:fill="D9E2F3" w:themeFill="accent1" w:themeFillTint="33"/>
          </w:tcPr>
          <w:p w14:paraId="683B6D0E"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bl>
    <w:p w14:paraId="35F897BB" w14:textId="77777777" w:rsidR="00EF613A" w:rsidRDefault="00EF613A"/>
    <w:p w14:paraId="1CE19F5A" w14:textId="77777777" w:rsidR="00EF613A" w:rsidRDefault="00C11C58">
      <w:pPr>
        <w:pStyle w:val="2"/>
      </w:pPr>
      <w:r>
        <w:t>Q6.1: Please provide comments on proposals 6.1 and 6.2</w:t>
      </w:r>
    </w:p>
    <w:p w14:paraId="16AAFEF0" w14:textId="77777777" w:rsidR="00EF613A" w:rsidRDefault="00EF613A">
      <w:pPr>
        <w:rPr>
          <w:b/>
          <w:bCs/>
        </w:rPr>
      </w:pPr>
    </w:p>
    <w:tbl>
      <w:tblPr>
        <w:tblStyle w:val="4-11"/>
        <w:tblW w:w="0" w:type="auto"/>
        <w:tblLook w:val="04A0" w:firstRow="1" w:lastRow="0" w:firstColumn="1" w:lastColumn="0" w:noHBand="0" w:noVBand="1"/>
      </w:tblPr>
      <w:tblGrid>
        <w:gridCol w:w="1586"/>
        <w:gridCol w:w="12692"/>
      </w:tblGrid>
      <w:tr w:rsidR="00EF613A" w14:paraId="588F8B4B"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6" w:type="dxa"/>
          </w:tcPr>
          <w:p w14:paraId="3902FC5A" w14:textId="77777777" w:rsidR="00EF613A" w:rsidRDefault="00C11C58">
            <w:pPr>
              <w:rPr>
                <w:b w:val="0"/>
                <w:bCs w:val="0"/>
              </w:rPr>
            </w:pPr>
            <w:r>
              <w:t>Company</w:t>
            </w:r>
          </w:p>
        </w:tc>
        <w:tc>
          <w:tcPr>
            <w:tcW w:w="12692" w:type="dxa"/>
          </w:tcPr>
          <w:p w14:paraId="4297E741"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29AE5FCB" w14:textId="77777777" w:rsidTr="00EF613A">
        <w:tc>
          <w:tcPr>
            <w:cnfStyle w:val="001000000000" w:firstRow="0" w:lastRow="0" w:firstColumn="1" w:lastColumn="0" w:oddVBand="0" w:evenVBand="0" w:oddHBand="0" w:evenHBand="0" w:firstRowFirstColumn="0" w:firstRowLastColumn="0" w:lastRowFirstColumn="0" w:lastRowLastColumn="0"/>
            <w:tcW w:w="1586" w:type="dxa"/>
            <w:shd w:val="clear" w:color="auto" w:fill="D9E2F3" w:themeFill="accent1" w:themeFillTint="33"/>
          </w:tcPr>
          <w:p w14:paraId="15DF9E8E" w14:textId="77777777" w:rsidR="00EF613A" w:rsidRDefault="00C11C58">
            <w:pPr>
              <w:rPr>
                <w:rFonts w:eastAsia="SimSun"/>
                <w:b w:val="0"/>
                <w:bCs w:val="0"/>
                <w:lang w:val="en-US" w:eastAsia="zh-CN"/>
              </w:rPr>
            </w:pPr>
            <w:r>
              <w:rPr>
                <w:rFonts w:eastAsia="SimSun" w:hint="eastAsia"/>
                <w:lang w:val="en-US" w:eastAsia="zh-CN"/>
              </w:rPr>
              <w:t>ZTE</w:t>
            </w:r>
          </w:p>
        </w:tc>
        <w:tc>
          <w:tcPr>
            <w:tcW w:w="12692" w:type="dxa"/>
            <w:shd w:val="clear" w:color="auto" w:fill="D9E2F3" w:themeFill="accent1" w:themeFillTint="33"/>
          </w:tcPr>
          <w:p w14:paraId="3ED26D0D"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Agree.</w:t>
            </w:r>
          </w:p>
        </w:tc>
      </w:tr>
    </w:tbl>
    <w:p w14:paraId="219DC0F2" w14:textId="77777777" w:rsidR="00EF613A" w:rsidRDefault="00EF613A"/>
    <w:p w14:paraId="3BFFC15B" w14:textId="77777777" w:rsidR="00EF613A" w:rsidRDefault="00C11C58">
      <w:pPr>
        <w:pStyle w:val="1"/>
        <w:numPr>
          <w:ilvl w:val="0"/>
          <w:numId w:val="4"/>
        </w:numPr>
        <w:tabs>
          <w:tab w:val="left" w:pos="720"/>
        </w:tabs>
        <w:ind w:left="720" w:hanging="720"/>
        <w:jc w:val="both"/>
      </w:pPr>
      <w:r>
        <w:t>Mobility – eMBB-s (#12)</w:t>
      </w:r>
    </w:p>
    <w:p w14:paraId="5DA997CC" w14:textId="77777777" w:rsidR="00EF613A" w:rsidRDefault="00C11C58">
      <w:pPr>
        <w:ind w:hanging="8"/>
        <w:jc w:val="both"/>
      </w:pPr>
      <w:r>
        <w:t>For reliability evaluations, RAN1 should follow the same approach as in reliability (SLS to get SNR operating point, followed by LLS). For mobility, only uplink simulations are needed:</w:t>
      </w:r>
    </w:p>
    <w:p w14:paraId="4E3161D9" w14:textId="77777777" w:rsidR="00EF613A" w:rsidRDefault="00C11C58">
      <w:pPr>
        <w:ind w:hanging="8"/>
        <w:jc w:val="both"/>
        <w:rPr>
          <w:b/>
          <w:bCs/>
        </w:rPr>
      </w:pPr>
      <w:r>
        <w:rPr>
          <w:b/>
          <w:bCs/>
          <w:u w:val="single"/>
        </w:rPr>
        <w:t>Proposal 7.1</w:t>
      </w:r>
      <w:r>
        <w:rPr>
          <w:b/>
          <w:bCs/>
        </w:rPr>
        <w:t>: For mobility evaluations, RAN1 to use “SLS followed by LLS”, using the same SLS simulation assumptions as in “average spectral efficiency”, and using pre-processing SINR as the SLS to LLS metric.</w:t>
      </w:r>
    </w:p>
    <w:p w14:paraId="57839B85" w14:textId="77777777" w:rsidR="00EF613A" w:rsidRDefault="00C11C58">
      <w:pPr>
        <w:ind w:left="1988" w:hanging="1988"/>
        <w:jc w:val="both"/>
        <w:rPr>
          <w:rFonts w:ascii="Arial" w:hAnsi="Arial"/>
          <w:b/>
          <w:bCs/>
          <w:sz w:val="24"/>
        </w:rPr>
      </w:pPr>
      <w:r>
        <w:rPr>
          <w:b/>
          <w:bCs/>
          <w:u w:val="single"/>
        </w:rPr>
        <w:lastRenderedPageBreak/>
        <w:t>Proposal 7.2</w:t>
      </w:r>
      <w:r>
        <w:rPr>
          <w:b/>
          <w:bCs/>
        </w:rPr>
        <w:t>: For mobility evaluations, RAN1 to use discuss LLS parameters for NR, taking the following table as starting point</w:t>
      </w:r>
    </w:p>
    <w:p w14:paraId="6EF2276A" w14:textId="77777777" w:rsidR="00EF613A" w:rsidRDefault="00EF613A">
      <w:pPr>
        <w:ind w:left="1988" w:hanging="1988"/>
        <w:jc w:val="both"/>
        <w:rPr>
          <w:rFonts w:ascii="Arial" w:hAnsi="Arial"/>
          <w:b/>
          <w:bCs/>
          <w:sz w:val="24"/>
        </w:rPr>
      </w:pPr>
    </w:p>
    <w:tbl>
      <w:tblPr>
        <w:tblStyle w:val="4-11"/>
        <w:tblW w:w="5440" w:type="dxa"/>
        <w:jc w:val="center"/>
        <w:tblLook w:val="04A0" w:firstRow="1" w:lastRow="0" w:firstColumn="1" w:lastColumn="0" w:noHBand="0" w:noVBand="1"/>
      </w:tblPr>
      <w:tblGrid>
        <w:gridCol w:w="2020"/>
        <w:gridCol w:w="3420"/>
      </w:tblGrid>
      <w:tr w:rsidR="00EF613A" w14:paraId="64A9CB40" w14:textId="77777777" w:rsidTr="00EF613A">
        <w:trPr>
          <w:cnfStyle w:val="100000000000" w:firstRow="1" w:lastRow="0" w:firstColumn="0" w:lastColumn="0" w:oddVBand="0" w:evenVBand="0" w:oddHBand="0"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2020" w:type="dxa"/>
          </w:tcPr>
          <w:p w14:paraId="5ADEEF23" w14:textId="77777777" w:rsidR="00EF613A" w:rsidRDefault="00EF613A">
            <w:pPr>
              <w:spacing w:after="0"/>
              <w:jc w:val="center"/>
              <w:rPr>
                <w:rFonts w:ascii="Arial" w:hAnsi="Arial" w:cs="Arial"/>
                <w:b w:val="0"/>
                <w:bCs w:val="0"/>
                <w:sz w:val="18"/>
                <w:szCs w:val="18"/>
                <w:lang w:eastAsia="zh-CN"/>
              </w:rPr>
            </w:pPr>
          </w:p>
        </w:tc>
        <w:tc>
          <w:tcPr>
            <w:tcW w:w="3420" w:type="dxa"/>
          </w:tcPr>
          <w:p w14:paraId="358905A1" w14:textId="77777777" w:rsidR="00EF613A" w:rsidRDefault="00C11C5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Uplink</w:t>
            </w:r>
          </w:p>
        </w:tc>
      </w:tr>
      <w:tr w:rsidR="00EF613A" w14:paraId="77478409" w14:textId="77777777" w:rsidTr="00EF613A">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0E74751"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Physical channel</w:t>
            </w:r>
          </w:p>
        </w:tc>
        <w:tc>
          <w:tcPr>
            <w:tcW w:w="3420" w:type="dxa"/>
            <w:shd w:val="clear" w:color="auto" w:fill="D9E2F3" w:themeFill="accent1" w:themeFillTint="33"/>
          </w:tcPr>
          <w:p w14:paraId="23A7CBF0"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r>
      <w:tr w:rsidR="00EF613A" w14:paraId="0D31230A"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0DA142E9"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Simulation bandwidth</w:t>
            </w:r>
          </w:p>
        </w:tc>
        <w:tc>
          <w:tcPr>
            <w:tcW w:w="3420" w:type="dxa"/>
          </w:tcPr>
          <w:p w14:paraId="7E909F03"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EF613A" w14:paraId="5B4F32BC"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3119EE4E"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users in simulation</w:t>
            </w:r>
          </w:p>
        </w:tc>
        <w:tc>
          <w:tcPr>
            <w:tcW w:w="3420" w:type="dxa"/>
            <w:shd w:val="clear" w:color="auto" w:fill="D9E2F3" w:themeFill="accent1" w:themeFillTint="33"/>
          </w:tcPr>
          <w:p w14:paraId="4AD7FE9A"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r>
      <w:tr w:rsidR="00EF613A" w14:paraId="6BACE3AF" w14:textId="77777777" w:rsidTr="00EF613A">
        <w:trPr>
          <w:trHeight w:val="648"/>
          <w:jc w:val="center"/>
        </w:trPr>
        <w:tc>
          <w:tcPr>
            <w:cnfStyle w:val="001000000000" w:firstRow="0" w:lastRow="0" w:firstColumn="1" w:lastColumn="0" w:oddVBand="0" w:evenVBand="0" w:oddHBand="0" w:evenHBand="0" w:firstRowFirstColumn="0" w:firstRowLastColumn="0" w:lastRowFirstColumn="0" w:lastRowLastColumn="0"/>
            <w:tcW w:w="2020" w:type="dxa"/>
          </w:tcPr>
          <w:p w14:paraId="085A3981" w14:textId="77777777" w:rsidR="00EF613A" w:rsidRDefault="00C11C58">
            <w:pPr>
              <w:spacing w:after="0"/>
              <w:jc w:val="center"/>
              <w:rPr>
                <w:rFonts w:ascii="Arial" w:hAnsi="Arial" w:cs="Arial"/>
                <w:color w:val="000000"/>
                <w:sz w:val="18"/>
                <w:szCs w:val="18"/>
                <w:lang w:eastAsia="zh-CN"/>
              </w:rPr>
            </w:pPr>
            <w:r>
              <w:rPr>
                <w:rFonts w:ascii="Arial" w:hAnsi="Arial" w:cs="Arial"/>
                <w:color w:val="000000"/>
                <w:sz w:val="18"/>
                <w:szCs w:val="18"/>
                <w:lang w:eastAsia="zh-CN"/>
              </w:rPr>
              <w:t>Link-level Channel model</w:t>
            </w:r>
          </w:p>
        </w:tc>
        <w:tc>
          <w:tcPr>
            <w:tcW w:w="3420" w:type="dxa"/>
          </w:tcPr>
          <w:p w14:paraId="085CD03A"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EF613A" w14:paraId="48EFC495"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2A7ADA1" w14:textId="77777777" w:rsidR="00EF613A" w:rsidRDefault="00C11C58">
            <w:pPr>
              <w:spacing w:after="0"/>
              <w:rPr>
                <w:rFonts w:ascii="Arial" w:hAnsi="Arial" w:cs="Arial"/>
                <w:b w:val="0"/>
                <w:bCs w:val="0"/>
                <w:sz w:val="18"/>
                <w:szCs w:val="18"/>
                <w:lang w:eastAsia="zh-CN"/>
              </w:rPr>
            </w:pPr>
            <w:r>
              <w:rPr>
                <w:rFonts w:ascii="Arial" w:hAnsi="Arial" w:cs="Arial"/>
                <w:sz w:val="18"/>
                <w:szCs w:val="18"/>
                <w:lang w:eastAsia="zh-CN"/>
              </w:rPr>
              <w:t>Antenna configuration at Satellite</w:t>
            </w:r>
          </w:p>
        </w:tc>
        <w:tc>
          <w:tcPr>
            <w:tcW w:w="3420" w:type="dxa"/>
            <w:shd w:val="clear" w:color="auto" w:fill="D9E2F3" w:themeFill="accent1" w:themeFillTint="33"/>
          </w:tcPr>
          <w:p w14:paraId="55BCD978"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2C889E89"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315568DD" w14:textId="77777777" w:rsidR="00EF613A" w:rsidRDefault="00C11C58">
            <w:pPr>
              <w:spacing w:after="0"/>
              <w:rPr>
                <w:rFonts w:ascii="Arial" w:hAnsi="Arial" w:cs="Arial"/>
                <w:b w:val="0"/>
                <w:bCs w:val="0"/>
                <w:sz w:val="18"/>
                <w:szCs w:val="18"/>
                <w:lang w:eastAsia="zh-CN"/>
              </w:rPr>
            </w:pPr>
            <w:r>
              <w:rPr>
                <w:rFonts w:ascii="Arial" w:hAnsi="Arial" w:cs="Arial"/>
                <w:sz w:val="18"/>
                <w:szCs w:val="18"/>
                <w:lang w:eastAsia="zh-CN"/>
              </w:rPr>
              <w:t>Antenna configuration at UE</w:t>
            </w:r>
          </w:p>
        </w:tc>
        <w:tc>
          <w:tcPr>
            <w:tcW w:w="3420" w:type="dxa"/>
          </w:tcPr>
          <w:p w14:paraId="34A4ACDE"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50A9D2FE"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1036B81A"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mode</w:t>
            </w:r>
          </w:p>
        </w:tc>
        <w:tc>
          <w:tcPr>
            <w:tcW w:w="3420" w:type="dxa"/>
            <w:shd w:val="clear" w:color="auto" w:fill="D9E2F3" w:themeFill="accent1" w:themeFillTint="33"/>
          </w:tcPr>
          <w:p w14:paraId="1E41781E"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r>
      <w:tr w:rsidR="00EF613A" w14:paraId="580136CB"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1E1027AD"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rank</w:t>
            </w:r>
          </w:p>
        </w:tc>
        <w:tc>
          <w:tcPr>
            <w:tcW w:w="3420" w:type="dxa"/>
          </w:tcPr>
          <w:p w14:paraId="6CCEE3AC"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r>
      <w:tr w:rsidR="00EF613A" w14:paraId="5D4E8746"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19FE695"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TBS</w:t>
            </w:r>
          </w:p>
        </w:tc>
        <w:tc>
          <w:tcPr>
            <w:tcW w:w="3420" w:type="dxa"/>
            <w:shd w:val="clear" w:color="auto" w:fill="D9E2F3" w:themeFill="accent1" w:themeFillTint="33"/>
          </w:tcPr>
          <w:p w14:paraId="2E5DBDFE"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1F724322"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28A865A4"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Modulation order</w:t>
            </w:r>
          </w:p>
        </w:tc>
        <w:tc>
          <w:tcPr>
            <w:tcW w:w="3420" w:type="dxa"/>
          </w:tcPr>
          <w:p w14:paraId="5F501CEB"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33495DAD"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D862812" w14:textId="77777777" w:rsidR="00EF613A" w:rsidRDefault="00C11C58">
            <w:pPr>
              <w:spacing w:after="0"/>
              <w:jc w:val="center"/>
              <w:rPr>
                <w:rFonts w:ascii="Arial" w:hAnsi="Arial" w:cs="Arial"/>
                <w:b w:val="0"/>
                <w:bCs w:val="0"/>
                <w:sz w:val="18"/>
                <w:szCs w:val="18"/>
                <w:lang w:eastAsia="zh-CN"/>
              </w:rPr>
            </w:pPr>
            <w:r>
              <w:rPr>
                <w:rFonts w:ascii="Arial" w:hAnsi="Arial" w:cs="Arial"/>
                <w:sz w:val="18"/>
                <w:szCs w:val="18"/>
                <w:lang w:eastAsia="zh-CN"/>
              </w:rPr>
              <w:t>Number of Resource units</w:t>
            </w:r>
          </w:p>
        </w:tc>
        <w:tc>
          <w:tcPr>
            <w:tcW w:w="3420" w:type="dxa"/>
            <w:shd w:val="clear" w:color="auto" w:fill="D9E2F3" w:themeFill="accent1" w:themeFillTint="33"/>
          </w:tcPr>
          <w:p w14:paraId="1EBC27A3"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602C2EB8"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209B77F0"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repetition</w:t>
            </w:r>
          </w:p>
        </w:tc>
        <w:tc>
          <w:tcPr>
            <w:tcW w:w="3420" w:type="dxa"/>
          </w:tcPr>
          <w:p w14:paraId="0754ED9C"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7DE46199" w14:textId="77777777" w:rsidTr="00EF613A">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1A0939C3"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estimation</w:t>
            </w:r>
          </w:p>
        </w:tc>
        <w:tc>
          <w:tcPr>
            <w:tcW w:w="3420" w:type="dxa"/>
            <w:shd w:val="clear" w:color="auto" w:fill="D9E2F3" w:themeFill="accent1" w:themeFillTint="33"/>
          </w:tcPr>
          <w:p w14:paraId="6EF9BD69"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388D5DF6" w14:textId="77777777" w:rsidTr="00EF613A">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tcPr>
          <w:p w14:paraId="3D811F8C"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coding scheme</w:t>
            </w:r>
          </w:p>
        </w:tc>
        <w:tc>
          <w:tcPr>
            <w:tcW w:w="3420" w:type="dxa"/>
          </w:tcPr>
          <w:p w14:paraId="1DA4062B"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LDPC</w:t>
            </w:r>
          </w:p>
        </w:tc>
      </w:tr>
      <w:tr w:rsidR="00EF613A" w14:paraId="61AFD07D" w14:textId="77777777" w:rsidTr="00EF613A">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225A8501"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Doppler spread</w:t>
            </w:r>
          </w:p>
        </w:tc>
        <w:tc>
          <w:tcPr>
            <w:tcW w:w="3420" w:type="dxa"/>
            <w:shd w:val="clear" w:color="auto" w:fill="D9E2F3" w:themeFill="accent1" w:themeFillTint="33"/>
          </w:tcPr>
          <w:p w14:paraId="05AD3AA7"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bl>
    <w:p w14:paraId="30DE319D" w14:textId="77777777" w:rsidR="00EF613A" w:rsidRDefault="00EF613A">
      <w:pPr>
        <w:ind w:left="1988" w:hanging="1988"/>
        <w:jc w:val="both"/>
        <w:rPr>
          <w:rFonts w:ascii="Arial" w:hAnsi="Arial"/>
          <w:sz w:val="24"/>
        </w:rPr>
      </w:pPr>
    </w:p>
    <w:p w14:paraId="57222495" w14:textId="77777777" w:rsidR="00EF613A" w:rsidRDefault="00C11C58">
      <w:pPr>
        <w:pStyle w:val="2"/>
      </w:pPr>
      <w:r>
        <w:t>Q7.1: Please provide comments on proposals 7.1 and 7.2</w:t>
      </w:r>
    </w:p>
    <w:p w14:paraId="53E24C15" w14:textId="77777777" w:rsidR="00EF613A" w:rsidRDefault="00EF613A">
      <w:pPr>
        <w:rPr>
          <w:b/>
          <w:bCs/>
        </w:rPr>
      </w:pPr>
    </w:p>
    <w:tbl>
      <w:tblPr>
        <w:tblStyle w:val="4-11"/>
        <w:tblW w:w="0" w:type="auto"/>
        <w:tblLook w:val="04A0" w:firstRow="1" w:lastRow="0" w:firstColumn="1" w:lastColumn="0" w:noHBand="0" w:noVBand="1"/>
      </w:tblPr>
      <w:tblGrid>
        <w:gridCol w:w="1586"/>
        <w:gridCol w:w="12692"/>
      </w:tblGrid>
      <w:tr w:rsidR="00EF613A" w14:paraId="79C890D0"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6" w:type="dxa"/>
          </w:tcPr>
          <w:p w14:paraId="2B8DA74F" w14:textId="77777777" w:rsidR="00EF613A" w:rsidRDefault="00C11C58">
            <w:pPr>
              <w:rPr>
                <w:b w:val="0"/>
                <w:bCs w:val="0"/>
              </w:rPr>
            </w:pPr>
            <w:r>
              <w:t>Company</w:t>
            </w:r>
          </w:p>
        </w:tc>
        <w:tc>
          <w:tcPr>
            <w:tcW w:w="12692" w:type="dxa"/>
          </w:tcPr>
          <w:p w14:paraId="745847D4"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6E979813" w14:textId="77777777" w:rsidTr="00EF613A">
        <w:tc>
          <w:tcPr>
            <w:cnfStyle w:val="001000000000" w:firstRow="0" w:lastRow="0" w:firstColumn="1" w:lastColumn="0" w:oddVBand="0" w:evenVBand="0" w:oddHBand="0" w:evenHBand="0" w:firstRowFirstColumn="0" w:firstRowLastColumn="0" w:lastRowFirstColumn="0" w:lastRowLastColumn="0"/>
            <w:tcW w:w="1586" w:type="dxa"/>
            <w:shd w:val="clear" w:color="auto" w:fill="D9E2F3" w:themeFill="accent1" w:themeFillTint="33"/>
          </w:tcPr>
          <w:p w14:paraId="1E68850F" w14:textId="77777777" w:rsidR="00EF613A" w:rsidRDefault="00C11C58">
            <w:pPr>
              <w:rPr>
                <w:rFonts w:eastAsia="SimSun"/>
                <w:b w:val="0"/>
                <w:bCs w:val="0"/>
                <w:lang w:val="en-US" w:eastAsia="zh-CN"/>
              </w:rPr>
            </w:pPr>
            <w:r>
              <w:rPr>
                <w:rFonts w:eastAsia="SimSun" w:hint="eastAsia"/>
                <w:lang w:val="en-US" w:eastAsia="zh-CN"/>
              </w:rPr>
              <w:t>ZTE</w:t>
            </w:r>
          </w:p>
        </w:tc>
        <w:tc>
          <w:tcPr>
            <w:tcW w:w="12692" w:type="dxa"/>
            <w:shd w:val="clear" w:color="auto" w:fill="D9E2F3" w:themeFill="accent1" w:themeFillTint="33"/>
          </w:tcPr>
          <w:p w14:paraId="2AC54FEA"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Agree.</w:t>
            </w:r>
          </w:p>
        </w:tc>
      </w:tr>
    </w:tbl>
    <w:p w14:paraId="48B20976" w14:textId="77777777" w:rsidR="00EF613A" w:rsidRDefault="00EF613A">
      <w:pPr>
        <w:ind w:left="1988" w:hanging="1988"/>
        <w:jc w:val="both"/>
        <w:rPr>
          <w:rFonts w:ascii="Arial" w:hAnsi="Arial"/>
          <w:sz w:val="24"/>
        </w:rPr>
      </w:pPr>
    </w:p>
    <w:p w14:paraId="7121D7BE" w14:textId="77777777" w:rsidR="00EF613A" w:rsidRDefault="00C11C58">
      <w:pPr>
        <w:pStyle w:val="1"/>
        <w:numPr>
          <w:ilvl w:val="0"/>
          <w:numId w:val="4"/>
        </w:numPr>
        <w:tabs>
          <w:tab w:val="left" w:pos="720"/>
        </w:tabs>
        <w:ind w:left="720" w:hanging="720"/>
        <w:jc w:val="both"/>
      </w:pPr>
      <w:r>
        <w:lastRenderedPageBreak/>
        <w:t>Annex - Contributions</w:t>
      </w:r>
    </w:p>
    <w:tbl>
      <w:tblPr>
        <w:tblStyle w:val="4-11"/>
        <w:tblW w:w="13040" w:type="dxa"/>
        <w:tblLook w:val="04A0" w:firstRow="1" w:lastRow="0" w:firstColumn="1" w:lastColumn="0" w:noHBand="0" w:noVBand="1"/>
      </w:tblPr>
      <w:tblGrid>
        <w:gridCol w:w="1165"/>
        <w:gridCol w:w="3780"/>
        <w:gridCol w:w="1800"/>
        <w:gridCol w:w="6295"/>
      </w:tblGrid>
      <w:tr w:rsidR="00EF613A" w14:paraId="18455709" w14:textId="77777777" w:rsidTr="00EF613A">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165" w:type="dxa"/>
          </w:tcPr>
          <w:p w14:paraId="3A5E9919" w14:textId="77777777" w:rsidR="00EF613A" w:rsidRDefault="00C11C58">
            <w:pPr>
              <w:spacing w:after="0"/>
              <w:rPr>
                <w:rFonts w:ascii="Arial" w:hAnsi="Arial" w:cs="Arial"/>
                <w:b w:val="0"/>
                <w:bCs w:val="0"/>
                <w:color w:val="0000FF"/>
                <w:sz w:val="16"/>
                <w:szCs w:val="16"/>
                <w:u w:val="single"/>
                <w:lang w:val="en-US"/>
              </w:rPr>
            </w:pPr>
            <w:bookmarkStart w:id="4" w:name="_Hlk132222917"/>
            <w:r>
              <w:rPr>
                <w:rFonts w:ascii="Arial" w:hAnsi="Arial" w:cs="Arial"/>
                <w:sz w:val="16"/>
                <w:szCs w:val="16"/>
                <w:lang w:val="en-US"/>
              </w:rPr>
              <w:t>Tdoc#</w:t>
            </w:r>
          </w:p>
        </w:tc>
        <w:tc>
          <w:tcPr>
            <w:tcW w:w="3780" w:type="dxa"/>
          </w:tcPr>
          <w:p w14:paraId="5A241E56" w14:textId="77777777" w:rsidR="00EF613A" w:rsidRDefault="00C11C5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lang w:val="en-US"/>
              </w:rPr>
            </w:pPr>
            <w:r>
              <w:rPr>
                <w:rFonts w:ascii="Arial" w:hAnsi="Arial" w:cs="Arial"/>
                <w:sz w:val="16"/>
                <w:szCs w:val="16"/>
                <w:lang w:val="en-US"/>
              </w:rPr>
              <w:t>Title</w:t>
            </w:r>
          </w:p>
        </w:tc>
        <w:tc>
          <w:tcPr>
            <w:tcW w:w="1800" w:type="dxa"/>
          </w:tcPr>
          <w:p w14:paraId="36ACA34F" w14:textId="77777777" w:rsidR="00EF613A" w:rsidRDefault="00C11C5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lang w:val="en-US"/>
              </w:rPr>
            </w:pPr>
            <w:r>
              <w:rPr>
                <w:rFonts w:ascii="Arial" w:hAnsi="Arial" w:cs="Arial"/>
                <w:sz w:val="16"/>
                <w:szCs w:val="16"/>
                <w:lang w:val="en-US"/>
              </w:rPr>
              <w:t>Company</w:t>
            </w:r>
          </w:p>
        </w:tc>
        <w:tc>
          <w:tcPr>
            <w:tcW w:w="6295" w:type="dxa"/>
          </w:tcPr>
          <w:p w14:paraId="1801CDEA" w14:textId="77777777" w:rsidR="00EF613A" w:rsidRDefault="00EF613A">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lang w:val="en-US"/>
              </w:rPr>
            </w:pPr>
          </w:p>
        </w:tc>
      </w:tr>
      <w:tr w:rsidR="00EF613A" w14:paraId="44E0F821"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shd w:val="clear" w:color="auto" w:fill="D9E2F3" w:themeFill="accent1" w:themeFillTint="33"/>
          </w:tcPr>
          <w:p w14:paraId="3728C39F" w14:textId="77777777" w:rsidR="00EF613A" w:rsidRDefault="00436EC9">
            <w:pPr>
              <w:spacing w:after="0"/>
              <w:rPr>
                <w:rFonts w:ascii="Arial" w:hAnsi="Arial" w:cs="Arial"/>
                <w:b w:val="0"/>
                <w:bCs w:val="0"/>
                <w:color w:val="0000FF"/>
                <w:sz w:val="16"/>
                <w:szCs w:val="16"/>
                <w:u w:val="single"/>
                <w:lang w:val="en-US"/>
              </w:rPr>
            </w:pPr>
            <w:hyperlink r:id="rId28" w:tgtFrame="_parent" w:history="1">
              <w:r w:rsidR="00C11C58">
                <w:rPr>
                  <w:rFonts w:ascii="Arial" w:hAnsi="Arial" w:cs="Arial"/>
                  <w:color w:val="0000FF"/>
                  <w:sz w:val="16"/>
                  <w:szCs w:val="16"/>
                  <w:u w:val="single"/>
                  <w:lang w:val="en-US"/>
                </w:rPr>
                <w:t>R1-2302384</w:t>
              </w:r>
            </w:hyperlink>
          </w:p>
        </w:tc>
        <w:tc>
          <w:tcPr>
            <w:tcW w:w="3780" w:type="dxa"/>
            <w:shd w:val="clear" w:color="auto" w:fill="D9E2F3" w:themeFill="accent1" w:themeFillTint="33"/>
          </w:tcPr>
          <w:p w14:paraId="31E56BF3"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Evaluation methodology of IMT-2020 satellite</w:t>
            </w:r>
          </w:p>
        </w:tc>
        <w:tc>
          <w:tcPr>
            <w:tcW w:w="1800" w:type="dxa"/>
            <w:shd w:val="clear" w:color="auto" w:fill="D9E2F3" w:themeFill="accent1" w:themeFillTint="33"/>
          </w:tcPr>
          <w:p w14:paraId="496B242A"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Huawei, HiSilicon</w:t>
            </w:r>
          </w:p>
        </w:tc>
        <w:tc>
          <w:tcPr>
            <w:tcW w:w="6295" w:type="dxa"/>
            <w:shd w:val="clear" w:color="auto" w:fill="D9E2F3" w:themeFill="accent1" w:themeFillTint="33"/>
          </w:tcPr>
          <w:p w14:paraId="2E5745C3"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1:</w:t>
            </w:r>
            <w:r>
              <w:t xml:space="preserve"> </w:t>
            </w:r>
            <w:r>
              <w:rPr>
                <w:b/>
                <w:i/>
                <w:szCs w:val="21"/>
              </w:rPr>
              <w:t>Satellite self-evaluation focuses on transparent payload only. If RAN can check and confirm regenerative payload be supported by Rel-17 specifications, then the evaluation results for transparent payload can be used as a reference for regenerative payload for ITU submission.</w:t>
            </w:r>
          </w:p>
          <w:p w14:paraId="651C0FE5"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2:</w:t>
            </w:r>
            <w:r>
              <w:t xml:space="preserve"> </w:t>
            </w:r>
            <w:r>
              <w:rPr>
                <w:b/>
                <w:i/>
                <w:szCs w:val="21"/>
              </w:rPr>
              <w:t>The channel model in section 6 of TR 38.811 can be viewed as an adaptation for satellite evaluation on top of terrestrial evaluation and can be used for satellite self</w:t>
            </w:r>
            <w:r>
              <w:rPr>
                <w:rFonts w:hint="eastAsia"/>
                <w:b/>
                <w:i/>
                <w:szCs w:val="21"/>
                <w:lang w:eastAsia="zh-CN"/>
              </w:rPr>
              <w:t>-</w:t>
            </w:r>
            <w:r>
              <w:rPr>
                <w:b/>
                <w:i/>
                <w:szCs w:val="21"/>
              </w:rPr>
              <w:t>evaluation.</w:t>
            </w:r>
          </w:p>
          <w:p w14:paraId="009ABE07"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3:</w:t>
            </w:r>
            <w:r>
              <w:t xml:space="preserve"> </w:t>
            </w:r>
            <w:r>
              <w:rPr>
                <w:b/>
                <w:i/>
                <w:szCs w:val="21"/>
              </w:rPr>
              <w:t>Reuse the wrap around mechanism in section 6.1.1.1 of TR 38.821 for satellite self-evaluation.</w:t>
            </w:r>
          </w:p>
          <w:p w14:paraId="4B78D35B" w14:textId="77777777" w:rsidR="00EF613A" w:rsidRDefault="00C11C58">
            <w:pPr>
              <w:cnfStyle w:val="000000000000" w:firstRow="0" w:lastRow="0" w:firstColumn="0" w:lastColumn="0" w:oddVBand="0" w:evenVBand="0" w:oddHBand="0" w:evenHBand="0" w:firstRowFirstColumn="0" w:firstRowLastColumn="0" w:lastRowFirstColumn="0" w:lastRowLastColumn="0"/>
              <w:rPr>
                <w:b/>
                <w:i/>
                <w:szCs w:val="21"/>
              </w:rPr>
            </w:pPr>
            <w:r>
              <w:rPr>
                <w:b/>
                <w:i/>
                <w:szCs w:val="21"/>
              </w:rPr>
              <w:t xml:space="preserve">Proposal 4: The additional parameters listed in </w:t>
            </w:r>
            <w:r>
              <w:rPr>
                <w:b/>
                <w:i/>
                <w:szCs w:val="21"/>
              </w:rPr>
              <w:fldChar w:fldCharType="begin"/>
            </w:r>
            <w:r>
              <w:rPr>
                <w:b/>
                <w:i/>
                <w:szCs w:val="21"/>
              </w:rPr>
              <w:instrText xml:space="preserve"> REF _Ref130835744 \h  \* MERGEFORMAT </w:instrText>
            </w:r>
            <w:r>
              <w:rPr>
                <w:b/>
                <w:i/>
                <w:szCs w:val="21"/>
              </w:rPr>
            </w:r>
            <w:r>
              <w:rPr>
                <w:b/>
                <w:i/>
                <w:szCs w:val="21"/>
              </w:rPr>
              <w:fldChar w:fldCharType="separate"/>
            </w:r>
            <w:r>
              <w:rPr>
                <w:b/>
                <w:i/>
                <w:szCs w:val="21"/>
              </w:rPr>
              <w:t>Table 3</w:t>
            </w:r>
            <w:r>
              <w:rPr>
                <w:b/>
                <w:i/>
                <w:szCs w:val="21"/>
              </w:rPr>
              <w:fldChar w:fldCharType="end"/>
            </w:r>
            <w:r>
              <w:rPr>
                <w:b/>
                <w:i/>
                <w:szCs w:val="21"/>
              </w:rPr>
              <w:t xml:space="preserve"> are added on top of example parameters in section 8.2.3 of</w:t>
            </w:r>
            <w:r>
              <w:rPr>
                <w:b/>
                <w:i/>
                <w:lang w:eastAsia="zh-CN"/>
              </w:rPr>
              <w:t xml:space="preserve"> Report ITU-R</w:t>
            </w:r>
            <w:r>
              <w:rPr>
                <w:b/>
                <w:i/>
                <w:szCs w:val="21"/>
              </w:rPr>
              <w:t xml:space="preserve"> M.2514 for Rural-eMBB-s evaluation.</w:t>
            </w:r>
          </w:p>
          <w:p w14:paraId="75512877"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Theme="minorEastAsia"/>
                <w:szCs w:val="24"/>
                <w:lang w:eastAsia="zh-CN"/>
              </w:rPr>
            </w:pPr>
            <w:r>
              <w:rPr>
                <w:b/>
                <w:i/>
                <w:szCs w:val="21"/>
              </w:rPr>
              <w:t>Proposal 5: Companies are encouraged to provide calibration curves aligned with TR 38.821 calibration case 9 or case 10 when providing satellite self-evaluation results. Then there is no need for additional cross-company calibration.</w:t>
            </w:r>
          </w:p>
          <w:p w14:paraId="458A63CD"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6: Both non-full buffer simulation and full-buffer simulation defined in section 7.1.3 of Report ITU-R M.2412 are used for satellite connection density evaluation, with the following adaptation to satellite self-evaluation:</w:t>
            </w:r>
          </w:p>
          <w:p w14:paraId="69239200" w14:textId="77777777" w:rsidR="00EF613A" w:rsidRDefault="00C11C58">
            <w:pPr>
              <w:ind w:firstLineChars="50" w:firstLine="98"/>
              <w:cnfStyle w:val="000000000000" w:firstRow="0" w:lastRow="0" w:firstColumn="0" w:lastColumn="0" w:oddVBand="0" w:evenVBand="0" w:oddHBand="0" w:evenHBand="0" w:firstRowFirstColumn="0" w:firstRowLastColumn="0" w:lastRowFirstColumn="0" w:lastRowLastColumn="0"/>
              <w:rPr>
                <w:b/>
                <w:i/>
                <w:lang w:eastAsia="zh-CN"/>
              </w:rPr>
            </w:pPr>
            <w:r>
              <w:rPr>
                <w:b/>
                <w:i/>
                <w:lang w:eastAsia="zh-CN"/>
              </w:rPr>
              <w:t>- Traffic model for QoS calculation is defined in Table 1 in section 8.2.3 of Report ITU-R M.2514.</w:t>
            </w:r>
          </w:p>
          <w:p w14:paraId="14A504BC" w14:textId="77777777" w:rsidR="00EF613A" w:rsidRDefault="00C11C58">
            <w:pPr>
              <w:ind w:firstLineChars="50" w:firstLine="98"/>
              <w:cnfStyle w:val="000000000000" w:firstRow="0" w:lastRow="0" w:firstColumn="0" w:lastColumn="0" w:oddVBand="0" w:evenVBand="0" w:oddHBand="0" w:evenHBand="0" w:firstRowFirstColumn="0" w:firstRowLastColumn="0" w:lastRowFirstColumn="0" w:lastRowLastColumn="0"/>
              <w:rPr>
                <w:b/>
                <w:i/>
                <w:lang w:eastAsia="zh-CN"/>
              </w:rPr>
            </w:pPr>
            <w:r>
              <w:rPr>
                <w:b/>
                <w:i/>
                <w:lang w:eastAsia="zh-CN"/>
              </w:rPr>
              <w:t>- Requirement for evaluation is defined in section 7.2.8 of Report ITU-R M.2514.</w:t>
            </w:r>
          </w:p>
          <w:p w14:paraId="19B36802"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7:</w:t>
            </w:r>
            <w:r>
              <w:t xml:space="preserve"> </w:t>
            </w:r>
            <w:r>
              <w:rPr>
                <w:b/>
                <w:i/>
                <w:szCs w:val="21"/>
              </w:rPr>
              <w:t>The calculation method of pre-processing SINR from TR 37.910 is reused for system-level simulation followed by link-level simulation.</w:t>
            </w:r>
          </w:p>
          <w:p w14:paraId="12A9C1B0"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lastRenderedPageBreak/>
              <w:t>Proposal 8:</w:t>
            </w:r>
            <w:r>
              <w:t xml:space="preserve"> </w:t>
            </w:r>
            <w:r>
              <w:rPr>
                <w:b/>
                <w:i/>
                <w:szCs w:val="21"/>
              </w:rPr>
              <w:t xml:space="preserve">Additional parameters listed in </w:t>
            </w:r>
            <w:r>
              <w:rPr>
                <w:b/>
                <w:i/>
                <w:szCs w:val="21"/>
              </w:rPr>
              <w:fldChar w:fldCharType="begin"/>
            </w:r>
            <w:r>
              <w:rPr>
                <w:b/>
                <w:i/>
                <w:szCs w:val="21"/>
              </w:rPr>
              <w:instrText xml:space="preserve"> REF _Ref131446688 \h  \* MERGEFORMAT </w:instrText>
            </w:r>
            <w:r>
              <w:rPr>
                <w:b/>
                <w:i/>
                <w:szCs w:val="21"/>
              </w:rPr>
            </w:r>
            <w:r>
              <w:rPr>
                <w:b/>
                <w:i/>
                <w:szCs w:val="21"/>
              </w:rPr>
              <w:fldChar w:fldCharType="separate"/>
            </w:r>
            <w:r>
              <w:rPr>
                <w:b/>
                <w:i/>
              </w:rPr>
              <w:t>Table 5</w:t>
            </w:r>
            <w:r>
              <w:rPr>
                <w:b/>
                <w:i/>
                <w:szCs w:val="21"/>
              </w:rPr>
              <w:fldChar w:fldCharType="end"/>
            </w:r>
            <w:r>
              <w:rPr>
                <w:b/>
                <w:i/>
                <w:szCs w:val="21"/>
              </w:rPr>
              <w:t xml:space="preserve"> are added on top of example parameters in section 8.2.3 of</w:t>
            </w:r>
            <w:r>
              <w:rPr>
                <w:b/>
                <w:i/>
                <w:lang w:eastAsia="zh-CN"/>
              </w:rPr>
              <w:t xml:space="preserve"> Report ITU-R</w:t>
            </w:r>
            <w:r>
              <w:rPr>
                <w:b/>
                <w:i/>
                <w:szCs w:val="21"/>
              </w:rPr>
              <w:t xml:space="preserve"> M.2514 for Rural-mMTC-s evaluation.</w:t>
            </w:r>
          </w:p>
          <w:p w14:paraId="15782FD1" w14:textId="77777777" w:rsidR="00EF613A" w:rsidRDefault="00EF613A">
            <w:pPr>
              <w:spacing w:before="120"/>
              <w:cnfStyle w:val="000000000000" w:firstRow="0" w:lastRow="0" w:firstColumn="0" w:lastColumn="0" w:oddVBand="0" w:evenVBand="0" w:oddHBand="0" w:evenHBand="0" w:firstRowFirstColumn="0" w:firstRowLastColumn="0" w:lastRowFirstColumn="0" w:lastRowLastColumn="0"/>
              <w:rPr>
                <w:b/>
                <w:i/>
                <w:szCs w:val="21"/>
              </w:rPr>
            </w:pPr>
          </w:p>
          <w:p w14:paraId="3ECF2537"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 xml:space="preserve">Proposal 9: The evaluation methodology defined in section 7.1.4 of Report ITU-R </w:t>
            </w:r>
            <w:hyperlink r:id="rId29" w:history="1">
              <w:r>
                <w:rPr>
                  <w:b/>
                  <w:i/>
                  <w:szCs w:val="21"/>
                </w:rPr>
                <w:t>M.2412</w:t>
              </w:r>
            </w:hyperlink>
            <w:r>
              <w:rPr>
                <w:b/>
                <w:i/>
                <w:szCs w:val="21"/>
              </w:rPr>
              <w:t xml:space="preserve"> is reused to evaluate mobility, with the same evaluation parameters and configurations selected for the evaluation of average spectral efficiency, and with speed of 250 km/h</w:t>
            </w:r>
            <w:r>
              <w:rPr>
                <w:rFonts w:hint="eastAsia"/>
                <w:b/>
                <w:i/>
                <w:szCs w:val="21"/>
                <w:lang w:eastAsia="zh-CN"/>
              </w:rPr>
              <w:t>.</w:t>
            </w:r>
          </w:p>
          <w:p w14:paraId="2BD382FA"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Theme="minorEastAsia"/>
                <w:szCs w:val="24"/>
                <w:lang w:eastAsia="zh-CN"/>
              </w:rPr>
            </w:pPr>
            <w:r>
              <w:rPr>
                <w:b/>
                <w:i/>
                <w:szCs w:val="21"/>
              </w:rPr>
              <w:t xml:space="preserve">Proposal 10: The additional parameters listed in </w:t>
            </w:r>
            <w:r>
              <w:rPr>
                <w:b/>
                <w:i/>
                <w:szCs w:val="21"/>
              </w:rPr>
              <w:fldChar w:fldCharType="begin"/>
            </w:r>
            <w:r>
              <w:rPr>
                <w:b/>
                <w:i/>
                <w:szCs w:val="21"/>
              </w:rPr>
              <w:instrText xml:space="preserve"> REF _Ref130835744 \h  \* MERGEFORMAT </w:instrText>
            </w:r>
            <w:r>
              <w:rPr>
                <w:b/>
                <w:i/>
                <w:szCs w:val="21"/>
              </w:rPr>
            </w:r>
            <w:r>
              <w:rPr>
                <w:b/>
                <w:i/>
                <w:szCs w:val="21"/>
              </w:rPr>
              <w:fldChar w:fldCharType="separate"/>
            </w:r>
            <w:r>
              <w:rPr>
                <w:b/>
                <w:i/>
                <w:szCs w:val="21"/>
              </w:rPr>
              <w:t>Table 3</w:t>
            </w:r>
            <w:r>
              <w:rPr>
                <w:b/>
                <w:i/>
                <w:szCs w:val="21"/>
              </w:rPr>
              <w:fldChar w:fldCharType="end"/>
            </w:r>
            <w:r>
              <w:rPr>
                <w:b/>
                <w:i/>
                <w:szCs w:val="21"/>
              </w:rPr>
              <w:t xml:space="preserve"> are added on top of example parameters in section 8.2.3 of</w:t>
            </w:r>
            <w:r>
              <w:rPr>
                <w:b/>
                <w:i/>
                <w:lang w:eastAsia="zh-CN"/>
              </w:rPr>
              <w:t xml:space="preserve"> Report ITU-R</w:t>
            </w:r>
            <w:r>
              <w:rPr>
                <w:b/>
                <w:i/>
                <w:szCs w:val="21"/>
              </w:rPr>
              <w:t xml:space="preserve"> M.2514 for Rural-HRC-s evaluation, as that for Rural-eMBB-s.</w:t>
            </w:r>
          </w:p>
          <w:p w14:paraId="6C547C0C"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11: For peak spectral efficiency assessment, the generic formula defined in TR 37.910 can be reused, and the highest coding rate, maximum modulation order and maximum number of layers need to take into consideration of the achievable values based on, e.g., link budget analysis of CNR.</w:t>
            </w:r>
          </w:p>
          <w:p w14:paraId="0027C04A" w14:textId="77777777" w:rsidR="00EF613A" w:rsidRDefault="00C11C58">
            <w:pPr>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12: The effect of earth curvature on area calculation needs to be considered for evaluating area traffic capacity.</w:t>
            </w:r>
          </w:p>
          <w:p w14:paraId="100887F7" w14:textId="77777777" w:rsidR="00EF613A" w:rsidRDefault="00C11C58">
            <w:pPr>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13: Control plane latency, user plane latency and mobility interruption time should be discussed by RAN2.</w:t>
            </w:r>
          </w:p>
          <w:p w14:paraId="3254C13C" w14:textId="77777777" w:rsidR="00EF613A" w:rsidRDefault="00C11C58">
            <w:pPr>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14: Energy efficiency should be discussed by RAN2.</w:t>
            </w:r>
          </w:p>
          <w:p w14:paraId="7885ECF9"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2F79BEFC"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tcPr>
          <w:p w14:paraId="059BE495" w14:textId="77777777" w:rsidR="00EF613A" w:rsidRDefault="00436EC9">
            <w:pPr>
              <w:spacing w:after="0"/>
              <w:rPr>
                <w:rFonts w:ascii="Arial" w:hAnsi="Arial" w:cs="Arial"/>
                <w:b w:val="0"/>
                <w:bCs w:val="0"/>
                <w:color w:val="0000FF"/>
                <w:sz w:val="16"/>
                <w:szCs w:val="16"/>
                <w:u w:val="single"/>
                <w:lang w:val="en-US"/>
              </w:rPr>
            </w:pPr>
            <w:hyperlink r:id="rId30" w:tgtFrame="_parent" w:history="1">
              <w:r w:rsidR="00C11C58">
                <w:rPr>
                  <w:rFonts w:ascii="Arial" w:hAnsi="Arial" w:cs="Arial"/>
                  <w:color w:val="0000FF"/>
                  <w:sz w:val="16"/>
                  <w:szCs w:val="16"/>
                  <w:u w:val="single"/>
                  <w:lang w:val="en-US"/>
                </w:rPr>
                <w:t>R1-2302435</w:t>
              </w:r>
            </w:hyperlink>
          </w:p>
        </w:tc>
        <w:tc>
          <w:tcPr>
            <w:tcW w:w="3780" w:type="dxa"/>
          </w:tcPr>
          <w:p w14:paraId="489CCC65"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Discussion on self-evaluation methodology for potential 3GPP submission of IMT-2020 Satellite Radio Interface Technology</w:t>
            </w:r>
          </w:p>
        </w:tc>
        <w:tc>
          <w:tcPr>
            <w:tcW w:w="1800" w:type="dxa"/>
          </w:tcPr>
          <w:p w14:paraId="425A153C"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Nokia, Nokia Shanghai Bell</w:t>
            </w:r>
          </w:p>
        </w:tc>
        <w:tc>
          <w:tcPr>
            <w:tcW w:w="6295" w:type="dxa"/>
          </w:tcPr>
          <w:p w14:paraId="14ED70C5"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b/>
                <w:iCs/>
              </w:rPr>
            </w:pPr>
            <w:r>
              <w:rPr>
                <w:b/>
                <w:iCs/>
              </w:rPr>
              <w:t>Proposal 1: The evaluation of the peak spectral efficiency considers a UE at nadir and in LOS conditions without presence of interference for the relevant satellite deployment cases.</w:t>
            </w:r>
          </w:p>
          <w:p w14:paraId="740C0477"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b/>
                <w:iCs/>
              </w:rPr>
            </w:pPr>
            <w:r>
              <w:rPr>
                <w:b/>
                <w:iCs/>
              </w:rPr>
              <w:t>Proposal 2: The evaluation of the peak data rate considers a UE at nadir and in LOS conditions for the relevant satellite deployment cases.</w:t>
            </w:r>
          </w:p>
          <w:p w14:paraId="0C142D57"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b/>
                <w:iCs/>
              </w:rPr>
            </w:pPr>
            <w:r>
              <w:rPr>
                <w:b/>
                <w:iCs/>
              </w:rPr>
              <w:t>Proposal 3: The evaluation of the control and user plane latencies should focus on LEO scenarios.</w:t>
            </w:r>
          </w:p>
          <w:p w14:paraId="7D1C097D"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b/>
              </w:rPr>
            </w:pPr>
            <w:r>
              <w:rPr>
                <w:b/>
                <w:iCs/>
              </w:rPr>
              <w:lastRenderedPageBreak/>
              <w:t>Proposal 4: The evaluation of the mobility interruption time should be based on cells from the same gNB or co-</w:t>
            </w:r>
            <w:r>
              <w:rPr>
                <w:b/>
              </w:rPr>
              <w:t>located gNBs and LEO scenario assumptions.</w:t>
            </w:r>
          </w:p>
          <w:p w14:paraId="37A50B07"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b/>
                <w:iCs/>
              </w:rPr>
            </w:pPr>
            <w:r>
              <w:rPr>
                <w:b/>
                <w:iCs/>
              </w:rPr>
              <w:t xml:space="preserve">Proposal 5: Evaluation assumptions should include the realistic UE handset antenna gain of -5.5 dB </w:t>
            </w:r>
          </w:p>
          <w:p w14:paraId="51A4E6E1" w14:textId="77777777" w:rsidR="00EF613A" w:rsidRDefault="00C11C58">
            <w:pPr>
              <w:cnfStyle w:val="000000000000" w:firstRow="0" w:lastRow="0" w:firstColumn="0" w:lastColumn="0" w:oddVBand="0" w:evenVBand="0" w:oddHBand="0" w:evenHBand="0" w:firstRowFirstColumn="0" w:firstRowLastColumn="0" w:lastRowFirstColumn="0" w:lastRowLastColumn="0"/>
              <w:rPr>
                <w:b/>
                <w:iCs/>
              </w:rPr>
            </w:pPr>
            <w:r>
              <w:rPr>
                <w:b/>
                <w:iCs/>
              </w:rPr>
              <w:t>Proposal 6: The scenarios are limited to transparent architecture without ISL.</w:t>
            </w:r>
          </w:p>
          <w:p w14:paraId="3E3A2FB0" w14:textId="77777777" w:rsidR="00EF613A" w:rsidRDefault="00C11C58">
            <w:pPr>
              <w:cnfStyle w:val="000000000000" w:firstRow="0" w:lastRow="0" w:firstColumn="0" w:lastColumn="0" w:oddVBand="0" w:evenVBand="0" w:oddHBand="0" w:evenHBand="0" w:firstRowFirstColumn="0" w:firstRowLastColumn="0" w:lastRowFirstColumn="0" w:lastRowLastColumn="0"/>
              <w:rPr>
                <w:b/>
                <w:iCs/>
              </w:rPr>
            </w:pPr>
            <w:r>
              <w:rPr>
                <w:b/>
                <w:iCs/>
              </w:rPr>
              <w:t xml:space="preserve">Proposal </w:t>
            </w:r>
            <w:r>
              <w:rPr>
                <w:b/>
                <w:bCs/>
                <w:iCs/>
              </w:rPr>
              <w:t>7</w:t>
            </w:r>
            <w:r>
              <w:rPr>
                <w:b/>
                <w:iCs/>
              </w:rPr>
              <w:t>: RAN1 to decide that the eMBB-s simulations focus on LEO600, Set-1 and handheld UEs.</w:t>
            </w:r>
          </w:p>
          <w:p w14:paraId="594446A2" w14:textId="77777777" w:rsidR="00EF613A" w:rsidRDefault="00C11C58">
            <w:pPr>
              <w:cnfStyle w:val="000000000000" w:firstRow="0" w:lastRow="0" w:firstColumn="0" w:lastColumn="0" w:oddVBand="0" w:evenVBand="0" w:oddHBand="0" w:evenHBand="0" w:firstRowFirstColumn="0" w:firstRowLastColumn="0" w:lastRowFirstColumn="0" w:lastRowLastColumn="0"/>
              <w:rPr>
                <w:b/>
                <w:iCs/>
              </w:rPr>
            </w:pPr>
            <w:r>
              <w:rPr>
                <w:b/>
                <w:iCs/>
              </w:rPr>
              <w:t xml:space="preserve">Proposal </w:t>
            </w:r>
            <w:r>
              <w:rPr>
                <w:b/>
                <w:bCs/>
                <w:iCs/>
              </w:rPr>
              <w:t>8</w:t>
            </w:r>
            <w:r>
              <w:rPr>
                <w:b/>
                <w:iCs/>
              </w:rPr>
              <w:t>: Connection density for eMTC should focus on the maximum density, limited by the RACH capacity.</w:t>
            </w:r>
          </w:p>
          <w:p w14:paraId="2B568A92" w14:textId="77777777" w:rsidR="00EF613A" w:rsidRDefault="00C11C58">
            <w:pPr>
              <w:cnfStyle w:val="000000000000" w:firstRow="0" w:lastRow="0" w:firstColumn="0" w:lastColumn="0" w:oddVBand="0" w:evenVBand="0" w:oddHBand="0" w:evenHBand="0" w:firstRowFirstColumn="0" w:firstRowLastColumn="0" w:lastRowFirstColumn="0" w:lastRowLastColumn="0"/>
              <w:rPr>
                <w:iCs/>
              </w:rPr>
            </w:pPr>
            <w:r>
              <w:rPr>
                <w:b/>
                <w:iCs/>
              </w:rPr>
              <w:t xml:space="preserve">Proposal </w:t>
            </w:r>
            <w:r>
              <w:rPr>
                <w:b/>
                <w:bCs/>
                <w:iCs/>
              </w:rPr>
              <w:t>9</w:t>
            </w:r>
            <w:r>
              <w:rPr>
                <w:b/>
                <w:iCs/>
              </w:rPr>
              <w:t xml:space="preserve">: The evaluation should focus on handheld UEs with the assumptions from 38.821 Table 6.1.1.1-3. </w:t>
            </w:r>
          </w:p>
          <w:p w14:paraId="320ED516" w14:textId="77777777" w:rsidR="00EF613A" w:rsidRDefault="00C11C58">
            <w:pPr>
              <w:cnfStyle w:val="000000000000" w:firstRow="0" w:lastRow="0" w:firstColumn="0" w:lastColumn="0" w:oddVBand="0" w:evenVBand="0" w:oddHBand="0" w:evenHBand="0" w:firstRowFirstColumn="0" w:firstRowLastColumn="0" w:lastRowFirstColumn="0" w:lastRowLastColumn="0"/>
            </w:pPr>
            <w:r>
              <w:rPr>
                <w:b/>
                <w:iCs/>
              </w:rPr>
              <w:t xml:space="preserve">Proposal </w:t>
            </w:r>
            <w:r>
              <w:rPr>
                <w:b/>
                <w:bCs/>
                <w:iCs/>
              </w:rPr>
              <w:t>10</w:t>
            </w:r>
            <w:r>
              <w:rPr>
                <w:b/>
                <w:iCs/>
              </w:rPr>
              <w:t>: Under the evaluation it may be considered to assume a UE with full availability of UE capabilities</w:t>
            </w:r>
            <w:r>
              <w:rPr>
                <w:b/>
              </w:rPr>
              <w:t xml:space="preserve"> such as e.g. support of 32 HARQ processes.</w:t>
            </w:r>
          </w:p>
          <w:p w14:paraId="7E1182DB" w14:textId="77777777" w:rsidR="00EF613A" w:rsidRDefault="00C11C58">
            <w:pPr>
              <w:cnfStyle w:val="000000000000" w:firstRow="0" w:lastRow="0" w:firstColumn="0" w:lastColumn="0" w:oddVBand="0" w:evenVBand="0" w:oddHBand="0" w:evenHBand="0" w:firstRowFirstColumn="0" w:firstRowLastColumn="0" w:lastRowFirstColumn="0" w:lastRowLastColumn="0"/>
              <w:rPr>
                <w:b/>
              </w:rPr>
            </w:pPr>
            <w:r>
              <w:rPr>
                <w:b/>
                <w:iCs/>
              </w:rPr>
              <w:t xml:space="preserve">Proposal </w:t>
            </w:r>
            <w:r>
              <w:rPr>
                <w:b/>
                <w:bCs/>
                <w:iCs/>
              </w:rPr>
              <w:t>11</w:t>
            </w:r>
            <w:r>
              <w:rPr>
                <w:b/>
                <w:iCs/>
              </w:rPr>
              <w:t xml:space="preserve">: </w:t>
            </w:r>
            <w:r>
              <w:rPr>
                <w:b/>
              </w:rPr>
              <w:t>RAN1 to discuss whether 100% LOS can be considered or whether a model like in [5] should be included in the evaluation.</w:t>
            </w:r>
          </w:p>
          <w:p w14:paraId="00D611E9"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79818C11"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shd w:val="clear" w:color="auto" w:fill="D9E2F3" w:themeFill="accent1" w:themeFillTint="33"/>
          </w:tcPr>
          <w:p w14:paraId="6CA08AE2" w14:textId="77777777" w:rsidR="00EF613A" w:rsidRDefault="00436EC9">
            <w:pPr>
              <w:spacing w:after="0"/>
              <w:rPr>
                <w:rFonts w:ascii="Arial" w:hAnsi="Arial" w:cs="Arial"/>
                <w:b w:val="0"/>
                <w:bCs w:val="0"/>
                <w:color w:val="0000FF"/>
                <w:sz w:val="16"/>
                <w:szCs w:val="16"/>
                <w:u w:val="single"/>
                <w:lang w:val="en-US"/>
              </w:rPr>
            </w:pPr>
            <w:hyperlink r:id="rId31" w:tgtFrame="_parent" w:history="1">
              <w:r w:rsidR="00C11C58">
                <w:rPr>
                  <w:rFonts w:ascii="Arial" w:hAnsi="Arial" w:cs="Arial"/>
                  <w:color w:val="0000FF"/>
                  <w:sz w:val="16"/>
                  <w:szCs w:val="16"/>
                  <w:u w:val="single"/>
                  <w:lang w:val="en-US"/>
                </w:rPr>
                <w:t>R1-2302693</w:t>
              </w:r>
            </w:hyperlink>
          </w:p>
        </w:tc>
        <w:tc>
          <w:tcPr>
            <w:tcW w:w="3780" w:type="dxa"/>
            <w:shd w:val="clear" w:color="auto" w:fill="D9E2F3" w:themeFill="accent1" w:themeFillTint="33"/>
          </w:tcPr>
          <w:p w14:paraId="65FCF46D"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Considerations on evaluation methodology for IMT2020 Satellite RIT</w:t>
            </w:r>
          </w:p>
        </w:tc>
        <w:tc>
          <w:tcPr>
            <w:tcW w:w="1800" w:type="dxa"/>
            <w:shd w:val="clear" w:color="auto" w:fill="D9E2F3" w:themeFill="accent1" w:themeFillTint="33"/>
          </w:tcPr>
          <w:p w14:paraId="3439E69F"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CATT,CAICT</w:t>
            </w:r>
          </w:p>
        </w:tc>
        <w:tc>
          <w:tcPr>
            <w:tcW w:w="6295" w:type="dxa"/>
            <w:shd w:val="clear" w:color="auto" w:fill="D9E2F3" w:themeFill="accent1" w:themeFillTint="33"/>
          </w:tcPr>
          <w:p w14:paraId="2C512041" w14:textId="77777777" w:rsidR="00EF613A" w:rsidRDefault="00EF613A">
            <w:pPr>
              <w:cnfStyle w:val="000000000000" w:firstRow="0" w:lastRow="0" w:firstColumn="0" w:lastColumn="0" w:oddVBand="0" w:evenVBand="0" w:oddHBand="0" w:evenHBand="0" w:firstRowFirstColumn="0" w:firstRowLastColumn="0" w:lastRowFirstColumn="0" w:lastRowLastColumn="0"/>
              <w:rPr>
                <w:b/>
                <w:lang w:eastAsia="zh-CN"/>
              </w:rPr>
            </w:pPr>
          </w:p>
          <w:p w14:paraId="3F4F23D2" w14:textId="77777777" w:rsidR="00EF613A" w:rsidRDefault="00C11C58">
            <w:pPr>
              <w:cnfStyle w:val="000000000000" w:firstRow="0" w:lastRow="0" w:firstColumn="0" w:lastColumn="0" w:oddVBand="0" w:evenVBand="0" w:oddHBand="0" w:evenHBand="0" w:firstRowFirstColumn="0" w:firstRowLastColumn="0" w:lastRowFirstColumn="0" w:lastRowLastColumn="0"/>
              <w:rPr>
                <w:b/>
                <w:kern w:val="2"/>
                <w:lang w:eastAsia="zh-CN"/>
              </w:rPr>
            </w:pPr>
            <w:r>
              <w:rPr>
                <w:rFonts w:hint="eastAsia"/>
                <w:b/>
                <w:kern w:val="2"/>
                <w:lang w:eastAsia="zh-CN"/>
              </w:rPr>
              <w:t xml:space="preserve">Proposal 1: For test environment and evaluation configurations, the </w:t>
            </w:r>
            <w:r>
              <w:rPr>
                <w:b/>
                <w:kern w:val="2"/>
                <w:lang w:eastAsia="zh-CN"/>
              </w:rPr>
              <w:t>following</w:t>
            </w:r>
            <w:r>
              <w:rPr>
                <w:rFonts w:hint="eastAsia"/>
                <w:b/>
                <w:kern w:val="2"/>
                <w:lang w:eastAsia="zh-CN"/>
              </w:rPr>
              <w:t xml:space="preserve"> should be considered in evaluation of IMT-2020 SRI.</w:t>
            </w:r>
          </w:p>
          <w:p w14:paraId="5A1E10B2" w14:textId="77777777" w:rsidR="00EF613A" w:rsidRDefault="00C11C58">
            <w:pPr>
              <w:pStyle w:val="af4"/>
              <w:numPr>
                <w:ilvl w:val="0"/>
                <w:numId w:val="13"/>
              </w:numPr>
              <w:overflowPunct/>
              <w:snapToGrid w:val="0"/>
              <w:spacing w:after="120"/>
              <w:ind w:left="0" w:firstLineChars="200" w:firstLine="402"/>
              <w:contextualSpacing w:val="0"/>
              <w:jc w:val="both"/>
              <w:textAlignment w:val="auto"/>
              <w:cnfStyle w:val="000000000000" w:firstRow="0" w:lastRow="0" w:firstColumn="0" w:lastColumn="0" w:oddVBand="0" w:evenVBand="0" w:oddHBand="0" w:evenHBand="0" w:firstRowFirstColumn="0" w:firstRowLastColumn="0" w:lastRowFirstColumn="0" w:lastRowLastColumn="0"/>
              <w:rPr>
                <w:b/>
                <w:kern w:val="2"/>
                <w:lang w:eastAsia="zh-CN"/>
              </w:rPr>
            </w:pPr>
            <w:r>
              <w:rPr>
                <w:b/>
                <w:kern w:val="2"/>
                <w:lang w:eastAsia="zh-CN"/>
              </w:rPr>
              <w:t>A</w:t>
            </w:r>
            <w:r>
              <w:rPr>
                <w:rFonts w:hint="eastAsia"/>
                <w:b/>
                <w:kern w:val="2"/>
                <w:lang w:eastAsia="zh-CN"/>
              </w:rPr>
              <w:t xml:space="preserve"> Rural test environment;</w:t>
            </w:r>
          </w:p>
          <w:p w14:paraId="4E735B99" w14:textId="77777777" w:rsidR="00EF613A" w:rsidRDefault="00C11C58">
            <w:pPr>
              <w:pStyle w:val="af4"/>
              <w:numPr>
                <w:ilvl w:val="0"/>
                <w:numId w:val="13"/>
              </w:numPr>
              <w:overflowPunct/>
              <w:snapToGrid w:val="0"/>
              <w:spacing w:after="120"/>
              <w:ind w:left="0" w:firstLineChars="200" w:firstLine="402"/>
              <w:contextualSpacing w:val="0"/>
              <w:jc w:val="both"/>
              <w:textAlignment w:val="auto"/>
              <w:cnfStyle w:val="000000000000" w:firstRow="0" w:lastRow="0" w:firstColumn="0" w:lastColumn="0" w:oddVBand="0" w:evenVBand="0" w:oddHBand="0" w:evenHBand="0" w:firstRowFirstColumn="0" w:firstRowLastColumn="0" w:lastRowFirstColumn="0" w:lastRowLastColumn="0"/>
              <w:rPr>
                <w:b/>
                <w:kern w:val="2"/>
                <w:lang w:eastAsia="zh-CN"/>
              </w:rPr>
            </w:pPr>
            <w:r>
              <w:rPr>
                <w:rFonts w:hint="eastAsia"/>
                <w:b/>
                <w:kern w:val="2"/>
                <w:lang w:eastAsia="zh-CN"/>
              </w:rPr>
              <w:t>The GEO and LEO orbit;</w:t>
            </w:r>
          </w:p>
          <w:p w14:paraId="3A8DDBBE" w14:textId="77777777" w:rsidR="00EF613A" w:rsidRDefault="00C11C58">
            <w:pPr>
              <w:pStyle w:val="af4"/>
              <w:numPr>
                <w:ilvl w:val="0"/>
                <w:numId w:val="13"/>
              </w:numPr>
              <w:overflowPunct/>
              <w:snapToGrid w:val="0"/>
              <w:spacing w:after="120"/>
              <w:ind w:left="0" w:firstLineChars="200" w:firstLine="402"/>
              <w:contextualSpacing w:val="0"/>
              <w:jc w:val="both"/>
              <w:textAlignment w:val="auto"/>
              <w:cnfStyle w:val="000000000000" w:firstRow="0" w:lastRow="0" w:firstColumn="0" w:lastColumn="0" w:oddVBand="0" w:evenVBand="0" w:oddHBand="0" w:evenHBand="0" w:firstRowFirstColumn="0" w:firstRowLastColumn="0" w:lastRowFirstColumn="0" w:lastRowLastColumn="0"/>
              <w:rPr>
                <w:b/>
                <w:kern w:val="2"/>
                <w:lang w:eastAsia="zh-CN"/>
              </w:rPr>
            </w:pPr>
            <w:r>
              <w:rPr>
                <w:b/>
                <w:kern w:val="2"/>
                <w:lang w:eastAsia="zh-CN"/>
              </w:rPr>
              <w:t>T</w:t>
            </w:r>
            <w:r>
              <w:rPr>
                <w:rFonts w:hint="eastAsia"/>
                <w:b/>
                <w:kern w:val="2"/>
                <w:lang w:eastAsia="zh-CN"/>
              </w:rPr>
              <w:t>he handheld, MTD (IOT) and directional terminals.</w:t>
            </w:r>
          </w:p>
          <w:p w14:paraId="6F33D5B9" w14:textId="77777777" w:rsidR="00EF613A" w:rsidRDefault="00C11C58">
            <w:pPr>
              <w:cnfStyle w:val="000000000000" w:firstRow="0" w:lastRow="0" w:firstColumn="0" w:lastColumn="0" w:oddVBand="0" w:evenVBand="0" w:oddHBand="0" w:evenHBand="0" w:firstRowFirstColumn="0" w:firstRowLastColumn="0" w:lastRowFirstColumn="0" w:lastRowLastColumn="0"/>
              <w:rPr>
                <w:b/>
                <w:kern w:val="2"/>
                <w:lang w:eastAsia="zh-CN"/>
              </w:rPr>
            </w:pPr>
            <w:r>
              <w:rPr>
                <w:rFonts w:hint="eastAsia"/>
                <w:b/>
                <w:kern w:val="2"/>
                <w:lang w:eastAsia="zh-CN"/>
              </w:rPr>
              <w:t xml:space="preserve">Proposal 2: For NR NTN evaluation, the parameters of satellites and configurations of </w:t>
            </w:r>
            <w:r>
              <w:rPr>
                <w:b/>
                <w:kern w:val="2"/>
                <w:lang w:eastAsia="zh-CN"/>
              </w:rPr>
              <w:t>terminals</w:t>
            </w:r>
            <w:r>
              <w:rPr>
                <w:rFonts w:hint="eastAsia"/>
                <w:b/>
                <w:kern w:val="2"/>
                <w:lang w:eastAsia="zh-CN"/>
              </w:rPr>
              <w:t xml:space="preserve"> </w:t>
            </w:r>
            <w:r>
              <w:rPr>
                <w:b/>
                <w:kern w:val="2"/>
                <w:lang w:eastAsia="zh-CN"/>
              </w:rPr>
              <w:t>described</w:t>
            </w:r>
            <w:r>
              <w:rPr>
                <w:rFonts w:hint="eastAsia"/>
                <w:b/>
                <w:kern w:val="2"/>
                <w:lang w:eastAsia="zh-CN"/>
              </w:rPr>
              <w:t xml:space="preserve"> in TR 38.821 should be taken as baseline. </w:t>
            </w:r>
            <w:r>
              <w:rPr>
                <w:b/>
                <w:kern w:val="2"/>
                <w:lang w:eastAsia="zh-CN"/>
              </w:rPr>
              <w:t>A</w:t>
            </w:r>
            <w:r>
              <w:rPr>
                <w:rFonts w:hint="eastAsia"/>
                <w:b/>
                <w:kern w:val="2"/>
                <w:lang w:eastAsia="zh-CN"/>
              </w:rPr>
              <w:t xml:space="preserve">nd for IOT NTN evaluation, the parameters described in TR </w:t>
            </w:r>
            <w:r>
              <w:rPr>
                <w:rFonts w:hint="eastAsia"/>
                <w:b/>
                <w:kern w:val="2"/>
                <w:lang w:eastAsia="zh-CN"/>
              </w:rPr>
              <w:lastRenderedPageBreak/>
              <w:t xml:space="preserve">36.763 should be treated as baseline. </w:t>
            </w:r>
            <w:r>
              <w:rPr>
                <w:b/>
                <w:kern w:val="2"/>
                <w:lang w:eastAsia="zh-CN"/>
              </w:rPr>
              <w:t>M</w:t>
            </w:r>
            <w:r>
              <w:rPr>
                <w:rFonts w:hint="eastAsia"/>
                <w:b/>
                <w:kern w:val="2"/>
                <w:lang w:eastAsia="zh-CN"/>
              </w:rPr>
              <w:t xml:space="preserve">oreover, Rel-18 NTN features can be </w:t>
            </w:r>
            <w:r>
              <w:rPr>
                <w:b/>
                <w:kern w:val="2"/>
                <w:lang w:eastAsia="zh-CN"/>
              </w:rPr>
              <w:t>evaluated</w:t>
            </w:r>
            <w:r>
              <w:rPr>
                <w:rFonts w:hint="eastAsia"/>
                <w:b/>
                <w:kern w:val="2"/>
                <w:lang w:eastAsia="zh-CN"/>
              </w:rPr>
              <w:t xml:space="preserve"> if necessary. </w:t>
            </w:r>
          </w:p>
          <w:p w14:paraId="329B01E9" w14:textId="77777777" w:rsidR="00EF613A" w:rsidRDefault="00C11C58">
            <w:pPr>
              <w:cnfStyle w:val="000000000000" w:firstRow="0" w:lastRow="0" w:firstColumn="0" w:lastColumn="0" w:oddVBand="0" w:evenVBand="0" w:oddHBand="0" w:evenHBand="0" w:firstRowFirstColumn="0" w:firstRowLastColumn="0" w:lastRowFirstColumn="0" w:lastRowLastColumn="0"/>
              <w:rPr>
                <w:b/>
                <w:kern w:val="2"/>
                <w:lang w:eastAsia="zh-CN"/>
              </w:rPr>
            </w:pPr>
            <w:r>
              <w:rPr>
                <w:rFonts w:hint="eastAsia"/>
                <w:b/>
                <w:kern w:val="2"/>
                <w:lang w:eastAsia="zh-CN"/>
              </w:rPr>
              <w:t xml:space="preserve">Proposal 3: Support the </w:t>
            </w:r>
            <w:r>
              <w:rPr>
                <w:b/>
                <w:kern w:val="2"/>
                <w:lang w:eastAsia="zh-CN"/>
              </w:rPr>
              <w:t>assessment</w:t>
            </w:r>
            <w:r>
              <w:rPr>
                <w:rFonts w:hint="eastAsia"/>
                <w:b/>
                <w:kern w:val="2"/>
                <w:lang w:eastAsia="zh-CN"/>
              </w:rPr>
              <w:t xml:space="preserve"> methods mentioned in Report ITU-R M.2514 as baseline.</w:t>
            </w:r>
          </w:p>
          <w:p w14:paraId="7FA50A1A"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00ACAE8B"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tcPr>
          <w:p w14:paraId="79E7557E" w14:textId="77777777" w:rsidR="00EF613A" w:rsidRDefault="00436EC9">
            <w:pPr>
              <w:spacing w:after="0"/>
              <w:rPr>
                <w:rFonts w:ascii="Arial" w:hAnsi="Arial" w:cs="Arial"/>
                <w:b w:val="0"/>
                <w:bCs w:val="0"/>
                <w:color w:val="0000FF"/>
                <w:sz w:val="16"/>
                <w:szCs w:val="16"/>
                <w:u w:val="single"/>
                <w:lang w:val="en-US"/>
              </w:rPr>
            </w:pPr>
            <w:hyperlink r:id="rId32" w:tgtFrame="_parent" w:history="1">
              <w:r w:rsidR="00C11C58">
                <w:rPr>
                  <w:rFonts w:ascii="Arial" w:hAnsi="Arial" w:cs="Arial"/>
                  <w:color w:val="0000FF"/>
                  <w:sz w:val="16"/>
                  <w:szCs w:val="16"/>
                  <w:u w:val="single"/>
                  <w:lang w:val="en-US"/>
                </w:rPr>
                <w:t>R1-2302774</w:t>
              </w:r>
            </w:hyperlink>
          </w:p>
        </w:tc>
        <w:tc>
          <w:tcPr>
            <w:tcW w:w="3780" w:type="dxa"/>
          </w:tcPr>
          <w:p w14:paraId="3AC7C393"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Discussion on self-evaluation methodology for IMT-2020 satellite radio interface</w:t>
            </w:r>
          </w:p>
        </w:tc>
        <w:tc>
          <w:tcPr>
            <w:tcW w:w="1800" w:type="dxa"/>
          </w:tcPr>
          <w:p w14:paraId="1CA6C189"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OPPO</w:t>
            </w:r>
          </w:p>
        </w:tc>
        <w:tc>
          <w:tcPr>
            <w:tcW w:w="6295" w:type="dxa"/>
          </w:tcPr>
          <w:p w14:paraId="445B6429" w14:textId="77777777" w:rsidR="00EF613A" w:rsidRDefault="00C11C58">
            <w:pPr>
              <w:pStyle w:val="a6"/>
              <w:cnfStyle w:val="000000000000" w:firstRow="0" w:lastRow="0" w:firstColumn="0" w:lastColumn="0" w:oddVBand="0" w:evenVBand="0" w:oddHBand="0" w:evenHBand="0" w:firstRowFirstColumn="0" w:firstRowLastColumn="0" w:lastRowFirstColumn="0" w:lastRowLastColumn="0"/>
              <w:rPr>
                <w:rFonts w:eastAsia="SimSun"/>
                <w:b/>
                <w:bCs/>
                <w:i/>
              </w:rPr>
            </w:pPr>
            <w:r>
              <w:rPr>
                <w:rFonts w:eastAsia="SimSun"/>
                <w:b/>
                <w:bCs/>
                <w:i/>
              </w:rPr>
              <w:t>Proposal</w:t>
            </w:r>
            <w:r>
              <w:rPr>
                <w:rFonts w:eastAsia="SimSun" w:hint="eastAsia"/>
                <w:b/>
                <w:bCs/>
                <w:i/>
              </w:rPr>
              <w:t xml:space="preserve"> </w:t>
            </w:r>
            <w:r>
              <w:rPr>
                <w:rFonts w:eastAsia="SimSun"/>
                <w:b/>
                <w:bCs/>
                <w:i/>
              </w:rPr>
              <w:t>1</w:t>
            </w:r>
            <w:r>
              <w:rPr>
                <w:rFonts w:eastAsia="SimSun" w:hint="eastAsia"/>
                <w:b/>
                <w:bCs/>
                <w:i/>
              </w:rPr>
              <w:t>:</w:t>
            </w:r>
            <w:r>
              <w:rPr>
                <w:rFonts w:eastAsia="SimSun"/>
                <w:b/>
                <w:bCs/>
                <w:i/>
              </w:rPr>
              <w:t xml:space="preserve"> Rel-17 NR NTN</w:t>
            </w:r>
            <w:r>
              <w:t xml:space="preserve"> </w:t>
            </w:r>
            <w:r>
              <w:rPr>
                <w:rFonts w:eastAsia="SimSun"/>
                <w:b/>
                <w:bCs/>
                <w:i/>
              </w:rPr>
              <w:t>on single-band is considered as a starting point for eMBB-s evaluation towards IMT-2020 submission.</w:t>
            </w:r>
          </w:p>
          <w:p w14:paraId="011E4600" w14:textId="77777777" w:rsidR="00EF613A" w:rsidRDefault="00C11C58">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SimSun"/>
                <w:b/>
                <w:bCs/>
                <w:i/>
              </w:rPr>
              <w:t>Proposal</w:t>
            </w:r>
            <w:r>
              <w:rPr>
                <w:rFonts w:eastAsia="SimSun" w:hint="eastAsia"/>
                <w:b/>
                <w:bCs/>
                <w:i/>
              </w:rPr>
              <w:t xml:space="preserve"> </w:t>
            </w:r>
            <w:r>
              <w:rPr>
                <w:rFonts w:eastAsia="SimSun"/>
                <w:b/>
                <w:bCs/>
                <w:i/>
              </w:rPr>
              <w:t>2</w:t>
            </w:r>
            <w:r>
              <w:rPr>
                <w:rFonts w:eastAsia="SimSun" w:hint="eastAsia"/>
                <w:b/>
                <w:bCs/>
                <w:i/>
              </w:rPr>
              <w:t>:</w:t>
            </w:r>
            <w:r>
              <w:rPr>
                <w:rFonts w:eastAsia="SimSun"/>
                <w:b/>
                <w:bCs/>
                <w:i/>
              </w:rPr>
              <w:t xml:space="preserve"> Performance requirements in Table 2 should be considered for eMBB-s evaluation towards IMT-2020 submission.</w:t>
            </w:r>
          </w:p>
          <w:p w14:paraId="01701DF5" w14:textId="77777777" w:rsidR="00EF613A" w:rsidRDefault="00C11C58">
            <w:pPr>
              <w:pStyle w:val="a6"/>
              <w:cnfStyle w:val="000000000000" w:firstRow="0" w:lastRow="0" w:firstColumn="0" w:lastColumn="0" w:oddVBand="0" w:evenVBand="0" w:oddHBand="0" w:evenHBand="0" w:firstRowFirstColumn="0" w:firstRowLastColumn="0" w:lastRowFirstColumn="0" w:lastRowLastColumn="0"/>
              <w:rPr>
                <w:rFonts w:eastAsia="SimSun"/>
                <w:b/>
                <w:bCs/>
                <w:i/>
              </w:rPr>
            </w:pPr>
            <w:r>
              <w:rPr>
                <w:rFonts w:eastAsia="SimSun"/>
                <w:b/>
                <w:bCs/>
                <w:i/>
              </w:rPr>
              <w:t>Proposal</w:t>
            </w:r>
            <w:r>
              <w:rPr>
                <w:rFonts w:eastAsia="SimSun" w:hint="eastAsia"/>
                <w:b/>
                <w:bCs/>
                <w:i/>
              </w:rPr>
              <w:t xml:space="preserve"> </w:t>
            </w:r>
            <w:r>
              <w:rPr>
                <w:rFonts w:eastAsia="SimSun"/>
                <w:b/>
                <w:bCs/>
                <w:i/>
              </w:rPr>
              <w:t>3</w:t>
            </w:r>
            <w:r>
              <w:rPr>
                <w:rFonts w:eastAsia="SimSun" w:hint="eastAsia"/>
                <w:b/>
                <w:bCs/>
                <w:i/>
              </w:rPr>
              <w:t>:</w:t>
            </w:r>
            <w:r>
              <w:rPr>
                <w:rFonts w:eastAsia="SimSun"/>
                <w:b/>
                <w:bCs/>
                <w:i/>
              </w:rPr>
              <w:t xml:space="preserve"> Evaluation parameters in TR38.821, Table 3 and Table 4 can be considered as a starting point for eMBB-s evaluation towards IMT-2020 submission.</w:t>
            </w:r>
          </w:p>
          <w:p w14:paraId="4539FD12" w14:textId="77777777" w:rsidR="00EF613A" w:rsidRDefault="00C11C58">
            <w:pPr>
              <w:pStyle w:val="a6"/>
              <w:cnfStyle w:val="000000000000" w:firstRow="0" w:lastRow="0" w:firstColumn="0" w:lastColumn="0" w:oddVBand="0" w:evenVBand="0" w:oddHBand="0" w:evenHBand="0" w:firstRowFirstColumn="0" w:firstRowLastColumn="0" w:lastRowFirstColumn="0" w:lastRowLastColumn="0"/>
              <w:rPr>
                <w:rFonts w:eastAsia="SimSun"/>
                <w:b/>
                <w:bCs/>
                <w:i/>
              </w:rPr>
            </w:pPr>
            <w:r>
              <w:rPr>
                <w:rFonts w:eastAsia="SimSun"/>
                <w:b/>
                <w:bCs/>
                <w:i/>
              </w:rPr>
              <w:t>Proposal</w:t>
            </w:r>
            <w:r>
              <w:rPr>
                <w:rFonts w:eastAsia="SimSun" w:hint="eastAsia"/>
                <w:b/>
                <w:bCs/>
                <w:i/>
              </w:rPr>
              <w:t xml:space="preserve"> </w:t>
            </w:r>
            <w:r>
              <w:rPr>
                <w:rFonts w:eastAsia="SimSun"/>
                <w:b/>
                <w:bCs/>
                <w:i/>
              </w:rPr>
              <w:t>4</w:t>
            </w:r>
            <w:r>
              <w:rPr>
                <w:rFonts w:eastAsia="SimSun" w:hint="eastAsia"/>
                <w:b/>
                <w:bCs/>
                <w:i/>
              </w:rPr>
              <w:t>:</w:t>
            </w:r>
            <w:r>
              <w:rPr>
                <w:rFonts w:eastAsia="SimSun"/>
                <w:b/>
                <w:bCs/>
                <w:i/>
              </w:rPr>
              <w:t xml:space="preserve"> Rel-17 IoT NTN</w:t>
            </w:r>
            <w:r>
              <w:t xml:space="preserve"> </w:t>
            </w:r>
            <w:r>
              <w:rPr>
                <w:rFonts w:eastAsia="SimSun"/>
                <w:b/>
                <w:bCs/>
                <w:i/>
              </w:rPr>
              <w:t>is considered as a starting point for mMTC-s evaluation towards IMT-2020 submission.</w:t>
            </w:r>
          </w:p>
          <w:p w14:paraId="5CAE824D" w14:textId="77777777" w:rsidR="00EF613A" w:rsidRDefault="00C11C58">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SimSun"/>
                <w:b/>
                <w:bCs/>
                <w:i/>
              </w:rPr>
              <w:t>Proposal</w:t>
            </w:r>
            <w:r>
              <w:rPr>
                <w:rFonts w:eastAsia="SimSun" w:hint="eastAsia"/>
                <w:b/>
                <w:bCs/>
                <w:i/>
              </w:rPr>
              <w:t xml:space="preserve"> </w:t>
            </w:r>
            <w:r>
              <w:rPr>
                <w:rFonts w:eastAsia="SimSun"/>
                <w:b/>
                <w:bCs/>
                <w:i/>
              </w:rPr>
              <w:t>5</w:t>
            </w:r>
            <w:r>
              <w:rPr>
                <w:rFonts w:eastAsia="SimSun" w:hint="eastAsia"/>
                <w:b/>
                <w:bCs/>
                <w:i/>
              </w:rPr>
              <w:t>:</w:t>
            </w:r>
            <w:r>
              <w:rPr>
                <w:rFonts w:eastAsia="SimSun"/>
                <w:b/>
                <w:bCs/>
                <w:i/>
              </w:rPr>
              <w:t xml:space="preserve"> Performance requirement in Table 6 should be considered for mMTC-s evaluation towards IMT-2020 submission.</w:t>
            </w:r>
          </w:p>
          <w:p w14:paraId="2DC99EA3" w14:textId="77777777" w:rsidR="00EF613A" w:rsidRDefault="00C11C58">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SimSun"/>
                <w:b/>
                <w:bCs/>
                <w:i/>
              </w:rPr>
              <w:t>Proposal</w:t>
            </w:r>
            <w:r>
              <w:rPr>
                <w:rFonts w:eastAsia="SimSun" w:hint="eastAsia"/>
                <w:b/>
                <w:bCs/>
                <w:i/>
              </w:rPr>
              <w:t xml:space="preserve"> </w:t>
            </w:r>
            <w:r>
              <w:rPr>
                <w:rFonts w:eastAsia="SimSun"/>
                <w:b/>
                <w:bCs/>
                <w:i/>
              </w:rPr>
              <w:t>6</w:t>
            </w:r>
            <w:r>
              <w:rPr>
                <w:rFonts w:eastAsia="SimSun" w:hint="eastAsia"/>
                <w:b/>
                <w:bCs/>
                <w:i/>
              </w:rPr>
              <w:t>:</w:t>
            </w:r>
            <w:r>
              <w:rPr>
                <w:rFonts w:eastAsia="SimSun"/>
                <w:b/>
                <w:bCs/>
                <w:i/>
              </w:rPr>
              <w:t xml:space="preserve"> The procedure and delay modeling for NB-IoT and eMTC with needed adaptions can be considered as a starting point for mMTC-s evaluation towards IMT-2020 submission.</w:t>
            </w:r>
          </w:p>
          <w:p w14:paraId="2AD7A4D0" w14:textId="77777777" w:rsidR="00EF613A" w:rsidRDefault="00C11C58">
            <w:pPr>
              <w:pStyle w:val="a6"/>
              <w:cnfStyle w:val="000000000000" w:firstRow="0" w:lastRow="0" w:firstColumn="0" w:lastColumn="0" w:oddVBand="0" w:evenVBand="0" w:oddHBand="0" w:evenHBand="0" w:firstRowFirstColumn="0" w:firstRowLastColumn="0" w:lastRowFirstColumn="0" w:lastRowLastColumn="0"/>
              <w:rPr>
                <w:rFonts w:eastAsia="SimSun"/>
                <w:b/>
                <w:bCs/>
                <w:i/>
              </w:rPr>
            </w:pPr>
            <w:r>
              <w:rPr>
                <w:rFonts w:eastAsia="SimSun"/>
                <w:b/>
                <w:bCs/>
                <w:i/>
              </w:rPr>
              <w:t>Proposal</w:t>
            </w:r>
            <w:r>
              <w:rPr>
                <w:rFonts w:eastAsia="SimSun" w:hint="eastAsia"/>
                <w:b/>
                <w:bCs/>
                <w:i/>
              </w:rPr>
              <w:t xml:space="preserve"> </w:t>
            </w:r>
            <w:r>
              <w:rPr>
                <w:rFonts w:eastAsia="SimSun"/>
                <w:b/>
                <w:bCs/>
                <w:i/>
              </w:rPr>
              <w:t>7</w:t>
            </w:r>
            <w:r>
              <w:rPr>
                <w:rFonts w:eastAsia="SimSun" w:hint="eastAsia"/>
                <w:b/>
                <w:bCs/>
                <w:i/>
              </w:rPr>
              <w:t>:</w:t>
            </w:r>
            <w:r>
              <w:rPr>
                <w:rFonts w:eastAsia="SimSun"/>
                <w:b/>
                <w:bCs/>
                <w:i/>
              </w:rPr>
              <w:t xml:space="preserve"> Rel-17 NR NTN</w:t>
            </w:r>
            <w:r>
              <w:t xml:space="preserve"> </w:t>
            </w:r>
            <w:r>
              <w:rPr>
                <w:rFonts w:eastAsia="SimSun"/>
                <w:b/>
                <w:bCs/>
                <w:i/>
              </w:rPr>
              <w:t>on single-band is considered as a starting point for HRC-s evaluation towards IMT-2020 submission.</w:t>
            </w:r>
          </w:p>
          <w:p w14:paraId="2DDA91FC" w14:textId="77777777" w:rsidR="00EF613A" w:rsidRDefault="00C11C58">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SimSun"/>
                <w:b/>
                <w:bCs/>
                <w:i/>
              </w:rPr>
              <w:t>Proposal</w:t>
            </w:r>
            <w:r>
              <w:rPr>
                <w:rFonts w:eastAsia="SimSun" w:hint="eastAsia"/>
                <w:b/>
                <w:bCs/>
                <w:i/>
              </w:rPr>
              <w:t xml:space="preserve"> </w:t>
            </w:r>
            <w:r>
              <w:rPr>
                <w:rFonts w:eastAsia="SimSun"/>
                <w:b/>
                <w:bCs/>
                <w:i/>
              </w:rPr>
              <w:t>8</w:t>
            </w:r>
            <w:r>
              <w:rPr>
                <w:rFonts w:eastAsia="SimSun" w:hint="eastAsia"/>
                <w:b/>
                <w:bCs/>
                <w:i/>
              </w:rPr>
              <w:t>:</w:t>
            </w:r>
            <w:r>
              <w:rPr>
                <w:rFonts w:eastAsia="SimSun"/>
                <w:b/>
                <w:bCs/>
                <w:i/>
              </w:rPr>
              <w:t xml:space="preserve"> Performance requirement in Table 8 should be considered for HRC-s evaluation towards IMT-2020 submission.</w:t>
            </w:r>
          </w:p>
          <w:p w14:paraId="351F42E5" w14:textId="77777777" w:rsidR="00EF613A" w:rsidRDefault="00C11C58">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SimSun"/>
                <w:b/>
                <w:bCs/>
                <w:i/>
              </w:rPr>
              <w:t>Proposal</w:t>
            </w:r>
            <w:r>
              <w:rPr>
                <w:rFonts w:eastAsia="SimSun" w:hint="eastAsia"/>
                <w:b/>
                <w:bCs/>
                <w:i/>
              </w:rPr>
              <w:t xml:space="preserve"> </w:t>
            </w:r>
            <w:r>
              <w:rPr>
                <w:rFonts w:eastAsia="SimSun"/>
                <w:b/>
                <w:bCs/>
                <w:i/>
              </w:rPr>
              <w:t>9</w:t>
            </w:r>
            <w:r>
              <w:rPr>
                <w:rFonts w:eastAsia="SimSun" w:hint="eastAsia"/>
                <w:b/>
                <w:bCs/>
                <w:i/>
              </w:rPr>
              <w:t>:</w:t>
            </w:r>
            <w:r>
              <w:rPr>
                <w:rFonts w:eastAsia="SimSun"/>
                <w:b/>
                <w:bCs/>
                <w:i/>
              </w:rPr>
              <w:t xml:space="preserve"> The evaluation method for URLLC reliability with enhancements can be considered as a starting point for HRC-s evaluation towards IMT-2020 submission.</w:t>
            </w:r>
          </w:p>
          <w:p w14:paraId="0B561693"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11D1E056"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shd w:val="clear" w:color="auto" w:fill="D9E2F3" w:themeFill="accent1" w:themeFillTint="33"/>
          </w:tcPr>
          <w:p w14:paraId="7BB0B341" w14:textId="77777777" w:rsidR="00EF613A" w:rsidRDefault="00436EC9">
            <w:pPr>
              <w:spacing w:after="0"/>
              <w:rPr>
                <w:rFonts w:ascii="Arial" w:hAnsi="Arial" w:cs="Arial"/>
                <w:b w:val="0"/>
                <w:bCs w:val="0"/>
                <w:color w:val="0000FF"/>
                <w:sz w:val="16"/>
                <w:szCs w:val="16"/>
                <w:u w:val="single"/>
                <w:lang w:val="en-US"/>
              </w:rPr>
            </w:pPr>
            <w:hyperlink r:id="rId33" w:tgtFrame="_parent" w:history="1">
              <w:r w:rsidR="00C11C58">
                <w:rPr>
                  <w:rFonts w:ascii="Arial" w:hAnsi="Arial" w:cs="Arial"/>
                  <w:color w:val="0000FF"/>
                  <w:sz w:val="16"/>
                  <w:szCs w:val="16"/>
                  <w:u w:val="single"/>
                  <w:lang w:val="en-US"/>
                </w:rPr>
                <w:t>R1-2302873</w:t>
              </w:r>
            </w:hyperlink>
          </w:p>
        </w:tc>
        <w:tc>
          <w:tcPr>
            <w:tcW w:w="3780" w:type="dxa"/>
            <w:shd w:val="clear" w:color="auto" w:fill="D9E2F3" w:themeFill="accent1" w:themeFillTint="33"/>
          </w:tcPr>
          <w:p w14:paraId="44D9BDA0"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Assumptions for the Self-Evaluation for the Satellite Component of IMT-2020</w:t>
            </w:r>
          </w:p>
        </w:tc>
        <w:tc>
          <w:tcPr>
            <w:tcW w:w="1800" w:type="dxa"/>
            <w:shd w:val="clear" w:color="auto" w:fill="D9E2F3" w:themeFill="accent1" w:themeFillTint="33"/>
          </w:tcPr>
          <w:p w14:paraId="704C6FA0"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Ericsson, Qualcomm, Thales</w:t>
            </w:r>
          </w:p>
        </w:tc>
        <w:tc>
          <w:tcPr>
            <w:tcW w:w="6295" w:type="dxa"/>
            <w:shd w:val="clear" w:color="auto" w:fill="D9E2F3" w:themeFill="accent1" w:themeFillTint="33"/>
          </w:tcPr>
          <w:p w14:paraId="3F63386C" w14:textId="77777777" w:rsidR="00EF613A" w:rsidRDefault="00C11C58">
            <w:pPr>
              <w:pStyle w:val="Proposal"/>
              <w:cnfStyle w:val="000000000000" w:firstRow="0" w:lastRow="0" w:firstColumn="0" w:lastColumn="0" w:oddVBand="0" w:evenVBand="0" w:oddHBand="0" w:evenHBand="0" w:firstRowFirstColumn="0" w:firstRowLastColumn="0" w:lastRowFirstColumn="0" w:lastRowLastColumn="0"/>
            </w:pPr>
            <w:bookmarkStart w:id="5" w:name="_Toc131586922"/>
            <w:r>
              <w:t>The evaluation assumptions in the enclosed tables are endorsed.</w:t>
            </w:r>
            <w:bookmarkEnd w:id="5"/>
          </w:p>
          <w:p w14:paraId="5C786545"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624774FC"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tcPr>
          <w:p w14:paraId="3B97F5AB" w14:textId="77777777" w:rsidR="00EF613A" w:rsidRDefault="00436EC9">
            <w:pPr>
              <w:spacing w:after="0"/>
              <w:rPr>
                <w:rFonts w:ascii="Arial" w:hAnsi="Arial" w:cs="Arial"/>
                <w:b w:val="0"/>
                <w:bCs w:val="0"/>
                <w:color w:val="0000FF"/>
                <w:sz w:val="16"/>
                <w:szCs w:val="16"/>
                <w:u w:val="single"/>
                <w:lang w:val="en-US"/>
              </w:rPr>
            </w:pPr>
            <w:hyperlink r:id="rId34" w:tgtFrame="_parent" w:history="1">
              <w:r w:rsidR="00C11C58">
                <w:rPr>
                  <w:rFonts w:ascii="Arial" w:hAnsi="Arial" w:cs="Arial"/>
                  <w:color w:val="0000FF"/>
                  <w:sz w:val="16"/>
                  <w:szCs w:val="16"/>
                  <w:u w:val="single"/>
                  <w:lang w:val="en-US"/>
                </w:rPr>
                <w:t>R1-2303157</w:t>
              </w:r>
            </w:hyperlink>
          </w:p>
        </w:tc>
        <w:tc>
          <w:tcPr>
            <w:tcW w:w="3780" w:type="dxa"/>
          </w:tcPr>
          <w:p w14:paraId="4FB88453"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On evaluation methodology for IMT-2020 Satellite</w:t>
            </w:r>
          </w:p>
        </w:tc>
        <w:tc>
          <w:tcPr>
            <w:tcW w:w="1800" w:type="dxa"/>
          </w:tcPr>
          <w:p w14:paraId="74B950DF"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Samsung</w:t>
            </w:r>
          </w:p>
        </w:tc>
        <w:tc>
          <w:tcPr>
            <w:tcW w:w="6295" w:type="dxa"/>
          </w:tcPr>
          <w:p w14:paraId="04606A5C"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b/>
                <w:u w:val="single"/>
              </w:rPr>
            </w:pPr>
            <w:r>
              <w:rPr>
                <w:b/>
                <w:u w:val="single"/>
              </w:rPr>
              <w:t xml:space="preserve">Observation 1:  The minimum requirements for peak data rate and spectral efficiency can be met when assuming proper configuration(s).   </w:t>
            </w:r>
          </w:p>
          <w:p w14:paraId="01DCFBE8"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lang w:eastAsia="ko-KR"/>
              </w:rPr>
            </w:pPr>
            <w:r>
              <w:rPr>
                <w:b/>
                <w:u w:val="single"/>
              </w:rPr>
              <w:lastRenderedPageBreak/>
              <w:t>Observation 2:  The DL minimum requirements for peak data rate and spectral efficiency can be met if at least 22 MCS level can be achieved in NTN with 30MHz when assuming that the number of carriers and layers are 1.</w:t>
            </w:r>
          </w:p>
          <w:p w14:paraId="15B89467"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lang w:eastAsia="ko-KR"/>
              </w:rPr>
            </w:pPr>
            <w:r>
              <w:rPr>
                <w:b/>
                <w:u w:val="single"/>
              </w:rPr>
              <w:t>Observation 3:  The UL minimum requirements for peak data rate and spectral efficiency can be met if at least 13 MCS level can be achieved in NTN with 1.44MHz when assuming that the number of carriers and layers are 1.</w:t>
            </w:r>
          </w:p>
          <w:p w14:paraId="6521F1D5"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2C8D569D"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shd w:val="clear" w:color="auto" w:fill="D9E2F3" w:themeFill="accent1" w:themeFillTint="33"/>
          </w:tcPr>
          <w:p w14:paraId="6A5FC402" w14:textId="77777777" w:rsidR="00EF613A" w:rsidRDefault="00436EC9">
            <w:pPr>
              <w:spacing w:after="0"/>
              <w:rPr>
                <w:rFonts w:ascii="Arial" w:hAnsi="Arial" w:cs="Arial"/>
                <w:b w:val="0"/>
                <w:bCs w:val="0"/>
                <w:color w:val="0000FF"/>
                <w:sz w:val="16"/>
                <w:szCs w:val="16"/>
                <w:u w:val="single"/>
                <w:lang w:val="en-US"/>
              </w:rPr>
            </w:pPr>
            <w:hyperlink r:id="rId35" w:tgtFrame="_parent" w:history="1">
              <w:r w:rsidR="00C11C58">
                <w:rPr>
                  <w:rFonts w:ascii="Arial" w:hAnsi="Arial" w:cs="Arial"/>
                  <w:color w:val="0000FF"/>
                  <w:sz w:val="16"/>
                  <w:szCs w:val="16"/>
                  <w:u w:val="single"/>
                  <w:lang w:val="en-US"/>
                </w:rPr>
                <w:t>R1-2303299</w:t>
              </w:r>
            </w:hyperlink>
          </w:p>
        </w:tc>
        <w:tc>
          <w:tcPr>
            <w:tcW w:w="3780" w:type="dxa"/>
            <w:shd w:val="clear" w:color="auto" w:fill="D9E2F3" w:themeFill="accent1" w:themeFillTint="33"/>
          </w:tcPr>
          <w:p w14:paraId="76EF601B"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Discussion on the evaluation methodology of Self-Evaluation towards the 3GPP submission of a IMT-2020 Satellite</w:t>
            </w:r>
          </w:p>
        </w:tc>
        <w:tc>
          <w:tcPr>
            <w:tcW w:w="1800" w:type="dxa"/>
            <w:shd w:val="clear" w:color="auto" w:fill="D9E2F3" w:themeFill="accent1" w:themeFillTint="33"/>
          </w:tcPr>
          <w:p w14:paraId="5846F4C7"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ZTE</w:t>
            </w:r>
          </w:p>
        </w:tc>
        <w:tc>
          <w:tcPr>
            <w:tcW w:w="6295" w:type="dxa"/>
            <w:shd w:val="clear" w:color="auto" w:fill="D9E2F3" w:themeFill="accent1" w:themeFillTint="33"/>
          </w:tcPr>
          <w:p w14:paraId="352951A2" w14:textId="77777777" w:rsidR="00EF613A" w:rsidRDefault="00C11C58">
            <w:pPr>
              <w:numPr>
                <w:ilvl w:val="255"/>
                <w:numId w:val="0"/>
              </w:numPr>
              <w:adjustRightInd w:val="0"/>
              <w:snapToGrid w:val="0"/>
              <w:spacing w:beforeLines="50" w:before="120" w:afterLines="50" w:after="120"/>
              <w:cnfStyle w:val="000000000000" w:firstRow="0" w:lastRow="0" w:firstColumn="0" w:lastColumn="0" w:oddVBand="0" w:evenVBand="0" w:oddHBand="0" w:evenHBand="0" w:firstRowFirstColumn="0" w:firstRowLastColumn="0" w:lastRowFirstColumn="0" w:lastRowLastColumn="0"/>
              <w:rPr>
                <w:rFonts w:eastAsia="SimSun"/>
                <w:i/>
                <w:lang w:eastAsia="zh-CN"/>
              </w:rPr>
            </w:pPr>
            <w:r>
              <w:rPr>
                <w:rFonts w:eastAsia="SimSun" w:hint="eastAsia"/>
                <w:b/>
                <w:bCs/>
                <w:i/>
                <w:iCs/>
                <w:lang w:eastAsia="zh-CN"/>
              </w:rPr>
              <w:t>Proposal 1:</w:t>
            </w:r>
            <w:r>
              <w:rPr>
                <w:rFonts w:eastAsia="SimSun" w:hint="eastAsia"/>
                <w:i/>
                <w:iCs/>
                <w:lang w:eastAsia="zh-CN"/>
              </w:rPr>
              <w:t xml:space="preserve"> The test environment is Rural for all usage scenarios, and channel model for Rural in sector 6.6.6 and 6.6.7.2 in [3] can be used.</w:t>
            </w:r>
          </w:p>
          <w:p w14:paraId="0D2D7771" w14:textId="77777777" w:rsidR="00EF613A" w:rsidRDefault="00C11C58">
            <w:pPr>
              <w:numPr>
                <w:ilvl w:val="255"/>
                <w:numId w:val="0"/>
              </w:numPr>
              <w:adjustRightInd w:val="0"/>
              <w:snapToGrid w:val="0"/>
              <w:spacing w:beforeLines="50" w:before="120" w:afterLines="50" w:after="120"/>
              <w:cnfStyle w:val="000000000000" w:firstRow="0" w:lastRow="0" w:firstColumn="0" w:lastColumn="0" w:oddVBand="0" w:evenVBand="0" w:oddHBand="0" w:evenHBand="0" w:firstRowFirstColumn="0" w:firstRowLastColumn="0" w:lastRowFirstColumn="0" w:lastRowLastColumn="0"/>
              <w:rPr>
                <w:rFonts w:eastAsia="SimSun"/>
                <w:i/>
                <w:lang w:eastAsia="zh-CN"/>
              </w:rPr>
            </w:pPr>
            <w:r>
              <w:rPr>
                <w:rFonts w:eastAsia="SimSun" w:hint="eastAsia"/>
                <w:b/>
                <w:bCs/>
                <w:i/>
                <w:lang w:eastAsia="zh-CN"/>
              </w:rPr>
              <w:t>Proposal 2:</w:t>
            </w:r>
            <w:r>
              <w:rPr>
                <w:rFonts w:eastAsia="SimSun" w:hint="eastAsia"/>
                <w:i/>
                <w:lang w:eastAsia="zh-CN"/>
              </w:rPr>
              <w:t xml:space="preserve"> Evaluation for handheld terminals and S-band should be considered as the baseline.</w:t>
            </w:r>
          </w:p>
          <w:p w14:paraId="244BD762" w14:textId="77777777" w:rsidR="00EF613A" w:rsidRDefault="00C11C58">
            <w:pPr>
              <w:pStyle w:val="maintext"/>
              <w:ind w:firstLineChars="0" w:firstLine="0"/>
              <w:cnfStyle w:val="000000000000" w:firstRow="0" w:lastRow="0" w:firstColumn="0" w:lastColumn="0" w:oddVBand="0" w:evenVBand="0" w:oddHBand="0" w:evenHBand="0" w:firstRowFirstColumn="0" w:firstRowLastColumn="0" w:lastRowFirstColumn="0" w:lastRowLastColumn="0"/>
              <w:rPr>
                <w:rFonts w:eastAsia="SimSun"/>
                <w:i/>
                <w:iCs/>
                <w:lang w:eastAsia="zh-CN"/>
              </w:rPr>
            </w:pPr>
            <w:r>
              <w:rPr>
                <w:rFonts w:eastAsia="SimSun" w:hint="eastAsia"/>
                <w:b/>
                <w:bCs/>
                <w:i/>
                <w:iCs/>
                <w:lang w:eastAsia="zh-CN"/>
              </w:rPr>
              <w:t>Proposal 3:</w:t>
            </w:r>
            <w:r>
              <w:rPr>
                <w:rFonts w:eastAsia="SimSun" w:hint="eastAsia"/>
                <w:i/>
                <w:iCs/>
                <w:lang w:eastAsia="zh-CN"/>
              </w:rPr>
              <w:t xml:space="preserve"> </w:t>
            </w:r>
            <w:r>
              <w:rPr>
                <w:rFonts w:eastAsia="SimSun"/>
                <w:i/>
                <w:iCs/>
                <w:lang w:eastAsia="zh-CN"/>
              </w:rPr>
              <w:t>The assumption listed in</w:t>
            </w:r>
            <w:r>
              <w:rPr>
                <w:rFonts w:eastAsia="SimSun" w:hint="eastAsia"/>
                <w:i/>
                <w:iCs/>
                <w:lang w:eastAsia="zh-CN"/>
              </w:rPr>
              <w:t xml:space="preserve"> </w:t>
            </w:r>
            <w:r>
              <w:rPr>
                <w:rFonts w:eastAsia="SimSun" w:hint="eastAsia"/>
                <w:i/>
                <w:iCs/>
                <w:lang w:eastAsia="zh-CN"/>
              </w:rPr>
              <w:fldChar w:fldCharType="begin"/>
            </w:r>
            <w:r>
              <w:rPr>
                <w:rFonts w:eastAsia="SimSun" w:hint="eastAsia"/>
                <w:i/>
                <w:iCs/>
                <w:lang w:eastAsia="zh-CN"/>
              </w:rPr>
              <w:instrText xml:space="preserve"> REF _Ref19307 \h </w:instrText>
            </w:r>
            <w:r>
              <w:rPr>
                <w:rFonts w:eastAsia="SimSun"/>
                <w:i/>
                <w:iCs/>
                <w:lang w:eastAsia="zh-CN"/>
              </w:rPr>
              <w:instrText xml:space="preserve"> \* MERGEFORMAT </w:instrText>
            </w:r>
            <w:r>
              <w:rPr>
                <w:rFonts w:eastAsia="SimSun" w:hint="eastAsia"/>
                <w:i/>
                <w:iCs/>
                <w:lang w:eastAsia="zh-CN"/>
              </w:rPr>
            </w:r>
            <w:r>
              <w:rPr>
                <w:rFonts w:eastAsia="SimSun" w:hint="eastAsia"/>
                <w:i/>
                <w:iCs/>
                <w:lang w:eastAsia="zh-CN"/>
              </w:rPr>
              <w:fldChar w:fldCharType="separate"/>
            </w:r>
            <w:r>
              <w:rPr>
                <w:i/>
                <w:iCs/>
              </w:rPr>
              <w:t>Table 1-4</w:t>
            </w:r>
            <w:r>
              <w:rPr>
                <w:rFonts w:eastAsia="SimSun" w:hint="eastAsia"/>
                <w:i/>
                <w:iCs/>
                <w:lang w:eastAsia="zh-CN"/>
              </w:rPr>
              <w:fldChar w:fldCharType="end"/>
            </w:r>
            <w:r>
              <w:rPr>
                <w:rFonts w:eastAsia="SimSun"/>
                <w:i/>
                <w:iCs/>
                <w:lang w:eastAsia="zh-CN"/>
              </w:rPr>
              <w:t xml:space="preserve"> should be considered as</w:t>
            </w:r>
            <w:r>
              <w:rPr>
                <w:rFonts w:eastAsia="SimSun" w:hint="eastAsia"/>
                <w:i/>
                <w:iCs/>
                <w:lang w:eastAsia="zh-CN"/>
              </w:rPr>
              <w:t xml:space="preserve"> the baseline of parameters for self-evaluation.</w:t>
            </w:r>
          </w:p>
          <w:p w14:paraId="0C92A053" w14:textId="77777777" w:rsidR="00EF613A" w:rsidRDefault="00C11C58">
            <w:pPr>
              <w:numPr>
                <w:ilvl w:val="255"/>
                <w:numId w:val="0"/>
              </w:numPr>
              <w:adjustRightInd w:val="0"/>
              <w:snapToGrid w:val="0"/>
              <w:spacing w:beforeLines="50" w:before="120" w:afterLines="50" w:after="120"/>
              <w:cnfStyle w:val="000000000000" w:firstRow="0" w:lastRow="0" w:firstColumn="0" w:lastColumn="0" w:oddVBand="0" w:evenVBand="0" w:oddHBand="0" w:evenHBand="0" w:firstRowFirstColumn="0" w:firstRowLastColumn="0" w:lastRowFirstColumn="0" w:lastRowLastColumn="0"/>
              <w:rPr>
                <w:rFonts w:eastAsia="SimSun"/>
                <w:i/>
                <w:iCs/>
                <w:lang w:eastAsia="zh-CN"/>
              </w:rPr>
            </w:pPr>
            <w:r>
              <w:rPr>
                <w:rFonts w:eastAsia="SimSun" w:hint="eastAsia"/>
                <w:b/>
                <w:bCs/>
                <w:i/>
                <w:lang w:eastAsia="zh-CN"/>
              </w:rPr>
              <w:t>Proposal 4:</w:t>
            </w:r>
            <w:r>
              <w:rPr>
                <w:rFonts w:eastAsia="SimSun" w:hint="eastAsia"/>
                <w:i/>
                <w:lang w:eastAsia="zh-CN"/>
              </w:rPr>
              <w:t xml:space="preserve"> For peak data rate and peak spectral efficiency evaluation, VSAT and Ka-band with up to 400 MHz should be considered. For other characteristics, handheld and S-band with up to 30 MHz should be considered.</w:t>
            </w:r>
          </w:p>
          <w:p w14:paraId="701D3BD5"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4B0F3AB1"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tcPr>
          <w:p w14:paraId="45407ECE" w14:textId="77777777" w:rsidR="00EF613A" w:rsidRDefault="00436EC9">
            <w:pPr>
              <w:spacing w:after="0"/>
              <w:rPr>
                <w:rFonts w:ascii="Arial" w:hAnsi="Arial" w:cs="Arial"/>
                <w:b w:val="0"/>
                <w:bCs w:val="0"/>
                <w:color w:val="0000FF"/>
                <w:sz w:val="16"/>
                <w:szCs w:val="16"/>
                <w:u w:val="single"/>
                <w:lang w:val="en-US"/>
              </w:rPr>
            </w:pPr>
            <w:hyperlink r:id="rId36" w:tgtFrame="_parent" w:history="1">
              <w:r w:rsidR="00C11C58">
                <w:rPr>
                  <w:rFonts w:ascii="Arial" w:hAnsi="Arial" w:cs="Arial"/>
                  <w:color w:val="0000FF"/>
                  <w:sz w:val="16"/>
                  <w:szCs w:val="16"/>
                  <w:u w:val="single"/>
                  <w:lang w:val="en-US"/>
                </w:rPr>
                <w:t>R1-2303346</w:t>
              </w:r>
            </w:hyperlink>
          </w:p>
        </w:tc>
        <w:tc>
          <w:tcPr>
            <w:tcW w:w="3780" w:type="dxa"/>
          </w:tcPr>
          <w:p w14:paraId="564D8066"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Evaluation methodology for IMT-2020 satellite</w:t>
            </w:r>
          </w:p>
        </w:tc>
        <w:tc>
          <w:tcPr>
            <w:tcW w:w="1800" w:type="dxa"/>
          </w:tcPr>
          <w:p w14:paraId="7643A18B"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MediaTek Inc.</w:t>
            </w:r>
          </w:p>
        </w:tc>
        <w:tc>
          <w:tcPr>
            <w:tcW w:w="6295" w:type="dxa"/>
          </w:tcPr>
          <w:p w14:paraId="1B993F32" w14:textId="77777777" w:rsidR="00EF613A" w:rsidRDefault="00C11C58">
            <w:pPr>
              <w:spacing w:after="160" w:line="257"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Pr>
                <w:rFonts w:asciiTheme="minorHAnsi" w:hAnsiTheme="minorHAnsi" w:cstheme="minorHAnsi"/>
                <w:b/>
                <w:bCs/>
                <w:sz w:val="22"/>
                <w:szCs w:val="22"/>
                <w:u w:val="single"/>
              </w:rPr>
              <w:t>Observation 1</w:t>
            </w:r>
            <w:r>
              <w:rPr>
                <w:rFonts w:asciiTheme="minorHAnsi" w:hAnsiTheme="minorHAnsi" w:cstheme="minorHAnsi"/>
                <w:b/>
                <w:bCs/>
                <w:sz w:val="22"/>
                <w:szCs w:val="22"/>
              </w:rPr>
              <w:t>: While many parameters seem to be reusable from past evaluations, further confirmation is needed. In particular, the “channel modelling” details need further discussion.</w:t>
            </w:r>
          </w:p>
          <w:p w14:paraId="611A11A4"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Pr>
                <w:rFonts w:asciiTheme="minorHAnsi" w:hAnsiTheme="minorHAnsi" w:cstheme="minorHAnsi"/>
                <w:b/>
                <w:bCs/>
                <w:sz w:val="22"/>
                <w:szCs w:val="22"/>
                <w:u w:val="single"/>
              </w:rPr>
              <w:t>Proposal 1</w:t>
            </w:r>
            <w:r>
              <w:rPr>
                <w:rFonts w:asciiTheme="minorHAnsi" w:hAnsiTheme="minorHAnsi" w:cstheme="minorHAnsi"/>
                <w:b/>
                <w:bCs/>
                <w:sz w:val="22"/>
                <w:szCs w:val="22"/>
              </w:rPr>
              <w:t>: Consider the IoT NTN Connection Density parameters for “System-level” simulation (section 2.2) and “Link-level” simulations (section 2.3) in this document as a starting point for further discussion and refinement during RAN1#112bis-e.</w:t>
            </w:r>
          </w:p>
          <w:p w14:paraId="4023AE6C"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Pr>
                <w:rFonts w:asciiTheme="minorHAnsi" w:hAnsiTheme="minorHAnsi" w:cstheme="minorHAnsi"/>
                <w:b/>
                <w:bCs/>
                <w:sz w:val="22"/>
                <w:szCs w:val="22"/>
                <w:u w:val="single"/>
              </w:rPr>
              <w:t>Proposal 2</w:t>
            </w:r>
            <w:r>
              <w:rPr>
                <w:rFonts w:asciiTheme="minorHAnsi" w:hAnsiTheme="minorHAnsi" w:cstheme="minorHAnsi"/>
                <w:b/>
                <w:bCs/>
                <w:sz w:val="22"/>
                <w:szCs w:val="22"/>
              </w:rPr>
              <w:t>: Consider the Connection Density simulation process in this document as a starting point for IoT NTN Connection Density.</w:t>
            </w:r>
          </w:p>
          <w:p w14:paraId="33E74A04"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5BCFD5BC"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shd w:val="clear" w:color="auto" w:fill="D9E2F3" w:themeFill="accent1" w:themeFillTint="33"/>
          </w:tcPr>
          <w:p w14:paraId="224B7DD5" w14:textId="77777777" w:rsidR="00EF613A" w:rsidRDefault="00436EC9">
            <w:pPr>
              <w:spacing w:after="0"/>
              <w:rPr>
                <w:rFonts w:ascii="Arial" w:hAnsi="Arial" w:cs="Arial"/>
                <w:b w:val="0"/>
                <w:bCs w:val="0"/>
                <w:color w:val="0000FF"/>
                <w:sz w:val="16"/>
                <w:szCs w:val="16"/>
                <w:u w:val="single"/>
                <w:lang w:val="en-US"/>
              </w:rPr>
            </w:pPr>
            <w:hyperlink r:id="rId37" w:tgtFrame="_parent" w:history="1">
              <w:r w:rsidR="00C11C58">
                <w:rPr>
                  <w:rFonts w:ascii="Arial" w:hAnsi="Arial" w:cs="Arial"/>
                  <w:color w:val="0000FF"/>
                  <w:sz w:val="16"/>
                  <w:szCs w:val="16"/>
                  <w:u w:val="single"/>
                  <w:lang w:val="en-US"/>
                </w:rPr>
                <w:t>R1-2303619</w:t>
              </w:r>
            </w:hyperlink>
          </w:p>
        </w:tc>
        <w:tc>
          <w:tcPr>
            <w:tcW w:w="3780" w:type="dxa"/>
            <w:shd w:val="clear" w:color="auto" w:fill="D9E2F3" w:themeFill="accent1" w:themeFillTint="33"/>
          </w:tcPr>
          <w:p w14:paraId="45270C93"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eMBB Spectral Efficiency SLS parameters and assumptions</w:t>
            </w:r>
          </w:p>
        </w:tc>
        <w:tc>
          <w:tcPr>
            <w:tcW w:w="1800" w:type="dxa"/>
            <w:shd w:val="clear" w:color="auto" w:fill="D9E2F3" w:themeFill="accent1" w:themeFillTint="33"/>
          </w:tcPr>
          <w:p w14:paraId="061A4616"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Qualcomm Incorporated, Thales</w:t>
            </w:r>
          </w:p>
        </w:tc>
        <w:tc>
          <w:tcPr>
            <w:tcW w:w="6295" w:type="dxa"/>
            <w:shd w:val="clear" w:color="auto" w:fill="D9E2F3" w:themeFill="accent1" w:themeFillTint="33"/>
          </w:tcPr>
          <w:p w14:paraId="38FF75F0" w14:textId="77777777" w:rsidR="00EF613A" w:rsidRDefault="00C11C58">
            <w:pPr>
              <w:pStyle w:val="ac"/>
              <w:tabs>
                <w:tab w:val="right" w:leader="dot" w:pos="9629"/>
              </w:tabs>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sz w:val="22"/>
                <w:szCs w:val="22"/>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131586922" w:history="1">
              <w:r>
                <w:rPr>
                  <w:rStyle w:val="af2"/>
                </w:rPr>
                <w:t>Proposal 1</w:t>
              </w:r>
              <w:r>
                <w:rPr>
                  <w:rFonts w:asciiTheme="minorHAnsi" w:eastAsiaTheme="minorEastAsia" w:hAnsiTheme="minorHAnsi" w:cstheme="minorBidi"/>
                  <w:b w:val="0"/>
                  <w:sz w:val="22"/>
                  <w:szCs w:val="22"/>
                </w:rPr>
                <w:tab/>
              </w:r>
              <w:r>
                <w:rPr>
                  <w:rStyle w:val="af2"/>
                </w:rPr>
                <w:t>The evaluation parameters and assumptions described in sec 2.1 and 2.2 should be endorsed, as baseline for the simulation of eMBB spectral efficiency TPRs for NR-NTN IMT-2020 self-evaluation.</w:t>
              </w:r>
            </w:hyperlink>
          </w:p>
          <w:p w14:paraId="3B5C37A7"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b/>
                <w:bCs/>
              </w:rPr>
              <w:fldChar w:fldCharType="end"/>
            </w:r>
          </w:p>
        </w:tc>
      </w:tr>
      <w:tr w:rsidR="00EF613A" w14:paraId="4AFEF3AF"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tcPr>
          <w:p w14:paraId="4F4785DB" w14:textId="77777777" w:rsidR="00EF613A" w:rsidRDefault="00436EC9">
            <w:pPr>
              <w:spacing w:after="0"/>
              <w:rPr>
                <w:rFonts w:ascii="Arial" w:hAnsi="Arial" w:cs="Arial"/>
                <w:b w:val="0"/>
                <w:bCs w:val="0"/>
                <w:color w:val="0000FF"/>
                <w:sz w:val="16"/>
                <w:szCs w:val="16"/>
                <w:u w:val="single"/>
                <w:lang w:val="en-US"/>
              </w:rPr>
            </w:pPr>
            <w:hyperlink r:id="rId38" w:tgtFrame="_parent" w:history="1">
              <w:r w:rsidR="00C11C58">
                <w:rPr>
                  <w:rFonts w:ascii="Arial" w:hAnsi="Arial" w:cs="Arial"/>
                  <w:color w:val="0000FF"/>
                  <w:sz w:val="16"/>
                  <w:szCs w:val="16"/>
                  <w:u w:val="single"/>
                  <w:lang w:val="en-US"/>
                </w:rPr>
                <w:t>R1-2303626</w:t>
              </w:r>
            </w:hyperlink>
          </w:p>
        </w:tc>
        <w:tc>
          <w:tcPr>
            <w:tcW w:w="3780" w:type="dxa"/>
          </w:tcPr>
          <w:p w14:paraId="05E7065E"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Discussion on simulation assumptions for self-evaluation of IMT-2020 satellite radio interface technology</w:t>
            </w:r>
          </w:p>
        </w:tc>
        <w:tc>
          <w:tcPr>
            <w:tcW w:w="1800" w:type="dxa"/>
          </w:tcPr>
          <w:p w14:paraId="0AEBF588"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Panasonic</w:t>
            </w:r>
          </w:p>
        </w:tc>
        <w:tc>
          <w:tcPr>
            <w:tcW w:w="6295" w:type="dxa"/>
          </w:tcPr>
          <w:p w14:paraId="19370A6C" w14:textId="77777777" w:rsidR="00EF613A" w:rsidRDefault="00C11C58">
            <w:pPr>
              <w:cnfStyle w:val="000000000000" w:firstRow="0" w:lastRow="0" w:firstColumn="0" w:lastColumn="0" w:oddVBand="0" w:evenVBand="0" w:oddHBand="0" w:evenHBand="0" w:firstRowFirstColumn="0" w:firstRowLastColumn="0" w:lastRowFirstColumn="0" w:lastRowLastColumn="0"/>
              <w:rPr>
                <w:b/>
                <w:bCs/>
                <w:lang w:val="en-US" w:eastAsia="ja-JP"/>
              </w:rPr>
            </w:pPr>
            <w:r>
              <w:rPr>
                <w:b/>
                <w:bCs/>
                <w:lang w:val="en-US" w:eastAsia="ja-JP"/>
              </w:rPr>
              <w:t xml:space="preserve">Proposal 1: Evaluation with handheld terminal should be prioritized. </w:t>
            </w:r>
          </w:p>
          <w:p w14:paraId="6F97848F" w14:textId="77777777" w:rsidR="00EF613A" w:rsidRDefault="00C11C58">
            <w:pPr>
              <w:cnfStyle w:val="000000000000" w:firstRow="0" w:lastRow="0" w:firstColumn="0" w:lastColumn="0" w:oddVBand="0" w:evenVBand="0" w:oddHBand="0" w:evenHBand="0" w:firstRowFirstColumn="0" w:firstRowLastColumn="0" w:lastRowFirstColumn="0" w:lastRowLastColumn="0"/>
              <w:rPr>
                <w:b/>
                <w:bCs/>
                <w:lang w:val="en-US" w:eastAsia="ja-JP"/>
              </w:rPr>
            </w:pPr>
            <w:r>
              <w:rPr>
                <w:b/>
                <w:bCs/>
                <w:lang w:val="en-US" w:eastAsia="ja-JP"/>
              </w:rPr>
              <w:t xml:space="preserve">Proposal 2: Frequency band 2GHz and LEO 600km should be assumed for the evaluation. </w:t>
            </w:r>
          </w:p>
          <w:p w14:paraId="22C54C0D" w14:textId="77777777" w:rsidR="00EF613A" w:rsidRDefault="00C11C58">
            <w:pPr>
              <w:cnfStyle w:val="000000000000" w:firstRow="0" w:lastRow="0" w:firstColumn="0" w:lastColumn="0" w:oddVBand="0" w:evenVBand="0" w:oddHBand="0" w:evenHBand="0" w:firstRowFirstColumn="0" w:firstRowLastColumn="0" w:lastRowFirstColumn="0" w:lastRowLastColumn="0"/>
              <w:rPr>
                <w:b/>
                <w:bCs/>
                <w:lang w:eastAsia="ja-JP"/>
              </w:rPr>
            </w:pPr>
            <w:r>
              <w:rPr>
                <w:rFonts w:hint="eastAsia"/>
                <w:b/>
                <w:bCs/>
                <w:lang w:eastAsia="ja-JP"/>
              </w:rPr>
              <w:t>P</w:t>
            </w:r>
            <w:r>
              <w:rPr>
                <w:b/>
                <w:bCs/>
                <w:lang w:eastAsia="ja-JP"/>
              </w:rPr>
              <w:t>roposal 3: Satellite parameter set 1 in Table 6.1.1.1-1 of TR38.821 should be used for the evaluation.</w:t>
            </w:r>
          </w:p>
          <w:p w14:paraId="060349FF" w14:textId="77777777" w:rsidR="00EF613A" w:rsidRDefault="00C11C58">
            <w:pPr>
              <w:cnfStyle w:val="000000000000" w:firstRow="0" w:lastRow="0" w:firstColumn="0" w:lastColumn="0" w:oddVBand="0" w:evenVBand="0" w:oddHBand="0" w:evenHBand="0" w:firstRowFirstColumn="0" w:firstRowLastColumn="0" w:lastRowFirstColumn="0" w:lastRowLastColumn="0"/>
              <w:rPr>
                <w:b/>
                <w:bCs/>
                <w:lang w:eastAsia="ja-JP"/>
              </w:rPr>
            </w:pPr>
            <w:r>
              <w:rPr>
                <w:rFonts w:hint="eastAsia"/>
                <w:b/>
                <w:bCs/>
                <w:lang w:eastAsia="ja-JP"/>
              </w:rPr>
              <w:t>P</w:t>
            </w:r>
            <w:r>
              <w:rPr>
                <w:b/>
                <w:bCs/>
                <w:lang w:eastAsia="ja-JP"/>
              </w:rPr>
              <w:t xml:space="preserve">roposal 4: handheld terminal characteristics defined in </w:t>
            </w:r>
            <w:r>
              <w:rPr>
                <w:b/>
                <w:bCs/>
              </w:rPr>
              <w:t xml:space="preserve">Table 6.1.1.1-3 of TR38.821 should be used for the evaluation. </w:t>
            </w:r>
          </w:p>
          <w:p w14:paraId="473A62C0" w14:textId="77777777" w:rsidR="00EF613A" w:rsidRDefault="00C11C58">
            <w:pPr>
              <w:cnfStyle w:val="000000000000" w:firstRow="0" w:lastRow="0" w:firstColumn="0" w:lastColumn="0" w:oddVBand="0" w:evenVBand="0" w:oddHBand="0" w:evenHBand="0" w:firstRowFirstColumn="0" w:firstRowLastColumn="0" w:lastRowFirstColumn="0" w:lastRowLastColumn="0"/>
              <w:rPr>
                <w:b/>
                <w:bCs/>
                <w:lang w:val="en-US" w:eastAsia="ja-JP"/>
              </w:rPr>
            </w:pPr>
            <w:r>
              <w:rPr>
                <w:rFonts w:hint="eastAsia"/>
                <w:b/>
                <w:bCs/>
                <w:lang w:val="en-US" w:eastAsia="ja-JP"/>
              </w:rPr>
              <w:t>P</w:t>
            </w:r>
            <w:r>
              <w:rPr>
                <w:b/>
                <w:bCs/>
                <w:lang w:val="en-US" w:eastAsia="ja-JP"/>
              </w:rPr>
              <w:t xml:space="preserve">roposal 5: System level simulation assumptions defined in TR38.821 should be used for the evaluation. Full buffer traffic should be considered in order to satisfy the average spectral efficiency requirement. </w:t>
            </w:r>
          </w:p>
          <w:p w14:paraId="25EB328C"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p>
        </w:tc>
      </w:tr>
      <w:bookmarkEnd w:id="4"/>
    </w:tbl>
    <w:p w14:paraId="31D75DB6" w14:textId="77777777" w:rsidR="00EF613A" w:rsidRDefault="00EF613A"/>
    <w:p w14:paraId="2E32E07E" w14:textId="77777777" w:rsidR="00EF613A" w:rsidRDefault="00C11C58">
      <w:pPr>
        <w:pStyle w:val="1"/>
        <w:numPr>
          <w:ilvl w:val="0"/>
          <w:numId w:val="4"/>
        </w:numPr>
        <w:tabs>
          <w:tab w:val="left" w:pos="720"/>
        </w:tabs>
        <w:ind w:left="720" w:hanging="720"/>
        <w:jc w:val="both"/>
      </w:pPr>
      <w:r>
        <w:t>Annex – Study item objectives</w:t>
      </w:r>
    </w:p>
    <w:p w14:paraId="70DAFF49" w14:textId="77777777" w:rsidR="00EF613A" w:rsidRDefault="00C11C58">
      <w:r>
        <w:t>The contents of the “objective” section of the SID (</w:t>
      </w:r>
      <w:hyperlink r:id="rId39" w:history="1">
        <w:r>
          <w:rPr>
            <w:rStyle w:val="af2"/>
          </w:rPr>
          <w:t>RP-230736</w:t>
        </w:r>
      </w:hyperlink>
      <w:r>
        <w:t>) is pasted below for quick reference:</w:t>
      </w:r>
    </w:p>
    <w:p w14:paraId="1C809898" w14:textId="77777777" w:rsidR="00EF613A" w:rsidRDefault="00EF613A"/>
    <w:p w14:paraId="0C6AC97A" w14:textId="77777777" w:rsidR="00EF613A" w:rsidRDefault="00C11C58">
      <w:pPr>
        <w:spacing w:afterLines="50" w:after="120"/>
        <w:rPr>
          <w:lang w:val="en-US" w:eastAsia="zh-CN"/>
        </w:rPr>
      </w:pPr>
      <w:r>
        <w:rPr>
          <w:rFonts w:hint="eastAsia"/>
          <w:bCs/>
          <w:lang w:eastAsia="zh-CN"/>
        </w:rPr>
        <w:t xml:space="preserve">This study item will provide </w:t>
      </w:r>
      <w:r>
        <w:rPr>
          <w:bCs/>
          <w:lang w:eastAsia="zh-CN"/>
        </w:rPr>
        <w:t>the description of the self-evaluation</w:t>
      </w:r>
      <w:r>
        <w:rPr>
          <w:rFonts w:hint="eastAsia"/>
          <w:bCs/>
          <w:lang w:eastAsia="zh-CN"/>
        </w:rPr>
        <w:t xml:space="preserve"> </w:t>
      </w:r>
      <w:r>
        <w:rPr>
          <w:bCs/>
          <w:lang w:eastAsia="zh-CN"/>
        </w:rPr>
        <w:t>results</w:t>
      </w:r>
      <w:r>
        <w:rPr>
          <w:rFonts w:hint="eastAsia"/>
          <w:bCs/>
          <w:lang w:eastAsia="zh-CN"/>
        </w:rPr>
        <w:t xml:space="preserve"> towards </w:t>
      </w:r>
      <w:r>
        <w:rPr>
          <w:rFonts w:hint="eastAsia"/>
          <w:lang w:val="en-US" w:eastAsia="zh-CN"/>
        </w:rPr>
        <w:t xml:space="preserve">IMT-2020 submission to ITU-R WP </w:t>
      </w:r>
      <w:r>
        <w:rPr>
          <w:lang w:val="en-US" w:eastAsia="zh-CN"/>
        </w:rPr>
        <w:t>4B</w:t>
      </w:r>
      <w:r>
        <w:rPr>
          <w:rFonts w:hint="eastAsia"/>
          <w:lang w:val="en-US" w:eastAsia="zh-CN"/>
        </w:rPr>
        <w:t xml:space="preserve"> against the technical performance requirements defined by Report ITU-R M.</w:t>
      </w:r>
      <w:r>
        <w:rPr>
          <w:lang w:val="en-US" w:eastAsia="zh-CN"/>
        </w:rPr>
        <w:t>2514</w:t>
      </w:r>
      <w:r>
        <w:rPr>
          <w:rFonts w:hint="eastAsia"/>
          <w:lang w:val="en-US" w:eastAsia="zh-CN"/>
        </w:rPr>
        <w:t xml:space="preserve">, using the evaluation criteria defined in </w:t>
      </w:r>
      <w:r>
        <w:rPr>
          <w:lang w:val="en-US" w:eastAsia="zh-CN"/>
        </w:rPr>
        <w:t>the report</w:t>
      </w:r>
      <w:r>
        <w:rPr>
          <w:rFonts w:hint="eastAsia"/>
          <w:lang w:val="en-US" w:eastAsia="zh-CN"/>
        </w:rPr>
        <w:t xml:space="preserve">, and complete the </w:t>
      </w:r>
      <w:r>
        <w:rPr>
          <w:lang w:val="en-US" w:eastAsia="zh-CN"/>
        </w:rPr>
        <w:t xml:space="preserve">related </w:t>
      </w:r>
      <w:r>
        <w:rPr>
          <w:rFonts w:hint="eastAsia"/>
          <w:lang w:val="en-US" w:eastAsia="zh-CN"/>
        </w:rPr>
        <w:t>compliance template and description template</w:t>
      </w:r>
      <w:r>
        <w:rPr>
          <w:lang w:val="en-US" w:eastAsia="zh-CN"/>
        </w:rPr>
        <w:t>s</w:t>
      </w:r>
      <w:r>
        <w:rPr>
          <w:rFonts w:hint="eastAsia"/>
          <w:lang w:val="en-US" w:eastAsia="zh-CN"/>
        </w:rPr>
        <w:t xml:space="preserve">. </w:t>
      </w:r>
      <w:r>
        <w:rPr>
          <w:lang w:val="en-US" w:eastAsia="zh-CN"/>
        </w:rPr>
        <w:t>The c</w:t>
      </w:r>
      <w:r>
        <w:rPr>
          <w:rFonts w:hint="eastAsia"/>
          <w:lang w:val="en-US" w:eastAsia="zh-CN"/>
        </w:rPr>
        <w:t>andidate IMT-2020 RIT</w:t>
      </w:r>
      <w:r>
        <w:rPr>
          <w:lang w:val="en-US" w:eastAsia="zh-CN"/>
        </w:rPr>
        <w:t>/SRIT(s) submission</w:t>
      </w:r>
      <w:r>
        <w:rPr>
          <w:rFonts w:hint="eastAsia"/>
          <w:lang w:val="en-US" w:eastAsia="zh-CN"/>
        </w:rPr>
        <w:t xml:space="preserve"> by 3GPP</w:t>
      </w:r>
      <w:r>
        <w:rPr>
          <w:lang w:val="en-US" w:eastAsia="zh-CN"/>
        </w:rPr>
        <w:t xml:space="preserve"> based on Rel-17 NTN (including both NR NTN and IoT NTN),</w:t>
      </w:r>
      <w:r>
        <w:rPr>
          <w:rFonts w:hint="eastAsia"/>
          <w:lang w:val="en-US" w:eastAsia="zh-CN"/>
        </w:rPr>
        <w:t xml:space="preserve"> will be evaluated and </w:t>
      </w:r>
      <w:r>
        <w:rPr>
          <w:lang w:val="en-US" w:eastAsia="zh-CN"/>
        </w:rPr>
        <w:t>described as part of the study</w:t>
      </w:r>
      <w:r>
        <w:rPr>
          <w:rFonts w:hint="eastAsia"/>
          <w:lang w:val="en-US" w:eastAsia="zh-CN"/>
        </w:rPr>
        <w:t>.</w:t>
      </w:r>
    </w:p>
    <w:p w14:paraId="77C00105" w14:textId="77777777" w:rsidR="00EF613A" w:rsidRDefault="00C11C58">
      <w:pPr>
        <w:spacing w:after="0"/>
        <w:rPr>
          <w:bCs/>
          <w:lang w:eastAsia="zh-CN"/>
        </w:rPr>
      </w:pPr>
      <w:r>
        <w:rPr>
          <w:rFonts w:hint="eastAsia"/>
          <w:bCs/>
          <w:lang w:eastAsia="zh-CN"/>
        </w:rPr>
        <w:t>Detailed objectives of this study item include:</w:t>
      </w:r>
    </w:p>
    <w:p w14:paraId="1BF40365" w14:textId="77777777" w:rsidR="00EF613A" w:rsidRDefault="00C11C58">
      <w:pPr>
        <w:numPr>
          <w:ilvl w:val="0"/>
          <w:numId w:val="5"/>
        </w:numPr>
        <w:spacing w:after="0"/>
        <w:rPr>
          <w:bCs/>
          <w:lang w:eastAsia="zh-CN"/>
        </w:rPr>
      </w:pPr>
      <w:r>
        <w:rPr>
          <w:bCs/>
          <w:lang w:eastAsia="zh-CN"/>
        </w:rPr>
        <w:t>C</w:t>
      </w:r>
      <w:r>
        <w:rPr>
          <w:rFonts w:hint="eastAsia"/>
          <w:bCs/>
          <w:lang w:eastAsia="zh-CN"/>
        </w:rPr>
        <w:t xml:space="preserve">omplete all required submission </w:t>
      </w:r>
      <w:r>
        <w:rPr>
          <w:bCs/>
          <w:lang w:eastAsia="zh-CN"/>
        </w:rPr>
        <w:t>template</w:t>
      </w:r>
      <w:r>
        <w:rPr>
          <w:rFonts w:hint="eastAsia"/>
          <w:bCs/>
          <w:lang w:eastAsia="zh-CN"/>
        </w:rPr>
        <w:t>s as defined in Report ITU-R M.</w:t>
      </w:r>
      <w:r>
        <w:rPr>
          <w:bCs/>
          <w:lang w:eastAsia="zh-CN"/>
        </w:rPr>
        <w:t>2514</w:t>
      </w:r>
      <w:r>
        <w:rPr>
          <w:rFonts w:hint="eastAsia"/>
          <w:bCs/>
          <w:lang w:eastAsia="zh-CN"/>
        </w:rPr>
        <w:t xml:space="preserve"> [</w:t>
      </w:r>
      <w:r>
        <w:rPr>
          <w:bCs/>
          <w:lang w:eastAsia="zh-CN"/>
        </w:rPr>
        <w:t>RAN ITU-R Ad-Hoc</w:t>
      </w:r>
      <w:r>
        <w:rPr>
          <w:rFonts w:hint="eastAsia"/>
          <w:bCs/>
          <w:lang w:eastAsia="zh-CN"/>
        </w:rPr>
        <w:t>]</w:t>
      </w:r>
    </w:p>
    <w:p w14:paraId="7B3306CA" w14:textId="77777777" w:rsidR="00EF613A" w:rsidRDefault="00EF613A">
      <w:pPr>
        <w:spacing w:after="0"/>
        <w:ind w:left="420"/>
        <w:rPr>
          <w:bCs/>
          <w:lang w:eastAsia="zh-CN"/>
        </w:rPr>
      </w:pPr>
    </w:p>
    <w:p w14:paraId="6F987010" w14:textId="77777777" w:rsidR="00EF613A" w:rsidRDefault="00C11C58">
      <w:pPr>
        <w:numPr>
          <w:ilvl w:val="0"/>
          <w:numId w:val="5"/>
        </w:numPr>
        <w:spacing w:after="0"/>
        <w:rPr>
          <w:bCs/>
          <w:lang w:eastAsia="zh-CN"/>
        </w:rPr>
      </w:pPr>
      <w:r>
        <w:rPr>
          <w:rFonts w:hint="eastAsia"/>
          <w:bCs/>
          <w:lang w:eastAsia="zh-CN"/>
        </w:rPr>
        <w:t xml:space="preserve">Provide </w:t>
      </w:r>
      <w:r>
        <w:rPr>
          <w:bCs/>
          <w:lang w:eastAsia="zh-CN"/>
        </w:rPr>
        <w:t>self-evaluation</w:t>
      </w:r>
      <w:r>
        <w:rPr>
          <w:rFonts w:hint="eastAsia"/>
          <w:bCs/>
          <w:lang w:eastAsia="zh-CN"/>
        </w:rPr>
        <w:t xml:space="preserve"> results against technical performance requirements for eMBB</w:t>
      </w:r>
      <w:r>
        <w:rPr>
          <w:bCs/>
          <w:lang w:eastAsia="zh-CN"/>
        </w:rPr>
        <w:t>-s</w:t>
      </w:r>
      <w:r>
        <w:rPr>
          <w:rFonts w:hint="eastAsia"/>
          <w:bCs/>
          <w:lang w:eastAsia="zh-CN"/>
        </w:rPr>
        <w:t xml:space="preserve"> as defined in Report ITU-R M.</w:t>
      </w:r>
      <w:r>
        <w:rPr>
          <w:bCs/>
          <w:lang w:eastAsia="zh-CN"/>
        </w:rPr>
        <w:t>2514</w:t>
      </w:r>
      <w:r>
        <w:rPr>
          <w:rFonts w:hint="eastAsia"/>
          <w:bCs/>
          <w:lang w:eastAsia="zh-CN"/>
        </w:rPr>
        <w:t xml:space="preserve"> [</w:t>
      </w:r>
      <w:r>
        <w:rPr>
          <w:bCs/>
          <w:lang w:eastAsia="zh-CN"/>
        </w:rPr>
        <w:t xml:space="preserve">RAN ITU-R Ad-Hoc, </w:t>
      </w:r>
      <w:r>
        <w:rPr>
          <w:rFonts w:hint="eastAsia"/>
          <w:bCs/>
          <w:lang w:eastAsia="zh-CN"/>
        </w:rPr>
        <w:t>RAN1</w:t>
      </w:r>
      <w:r>
        <w:rPr>
          <w:bCs/>
          <w:lang w:eastAsia="zh-CN"/>
        </w:rPr>
        <w:t>, RAN2</w:t>
      </w:r>
      <w:r>
        <w:rPr>
          <w:rFonts w:hint="eastAsia"/>
          <w:bCs/>
          <w:lang w:eastAsia="zh-CN"/>
        </w:rPr>
        <w:t>], including</w:t>
      </w:r>
    </w:p>
    <w:p w14:paraId="460FF93E" w14:textId="77777777" w:rsidR="00EF613A" w:rsidRDefault="00C11C58">
      <w:pPr>
        <w:numPr>
          <w:ilvl w:val="1"/>
          <w:numId w:val="5"/>
        </w:numPr>
        <w:spacing w:after="0"/>
        <w:rPr>
          <w:bCs/>
          <w:lang w:eastAsia="zh-CN"/>
        </w:rPr>
      </w:pPr>
      <w:r>
        <w:rPr>
          <w:rFonts w:hint="eastAsia"/>
          <w:bCs/>
          <w:lang w:eastAsia="zh-CN"/>
        </w:rPr>
        <w:lastRenderedPageBreak/>
        <w:t>Peak data rate</w:t>
      </w:r>
    </w:p>
    <w:p w14:paraId="6DD99ADC" w14:textId="77777777" w:rsidR="00EF613A" w:rsidRDefault="00C11C58">
      <w:pPr>
        <w:numPr>
          <w:ilvl w:val="1"/>
          <w:numId w:val="5"/>
        </w:numPr>
        <w:spacing w:after="0"/>
        <w:rPr>
          <w:bCs/>
          <w:lang w:eastAsia="zh-CN"/>
        </w:rPr>
      </w:pPr>
      <w:r>
        <w:rPr>
          <w:rFonts w:hint="eastAsia"/>
          <w:bCs/>
          <w:lang w:eastAsia="zh-CN"/>
        </w:rPr>
        <w:t>Peak spectral efficiency</w:t>
      </w:r>
    </w:p>
    <w:p w14:paraId="5016D3DF" w14:textId="77777777" w:rsidR="00EF613A" w:rsidRDefault="00C11C58">
      <w:pPr>
        <w:numPr>
          <w:ilvl w:val="1"/>
          <w:numId w:val="5"/>
        </w:numPr>
        <w:spacing w:after="0"/>
        <w:rPr>
          <w:bCs/>
          <w:lang w:eastAsia="zh-CN"/>
        </w:rPr>
      </w:pPr>
      <w:r>
        <w:rPr>
          <w:rFonts w:hint="eastAsia"/>
          <w:bCs/>
          <w:lang w:eastAsia="zh-CN"/>
        </w:rPr>
        <w:t>User experienced data rate</w:t>
      </w:r>
    </w:p>
    <w:p w14:paraId="16CAE5DC" w14:textId="77777777" w:rsidR="00EF613A" w:rsidRDefault="00C11C58">
      <w:pPr>
        <w:numPr>
          <w:ilvl w:val="1"/>
          <w:numId w:val="5"/>
        </w:numPr>
        <w:spacing w:after="0"/>
        <w:rPr>
          <w:bCs/>
          <w:lang w:eastAsia="zh-CN"/>
        </w:rPr>
      </w:pPr>
      <w:r>
        <w:rPr>
          <w:rFonts w:hint="eastAsia"/>
          <w:bCs/>
          <w:lang w:eastAsia="zh-CN"/>
        </w:rPr>
        <w:t>5</w:t>
      </w:r>
      <w:r>
        <w:rPr>
          <w:rFonts w:hint="eastAsia"/>
          <w:bCs/>
          <w:vertAlign w:val="superscript"/>
          <w:lang w:eastAsia="zh-CN"/>
        </w:rPr>
        <w:t>th</w:t>
      </w:r>
      <w:r>
        <w:rPr>
          <w:rFonts w:hint="eastAsia"/>
          <w:bCs/>
          <w:lang w:eastAsia="zh-CN"/>
        </w:rPr>
        <w:t xml:space="preserve"> percentile user spectral efficiency</w:t>
      </w:r>
    </w:p>
    <w:p w14:paraId="00E0E638" w14:textId="77777777" w:rsidR="00EF613A" w:rsidRDefault="00C11C58">
      <w:pPr>
        <w:numPr>
          <w:ilvl w:val="1"/>
          <w:numId w:val="5"/>
        </w:numPr>
        <w:spacing w:after="0"/>
        <w:rPr>
          <w:bCs/>
          <w:lang w:eastAsia="zh-CN"/>
        </w:rPr>
      </w:pPr>
      <w:r>
        <w:rPr>
          <w:rFonts w:hint="eastAsia"/>
          <w:bCs/>
          <w:lang w:eastAsia="zh-CN"/>
        </w:rPr>
        <w:t>Average spectral efficiency</w:t>
      </w:r>
    </w:p>
    <w:p w14:paraId="4EEC95C9" w14:textId="77777777" w:rsidR="00EF613A" w:rsidRDefault="00C11C58">
      <w:pPr>
        <w:numPr>
          <w:ilvl w:val="1"/>
          <w:numId w:val="5"/>
        </w:numPr>
        <w:spacing w:after="0"/>
        <w:rPr>
          <w:bCs/>
          <w:lang w:eastAsia="zh-CN"/>
        </w:rPr>
      </w:pPr>
      <w:r>
        <w:rPr>
          <w:rFonts w:hint="eastAsia"/>
          <w:bCs/>
          <w:lang w:eastAsia="zh-CN"/>
        </w:rPr>
        <w:t>Area traffic capacity</w:t>
      </w:r>
    </w:p>
    <w:p w14:paraId="653B16A3" w14:textId="77777777" w:rsidR="00EF613A" w:rsidRDefault="00C11C58">
      <w:pPr>
        <w:numPr>
          <w:ilvl w:val="1"/>
          <w:numId w:val="5"/>
        </w:numPr>
        <w:spacing w:after="0"/>
        <w:rPr>
          <w:bCs/>
          <w:lang w:eastAsia="zh-CN"/>
        </w:rPr>
      </w:pPr>
      <w:r>
        <w:rPr>
          <w:rFonts w:hint="eastAsia"/>
          <w:bCs/>
          <w:lang w:eastAsia="zh-CN"/>
        </w:rPr>
        <w:t>Latency, including user plane latency and control plane latency</w:t>
      </w:r>
    </w:p>
    <w:p w14:paraId="26E04F9F" w14:textId="77777777" w:rsidR="00EF613A" w:rsidRDefault="00C11C58">
      <w:pPr>
        <w:numPr>
          <w:ilvl w:val="1"/>
          <w:numId w:val="5"/>
        </w:numPr>
        <w:spacing w:after="0"/>
        <w:rPr>
          <w:bCs/>
          <w:lang w:eastAsia="zh-CN"/>
        </w:rPr>
      </w:pPr>
      <w:r>
        <w:rPr>
          <w:rFonts w:hint="eastAsia"/>
          <w:bCs/>
          <w:lang w:eastAsia="zh-CN"/>
        </w:rPr>
        <w:t xml:space="preserve">Energy efficiency, including </w:t>
      </w:r>
      <w:r>
        <w:rPr>
          <w:bCs/>
          <w:lang w:eastAsia="zh-CN"/>
        </w:rPr>
        <w:t xml:space="preserve">both </w:t>
      </w:r>
      <w:r>
        <w:rPr>
          <w:rFonts w:hint="eastAsia"/>
          <w:bCs/>
          <w:lang w:eastAsia="zh-CN"/>
        </w:rPr>
        <w:t xml:space="preserve">network </w:t>
      </w:r>
      <w:r>
        <w:rPr>
          <w:bCs/>
          <w:lang w:eastAsia="zh-CN"/>
        </w:rPr>
        <w:t>and device</w:t>
      </w:r>
    </w:p>
    <w:p w14:paraId="065B4987" w14:textId="77777777" w:rsidR="00EF613A" w:rsidRDefault="00C11C58">
      <w:pPr>
        <w:numPr>
          <w:ilvl w:val="1"/>
          <w:numId w:val="5"/>
        </w:numPr>
        <w:spacing w:after="0"/>
        <w:rPr>
          <w:bCs/>
          <w:lang w:eastAsia="zh-CN"/>
        </w:rPr>
      </w:pPr>
      <w:r>
        <w:rPr>
          <w:rFonts w:hint="eastAsia"/>
          <w:bCs/>
          <w:lang w:eastAsia="zh-CN"/>
        </w:rPr>
        <w:t>Mobility</w:t>
      </w:r>
    </w:p>
    <w:p w14:paraId="77206D72" w14:textId="77777777" w:rsidR="00EF613A" w:rsidRDefault="00C11C58">
      <w:pPr>
        <w:numPr>
          <w:ilvl w:val="1"/>
          <w:numId w:val="5"/>
        </w:numPr>
        <w:spacing w:after="0"/>
        <w:rPr>
          <w:bCs/>
          <w:lang w:eastAsia="zh-CN"/>
        </w:rPr>
      </w:pPr>
      <w:r>
        <w:rPr>
          <w:rFonts w:hint="eastAsia"/>
          <w:bCs/>
          <w:lang w:eastAsia="zh-CN"/>
        </w:rPr>
        <w:t>Mobility interruption time</w:t>
      </w:r>
    </w:p>
    <w:p w14:paraId="3213B177" w14:textId="77777777" w:rsidR="00EF613A" w:rsidRDefault="00C11C58">
      <w:pPr>
        <w:tabs>
          <w:tab w:val="left" w:pos="5325"/>
        </w:tabs>
        <w:spacing w:after="0"/>
        <w:rPr>
          <w:bCs/>
          <w:lang w:eastAsia="zh-CN"/>
        </w:rPr>
      </w:pPr>
      <w:r>
        <w:rPr>
          <w:bCs/>
          <w:lang w:eastAsia="zh-CN"/>
        </w:rPr>
        <w:tab/>
      </w:r>
    </w:p>
    <w:p w14:paraId="388BF03B" w14:textId="77777777" w:rsidR="00EF613A" w:rsidRDefault="00C11C58">
      <w:pPr>
        <w:numPr>
          <w:ilvl w:val="0"/>
          <w:numId w:val="5"/>
        </w:numPr>
        <w:spacing w:after="0"/>
        <w:rPr>
          <w:bCs/>
          <w:lang w:eastAsia="zh-CN"/>
        </w:rPr>
      </w:pPr>
      <w:r>
        <w:rPr>
          <w:rFonts w:hint="eastAsia"/>
          <w:bCs/>
          <w:lang w:eastAsia="zh-CN"/>
        </w:rPr>
        <w:t xml:space="preserve">Provide </w:t>
      </w:r>
      <w:r>
        <w:rPr>
          <w:bCs/>
          <w:lang w:eastAsia="zh-CN"/>
        </w:rPr>
        <w:t>self-evaluation</w:t>
      </w:r>
      <w:r>
        <w:rPr>
          <w:rFonts w:hint="eastAsia"/>
          <w:bCs/>
          <w:lang w:eastAsia="zh-CN"/>
        </w:rPr>
        <w:t xml:space="preserve"> results against technical performance requirements for mMTC</w:t>
      </w:r>
      <w:r>
        <w:rPr>
          <w:bCs/>
          <w:lang w:eastAsia="zh-CN"/>
        </w:rPr>
        <w:t>-s</w:t>
      </w:r>
      <w:r>
        <w:rPr>
          <w:rFonts w:hint="eastAsia"/>
          <w:bCs/>
          <w:lang w:eastAsia="zh-CN"/>
        </w:rPr>
        <w:t xml:space="preserve"> as defined in Report ITU-R M.</w:t>
      </w:r>
      <w:r>
        <w:rPr>
          <w:bCs/>
          <w:lang w:eastAsia="zh-CN"/>
        </w:rPr>
        <w:t>2514</w:t>
      </w:r>
      <w:r>
        <w:rPr>
          <w:rFonts w:hint="eastAsia"/>
          <w:bCs/>
          <w:lang w:eastAsia="zh-CN"/>
        </w:rPr>
        <w:t xml:space="preserve"> [</w:t>
      </w:r>
      <w:r>
        <w:rPr>
          <w:bCs/>
          <w:lang w:eastAsia="zh-CN"/>
        </w:rPr>
        <w:t xml:space="preserve">RAN ITU-R Ad-Hoc, </w:t>
      </w:r>
      <w:r>
        <w:rPr>
          <w:rFonts w:hint="eastAsia"/>
          <w:bCs/>
          <w:lang w:eastAsia="zh-CN"/>
        </w:rPr>
        <w:t>RAN1</w:t>
      </w:r>
      <w:r>
        <w:rPr>
          <w:bCs/>
          <w:lang w:eastAsia="zh-CN"/>
        </w:rPr>
        <w:t>, RAN2</w:t>
      </w:r>
      <w:r>
        <w:rPr>
          <w:rFonts w:hint="eastAsia"/>
          <w:bCs/>
          <w:lang w:eastAsia="zh-CN"/>
        </w:rPr>
        <w:t>], including</w:t>
      </w:r>
    </w:p>
    <w:p w14:paraId="6B8BE4A4" w14:textId="77777777" w:rsidR="00EF613A" w:rsidRDefault="00C11C58">
      <w:pPr>
        <w:numPr>
          <w:ilvl w:val="1"/>
          <w:numId w:val="5"/>
        </w:numPr>
        <w:spacing w:after="0"/>
        <w:rPr>
          <w:bCs/>
          <w:lang w:eastAsia="zh-CN"/>
        </w:rPr>
      </w:pPr>
      <w:r>
        <w:rPr>
          <w:rFonts w:hint="eastAsia"/>
          <w:bCs/>
          <w:lang w:eastAsia="zh-CN"/>
        </w:rPr>
        <w:t>Connection density</w:t>
      </w:r>
    </w:p>
    <w:p w14:paraId="70CF6647" w14:textId="77777777" w:rsidR="00EF613A" w:rsidRDefault="00EF613A">
      <w:pPr>
        <w:spacing w:after="0"/>
        <w:ind w:left="420"/>
        <w:rPr>
          <w:bCs/>
          <w:lang w:eastAsia="zh-CN"/>
        </w:rPr>
      </w:pPr>
    </w:p>
    <w:p w14:paraId="5F93B7FD" w14:textId="77777777" w:rsidR="00EF613A" w:rsidRDefault="00C11C58">
      <w:pPr>
        <w:numPr>
          <w:ilvl w:val="0"/>
          <w:numId w:val="5"/>
        </w:numPr>
        <w:spacing w:after="0"/>
        <w:rPr>
          <w:bCs/>
          <w:lang w:eastAsia="zh-CN"/>
        </w:rPr>
      </w:pPr>
      <w:r>
        <w:rPr>
          <w:rFonts w:hint="eastAsia"/>
          <w:bCs/>
          <w:lang w:eastAsia="zh-CN"/>
        </w:rPr>
        <w:t xml:space="preserve">Provide </w:t>
      </w:r>
      <w:r>
        <w:rPr>
          <w:bCs/>
          <w:lang w:eastAsia="zh-CN"/>
        </w:rPr>
        <w:t>self-evaluation</w:t>
      </w:r>
      <w:r>
        <w:rPr>
          <w:rFonts w:hint="eastAsia"/>
          <w:bCs/>
          <w:lang w:eastAsia="zh-CN"/>
        </w:rPr>
        <w:t xml:space="preserve"> results against technical performance requirements for </w:t>
      </w:r>
      <w:r>
        <w:rPr>
          <w:bCs/>
          <w:lang w:eastAsia="zh-CN"/>
        </w:rPr>
        <w:t>HRC-s</w:t>
      </w:r>
      <w:r>
        <w:rPr>
          <w:rFonts w:hint="eastAsia"/>
          <w:bCs/>
          <w:lang w:eastAsia="zh-CN"/>
        </w:rPr>
        <w:t xml:space="preserve"> as defined in Report ITU-R M.</w:t>
      </w:r>
      <w:r>
        <w:rPr>
          <w:bCs/>
          <w:lang w:eastAsia="zh-CN"/>
        </w:rPr>
        <w:t>2514</w:t>
      </w:r>
      <w:r>
        <w:rPr>
          <w:rFonts w:hint="eastAsia"/>
          <w:bCs/>
          <w:lang w:eastAsia="zh-CN"/>
        </w:rPr>
        <w:t xml:space="preserve"> [</w:t>
      </w:r>
      <w:r>
        <w:rPr>
          <w:bCs/>
          <w:lang w:eastAsia="zh-CN"/>
        </w:rPr>
        <w:t xml:space="preserve">RAN ITU-R Ad-Hoc, </w:t>
      </w:r>
      <w:r>
        <w:rPr>
          <w:rFonts w:hint="eastAsia"/>
          <w:bCs/>
          <w:lang w:eastAsia="zh-CN"/>
        </w:rPr>
        <w:t>RAN1</w:t>
      </w:r>
      <w:r>
        <w:rPr>
          <w:bCs/>
          <w:lang w:eastAsia="zh-CN"/>
        </w:rPr>
        <w:t>, RAN2</w:t>
      </w:r>
      <w:r>
        <w:rPr>
          <w:rFonts w:hint="eastAsia"/>
          <w:bCs/>
          <w:lang w:eastAsia="zh-CN"/>
        </w:rPr>
        <w:t>], including</w:t>
      </w:r>
    </w:p>
    <w:p w14:paraId="41064B0A" w14:textId="77777777" w:rsidR="00EF613A" w:rsidRDefault="00C11C58">
      <w:pPr>
        <w:numPr>
          <w:ilvl w:val="1"/>
          <w:numId w:val="5"/>
        </w:numPr>
        <w:spacing w:after="0"/>
        <w:rPr>
          <w:bCs/>
          <w:lang w:eastAsia="zh-CN"/>
        </w:rPr>
      </w:pPr>
      <w:r>
        <w:rPr>
          <w:rFonts w:hint="eastAsia"/>
          <w:bCs/>
          <w:lang w:eastAsia="zh-CN"/>
        </w:rPr>
        <w:t>Reliability</w:t>
      </w:r>
    </w:p>
    <w:p w14:paraId="29798837" w14:textId="77777777" w:rsidR="00EF613A" w:rsidRDefault="00EF613A">
      <w:pPr>
        <w:spacing w:after="0"/>
        <w:ind w:left="420"/>
        <w:rPr>
          <w:bCs/>
          <w:lang w:eastAsia="zh-CN"/>
        </w:rPr>
      </w:pPr>
    </w:p>
    <w:p w14:paraId="366B67B2" w14:textId="77777777" w:rsidR="00EF613A" w:rsidRDefault="00C11C58">
      <w:pPr>
        <w:numPr>
          <w:ilvl w:val="0"/>
          <w:numId w:val="5"/>
        </w:numPr>
        <w:spacing w:after="0"/>
        <w:rPr>
          <w:bCs/>
          <w:lang w:eastAsia="zh-CN"/>
        </w:rPr>
      </w:pPr>
      <w:r>
        <w:rPr>
          <w:rFonts w:hint="eastAsia"/>
          <w:bCs/>
          <w:lang w:eastAsia="zh-CN"/>
        </w:rPr>
        <w:t>Provide self</w:t>
      </w:r>
      <w:r>
        <w:rPr>
          <w:bCs/>
          <w:lang w:eastAsia="zh-CN"/>
        </w:rPr>
        <w:t>-</w:t>
      </w:r>
      <w:r>
        <w:rPr>
          <w:rFonts w:hint="eastAsia"/>
          <w:bCs/>
          <w:lang w:eastAsia="zh-CN"/>
        </w:rPr>
        <w:t>evaluation results for other requirements (including bandwidth) as defined in Report ITU-R M.</w:t>
      </w:r>
      <w:r>
        <w:rPr>
          <w:bCs/>
          <w:lang w:eastAsia="zh-CN"/>
        </w:rPr>
        <w:t xml:space="preserve">2514 </w:t>
      </w:r>
      <w:r>
        <w:rPr>
          <w:rFonts w:hint="eastAsia"/>
          <w:bCs/>
          <w:lang w:eastAsia="zh-CN"/>
        </w:rPr>
        <w:t>[</w:t>
      </w:r>
      <w:r>
        <w:rPr>
          <w:bCs/>
          <w:lang w:eastAsia="zh-CN"/>
        </w:rPr>
        <w:t xml:space="preserve">RAN ITU-R Ad-Hoc, </w:t>
      </w:r>
      <w:r>
        <w:rPr>
          <w:rFonts w:hint="eastAsia"/>
          <w:bCs/>
          <w:lang w:eastAsia="zh-CN"/>
        </w:rPr>
        <w:t>RAN1</w:t>
      </w:r>
      <w:r>
        <w:rPr>
          <w:bCs/>
          <w:lang w:eastAsia="zh-CN"/>
        </w:rPr>
        <w:t>, RAN2, RAN4</w:t>
      </w:r>
      <w:r>
        <w:rPr>
          <w:rFonts w:hint="eastAsia"/>
          <w:bCs/>
          <w:lang w:eastAsia="zh-CN"/>
        </w:rPr>
        <w:t>]</w:t>
      </w:r>
    </w:p>
    <w:p w14:paraId="5175D69A" w14:textId="77777777" w:rsidR="00EF613A" w:rsidRDefault="00EF613A">
      <w:pPr>
        <w:spacing w:after="0"/>
        <w:ind w:left="420"/>
        <w:rPr>
          <w:bCs/>
          <w:lang w:eastAsia="zh-CN"/>
        </w:rPr>
      </w:pPr>
    </w:p>
    <w:p w14:paraId="30B6C1F7" w14:textId="77777777" w:rsidR="00EF613A" w:rsidRDefault="00C11C58">
      <w:pPr>
        <w:spacing w:after="0"/>
        <w:rPr>
          <w:bCs/>
          <w:lang w:eastAsia="zh-CN"/>
        </w:rPr>
      </w:pPr>
      <w:r>
        <w:rPr>
          <w:lang w:eastAsia="zh-CN"/>
        </w:rPr>
        <w:t>IoT NTN will at least target self-evaluation against bullets c) and e) technical requirements, and NR NTN will target self-evaluation against all technical requirements (in bullets b) to e)).</w:t>
      </w:r>
    </w:p>
    <w:p w14:paraId="6E3BE969" w14:textId="77777777" w:rsidR="00EF613A" w:rsidRDefault="00EF613A">
      <w:pPr>
        <w:spacing w:after="0"/>
        <w:rPr>
          <w:bCs/>
          <w:lang w:eastAsia="zh-CN"/>
        </w:rPr>
      </w:pPr>
    </w:p>
    <w:p w14:paraId="0B764254" w14:textId="77777777" w:rsidR="00EF613A" w:rsidRDefault="00C11C58">
      <w:pPr>
        <w:spacing w:afterLines="50" w:after="120"/>
        <w:rPr>
          <w:lang w:eastAsia="zh-CN"/>
        </w:rPr>
      </w:pPr>
      <w:r>
        <w:rPr>
          <w:rFonts w:hint="eastAsia"/>
          <w:bCs/>
          <w:lang w:eastAsia="zh-CN"/>
        </w:rPr>
        <w:t>This study shall</w:t>
      </w:r>
      <w:r>
        <w:rPr>
          <w:bCs/>
          <w:lang w:eastAsia="zh-CN"/>
        </w:rPr>
        <w:t xml:space="preserve"> start with </w:t>
      </w:r>
      <w:r>
        <w:rPr>
          <w:rFonts w:hint="eastAsia"/>
          <w:bCs/>
          <w:lang w:eastAsia="zh-CN"/>
        </w:rPr>
        <w:t>evaluat</w:t>
      </w:r>
      <w:r>
        <w:rPr>
          <w:bCs/>
          <w:lang w:eastAsia="zh-CN"/>
        </w:rPr>
        <w:t>ing</w:t>
      </w:r>
      <w:r>
        <w:rPr>
          <w:rFonts w:hint="eastAsia"/>
          <w:bCs/>
          <w:lang w:eastAsia="zh-CN"/>
        </w:rPr>
        <w:t xml:space="preserve"> features </w:t>
      </w:r>
      <w:r>
        <w:rPr>
          <w:bCs/>
          <w:lang w:eastAsia="zh-CN"/>
        </w:rPr>
        <w:t>that are supported by Rel-17 NTN (</w:t>
      </w:r>
      <w:r>
        <w:rPr>
          <w:lang w:val="en-US"/>
        </w:rPr>
        <w:t>NR NTN + IoT NTN)</w:t>
      </w:r>
      <w:r>
        <w:rPr>
          <w:bCs/>
          <w:lang w:eastAsia="zh-CN"/>
        </w:rPr>
        <w:t xml:space="preserve">, as relevant </w:t>
      </w:r>
      <w:r>
        <w:rPr>
          <w:rFonts w:hint="eastAsia"/>
          <w:bCs/>
          <w:lang w:eastAsia="zh-CN"/>
        </w:rPr>
        <w:t>for the above aspects</w:t>
      </w:r>
      <w:r>
        <w:rPr>
          <w:rFonts w:hint="eastAsia"/>
          <w:lang w:eastAsia="zh-CN"/>
        </w:rPr>
        <w:t>.</w:t>
      </w:r>
      <w:r>
        <w:rPr>
          <w:lang w:eastAsia="zh-CN"/>
        </w:rPr>
        <w:t xml:space="preserve"> </w:t>
      </w:r>
    </w:p>
    <w:p w14:paraId="52DB5A9E" w14:textId="77777777" w:rsidR="00EF613A" w:rsidRDefault="00C11C58">
      <w:pPr>
        <w:spacing w:after="0"/>
      </w:pPr>
      <w:r>
        <w:t>The study will produce documents used for the 3GPP IMT-2020 submission to ITU-R based on the ITU-R templates, including a description of the self-evaluation results in a new TR, 37.9xx, created by this study.</w:t>
      </w:r>
    </w:p>
    <w:p w14:paraId="443051E4" w14:textId="77777777" w:rsidR="00EF613A" w:rsidRDefault="00EF613A">
      <w:pPr>
        <w:spacing w:after="0"/>
      </w:pPr>
    </w:p>
    <w:p w14:paraId="0CC2604A" w14:textId="77777777" w:rsidR="00EF613A" w:rsidRDefault="00C11C58">
      <w:pPr>
        <w:spacing w:after="0"/>
        <w:rPr>
          <w:bCs/>
          <w:lang w:eastAsia="zh-CN"/>
        </w:rPr>
      </w:pPr>
      <w:r>
        <w:rPr>
          <w:rFonts w:hint="eastAsia"/>
          <w:bCs/>
          <w:lang w:eastAsia="zh-CN"/>
        </w:rPr>
        <w:t xml:space="preserve">This study shall have </w:t>
      </w:r>
      <w:r>
        <w:rPr>
          <w:bCs/>
          <w:lang w:eastAsia="zh-CN"/>
        </w:rPr>
        <w:t>(</w:t>
      </w:r>
      <w:r>
        <w:rPr>
          <w:rFonts w:hint="eastAsia"/>
          <w:bCs/>
          <w:lang w:eastAsia="zh-CN"/>
        </w:rPr>
        <w:t>an</w:t>
      </w:r>
      <w:r>
        <w:rPr>
          <w:bCs/>
          <w:lang w:eastAsia="zh-CN"/>
        </w:rPr>
        <w:t>)</w:t>
      </w:r>
      <w:r>
        <w:rPr>
          <w:rFonts w:hint="eastAsia"/>
          <w:bCs/>
          <w:lang w:eastAsia="zh-CN"/>
        </w:rPr>
        <w:t xml:space="preserve"> appropriate RIT/SRIT</w:t>
      </w:r>
      <w:r>
        <w:rPr>
          <w:bCs/>
          <w:lang w:eastAsia="zh-CN"/>
        </w:rPr>
        <w:t>(s)</w:t>
      </w:r>
      <w:r>
        <w:rPr>
          <w:rFonts w:hint="eastAsia"/>
          <w:bCs/>
          <w:lang w:eastAsia="zh-CN"/>
        </w:rPr>
        <w:t xml:space="preserve"> adoption to </w:t>
      </w:r>
      <w:r>
        <w:rPr>
          <w:bCs/>
          <w:lang w:eastAsia="zh-CN"/>
        </w:rPr>
        <w:t>demonstrate</w:t>
      </w:r>
      <w:r>
        <w:rPr>
          <w:rFonts w:hint="eastAsia"/>
          <w:bCs/>
          <w:lang w:eastAsia="zh-CN"/>
        </w:rPr>
        <w:t xml:space="preserve"> that 3GPP</w:t>
      </w:r>
      <w:r>
        <w:rPr>
          <w:bCs/>
          <w:lang w:eastAsia="zh-CN"/>
        </w:rPr>
        <w:t>’</w:t>
      </w:r>
      <w:r>
        <w:rPr>
          <w:rFonts w:hint="eastAsia"/>
          <w:bCs/>
          <w:lang w:eastAsia="zh-CN"/>
        </w:rPr>
        <w:t xml:space="preserve">s candidate IMT-2020 RIT/SRIT </w:t>
      </w:r>
      <w:r>
        <w:rPr>
          <w:bCs/>
          <w:lang w:eastAsia="zh-CN"/>
        </w:rPr>
        <w:t>fulfils</w:t>
      </w:r>
      <w:r>
        <w:rPr>
          <w:rFonts w:hint="eastAsia"/>
          <w:bCs/>
          <w:lang w:eastAsia="zh-CN"/>
        </w:rPr>
        <w:t xml:space="preserve"> the required condition defined in Step 2, 6, and 7 in Document IMT-2020</w:t>
      </w:r>
      <w:r>
        <w:rPr>
          <w:bCs/>
          <w:lang w:eastAsia="zh-CN"/>
        </w:rPr>
        <w:t>-SAT</w:t>
      </w:r>
      <w:r>
        <w:rPr>
          <w:rFonts w:hint="eastAsia"/>
          <w:bCs/>
          <w:lang w:eastAsia="zh-CN"/>
        </w:rPr>
        <w:t>/2.</w:t>
      </w:r>
      <w:r>
        <w:rPr>
          <w:bCs/>
          <w:lang w:eastAsia="zh-CN"/>
        </w:rPr>
        <w:t xml:space="preserve"> The decision to make a submission as RIT(s) or SRIT(s) is outside the scope of this study but is needed for the completion of the study. Such discussion shall be taken by TSG RAN plenary directly.</w:t>
      </w:r>
    </w:p>
    <w:p w14:paraId="17F49CCD" w14:textId="77777777" w:rsidR="00EF613A" w:rsidRDefault="00EF613A">
      <w:pPr>
        <w:spacing w:after="0"/>
      </w:pPr>
    </w:p>
    <w:p w14:paraId="1E301481" w14:textId="77777777" w:rsidR="00EF613A" w:rsidRDefault="00C11C58">
      <w:pPr>
        <w:spacing w:after="0"/>
        <w:rPr>
          <w:bCs/>
          <w:lang w:eastAsia="zh-CN"/>
        </w:rPr>
      </w:pPr>
      <w:r>
        <w:t xml:space="preserve">The study will be done in coordination with the RAN ITU-R Ad-Hoc group. The </w:t>
      </w:r>
      <w:bookmarkStart w:id="6" w:name="OLE_LINK7"/>
      <w:r>
        <w:t xml:space="preserve">study </w:t>
      </w:r>
      <w:bookmarkEnd w:id="6"/>
      <w:r>
        <w:t>can start in the working groups after RAN#99, to discuss initial self-evaluation time-plan, TR template, evaluation assumption</w:t>
      </w:r>
      <w:r>
        <w:rPr>
          <w:rFonts w:hint="eastAsia"/>
          <w:lang w:eastAsia="zh-CN"/>
        </w:rPr>
        <w:t>,</w:t>
      </w:r>
      <w:r>
        <w:rPr>
          <w:lang w:eastAsia="zh-CN"/>
        </w:rPr>
        <w:t xml:space="preserve"> </w:t>
      </w:r>
      <w:r>
        <w:t>etc. The work in the working groups should be limited in time and using email discussion to a large extent, as possible.</w:t>
      </w:r>
      <w:bookmarkStart w:id="7" w:name="OLE_LINK1"/>
      <w:r>
        <w:t xml:space="preserve"> The work split between RAN1 and RAN2 will initially follow the split adopted for the previous 5G IMT-2020 submission. T</w:t>
      </w:r>
      <w:r>
        <w:rPr>
          <w:rFonts w:hint="eastAsia"/>
          <w:lang w:eastAsia="zh-CN"/>
        </w:rPr>
        <w:t xml:space="preserve">he study aims to have </w:t>
      </w:r>
      <w:r>
        <w:rPr>
          <w:lang w:eastAsia="zh-CN"/>
        </w:rPr>
        <w:t xml:space="preserve">a final </w:t>
      </w:r>
      <w:r>
        <w:rPr>
          <w:rFonts w:hint="eastAsia"/>
          <w:lang w:eastAsia="zh-CN"/>
        </w:rPr>
        <w:t>submission</w:t>
      </w:r>
      <w:r>
        <w:rPr>
          <w:lang w:eastAsia="zh-CN"/>
        </w:rPr>
        <w:t xml:space="preserve"> package</w:t>
      </w:r>
      <w:r>
        <w:rPr>
          <w:rFonts w:hint="eastAsia"/>
          <w:lang w:eastAsia="zh-CN"/>
        </w:rPr>
        <w:t xml:space="preserve"> </w:t>
      </w:r>
      <w:r>
        <w:rPr>
          <w:lang w:eastAsia="zh-CN"/>
        </w:rPr>
        <w:t>ready by RAN#</w:t>
      </w:r>
      <w:proofErr w:type="gramStart"/>
      <w:r>
        <w:rPr>
          <w:lang w:eastAsia="zh-CN"/>
        </w:rPr>
        <w:t>102, that</w:t>
      </w:r>
      <w:proofErr w:type="gramEnd"/>
      <w:r>
        <w:rPr>
          <w:lang w:eastAsia="zh-CN"/>
        </w:rPr>
        <w:t xml:space="preserve"> is before</w:t>
      </w:r>
      <w:r>
        <w:rPr>
          <w:rFonts w:hint="eastAsia"/>
          <w:lang w:eastAsia="zh-CN"/>
        </w:rPr>
        <w:t xml:space="preserve"> ITU-R WP</w:t>
      </w:r>
      <w:r>
        <w:rPr>
          <w:lang w:eastAsia="zh-CN"/>
        </w:rPr>
        <w:t>4B submission deadline</w:t>
      </w:r>
      <w:r>
        <w:rPr>
          <w:rFonts w:hint="eastAsia"/>
          <w:lang w:eastAsia="zh-CN"/>
        </w:rPr>
        <w:t xml:space="preserve"> </w:t>
      </w:r>
      <w:r>
        <w:rPr>
          <w:lang w:eastAsia="zh-CN"/>
        </w:rPr>
        <w:t>(end of December</w:t>
      </w:r>
      <w:r>
        <w:rPr>
          <w:rFonts w:hint="eastAsia"/>
          <w:lang w:eastAsia="zh-CN"/>
        </w:rPr>
        <w:t xml:space="preserve"> 20</w:t>
      </w:r>
      <w:r>
        <w:rPr>
          <w:lang w:eastAsia="zh-CN"/>
        </w:rPr>
        <w:t>23).</w:t>
      </w:r>
      <w:bookmarkEnd w:id="7"/>
    </w:p>
    <w:p w14:paraId="358F5CE6" w14:textId="77777777" w:rsidR="00EF613A" w:rsidRDefault="00EF613A"/>
    <w:p w14:paraId="57EBBAB2" w14:textId="77777777" w:rsidR="00EF613A" w:rsidRDefault="00C11C58">
      <w:pPr>
        <w:pStyle w:val="1"/>
        <w:numPr>
          <w:ilvl w:val="0"/>
          <w:numId w:val="4"/>
        </w:numPr>
        <w:tabs>
          <w:tab w:val="left" w:pos="720"/>
        </w:tabs>
        <w:ind w:left="720" w:hanging="720"/>
        <w:jc w:val="both"/>
      </w:pPr>
      <w:r>
        <w:lastRenderedPageBreak/>
        <w:t>Annex – References</w:t>
      </w:r>
    </w:p>
    <w:p w14:paraId="09662206" w14:textId="77777777" w:rsidR="00EF613A" w:rsidRDefault="00C11C58">
      <w:pPr>
        <w:rPr>
          <w:rStyle w:val="af2"/>
        </w:rPr>
      </w:pPr>
      <w:r>
        <w:t xml:space="preserve">[1] </w:t>
      </w:r>
      <w:r>
        <w:tab/>
        <w:t xml:space="preserve">Report ITU-R M.2514 (09/2022) - Vision, requirements and evaluation guidelines for satellite radio interface(s) of IMT-2020 – </w:t>
      </w:r>
      <w:hyperlink r:id="rId40" w:history="1">
        <w:r>
          <w:rPr>
            <w:rStyle w:val="af2"/>
          </w:rPr>
          <w:t>PDF</w:t>
        </w:r>
      </w:hyperlink>
      <w:r>
        <w:t xml:space="preserve">, </w:t>
      </w:r>
      <w:hyperlink r:id="rId41" w:history="1">
        <w:r>
          <w:rPr>
            <w:rStyle w:val="af2"/>
          </w:rPr>
          <w:t>Word</w:t>
        </w:r>
      </w:hyperlink>
    </w:p>
    <w:p w14:paraId="2E33EE1D" w14:textId="77777777" w:rsidR="00EF613A" w:rsidRDefault="00C11C58">
      <w:r>
        <w:t>[2]</w:t>
      </w:r>
      <w:r>
        <w:tab/>
        <w:t>RP-230736 - New SID: Study on Self-Evaluation towards the 3GPP submission of an IMT-2020 Satellite Radio Interface Technology, Ericsson, Qualcomm, Thales, MediaTek Inc.</w:t>
      </w:r>
    </w:p>
    <w:p w14:paraId="19428F47" w14:textId="77777777" w:rsidR="00EF613A" w:rsidRDefault="00C11C58">
      <w:pPr>
        <w:rPr>
          <w:lang w:val="en-US"/>
        </w:rPr>
      </w:pPr>
      <w:r>
        <w:t xml:space="preserve">[3] </w:t>
      </w:r>
      <w:r>
        <w:tab/>
        <w:t xml:space="preserve">Report ITU-R M.2412 (10/2017) - Guidelines for evaluation of radio interface technologies for IMT-2020 – </w:t>
      </w:r>
      <w:hyperlink r:id="rId42" w:history="1">
        <w:r>
          <w:rPr>
            <w:rStyle w:val="af2"/>
          </w:rPr>
          <w:t>PDF</w:t>
        </w:r>
      </w:hyperlink>
      <w:r>
        <w:t xml:space="preserve">, </w:t>
      </w:r>
      <w:hyperlink r:id="rId43" w:history="1">
        <w:r>
          <w:rPr>
            <w:rStyle w:val="af2"/>
          </w:rPr>
          <w:t>Word</w:t>
        </w:r>
      </w:hyperlink>
    </w:p>
    <w:sectPr w:rsidR="00EF613A">
      <w:headerReference w:type="even" r:id="rId44"/>
      <w:footerReference w:type="even" r:id="rId45"/>
      <w:footerReference w:type="default" r:id="rId46"/>
      <w:footnotePr>
        <w:numRestart w:val="eachSect"/>
      </w:footnotePr>
      <w:pgSz w:w="16840" w:h="11907" w:orient="landscape"/>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5B81D9" w14:textId="77777777" w:rsidR="00436EC9" w:rsidRDefault="00436EC9">
      <w:pPr>
        <w:spacing w:after="0" w:line="240" w:lineRule="auto"/>
      </w:pPr>
      <w:r>
        <w:separator/>
      </w:r>
    </w:p>
  </w:endnote>
  <w:endnote w:type="continuationSeparator" w:id="0">
    <w:p w14:paraId="77EDA6B5" w14:textId="77777777" w:rsidR="00436EC9" w:rsidRDefault="00436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ZapfDingbats">
    <w:altName w:val="Segoe Print"/>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Microsoft YaHei"/>
    <w:charset w:val="86"/>
    <w:family w:val="auto"/>
    <w:pitch w:val="variable"/>
    <w:sig w:usb0="00000000"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PMingLiU">
    <w:altName w:val="Microsoft JhengHei"/>
    <w:panose1 w:val="02010601000101010101"/>
    <w:charset w:val="88"/>
    <w:family w:val="roman"/>
    <w:pitch w:val="variable"/>
    <w:sig w:usb0="A00002FF" w:usb1="28CFFCFA" w:usb2="00000016" w:usb3="00000000" w:csb0="001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A14B5" w14:textId="77777777" w:rsidR="009656D7" w:rsidRDefault="009656D7">
    <w:pPr>
      <w:pStyle w:val="a8"/>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14D93AE6" w14:textId="77777777" w:rsidR="009656D7" w:rsidRDefault="009656D7">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2FF82" w14:textId="07468763" w:rsidR="009656D7" w:rsidRDefault="009656D7">
    <w:pPr>
      <w:pStyle w:val="a8"/>
      <w:ind w:right="360"/>
    </w:pPr>
    <w:r>
      <w:rPr>
        <w:rStyle w:val="af0"/>
      </w:rPr>
      <w:fldChar w:fldCharType="begin"/>
    </w:r>
    <w:r>
      <w:rPr>
        <w:rStyle w:val="af0"/>
      </w:rPr>
      <w:instrText xml:space="preserve"> PAGE </w:instrText>
    </w:r>
    <w:r>
      <w:rPr>
        <w:rStyle w:val="af0"/>
      </w:rPr>
      <w:fldChar w:fldCharType="separate"/>
    </w:r>
    <w:r w:rsidR="00C51FF9">
      <w:rPr>
        <w:rStyle w:val="af0"/>
        <w:noProof/>
      </w:rPr>
      <w:t>15</w:t>
    </w:r>
    <w:r>
      <w:rPr>
        <w:rStyle w:val="af0"/>
      </w:rPr>
      <w:fldChar w:fldCharType="end"/>
    </w:r>
    <w:r>
      <w:rPr>
        <w:rStyle w:val="af0"/>
      </w:rPr>
      <w:t>/</w:t>
    </w:r>
    <w:r>
      <w:rPr>
        <w:rStyle w:val="af0"/>
      </w:rPr>
      <w:fldChar w:fldCharType="begin"/>
    </w:r>
    <w:r>
      <w:rPr>
        <w:rStyle w:val="af0"/>
      </w:rPr>
      <w:instrText xml:space="preserve"> NUMPAGES </w:instrText>
    </w:r>
    <w:r>
      <w:rPr>
        <w:rStyle w:val="af0"/>
      </w:rPr>
      <w:fldChar w:fldCharType="separate"/>
    </w:r>
    <w:r w:rsidR="00C51FF9">
      <w:rPr>
        <w:rStyle w:val="af0"/>
        <w:noProof/>
      </w:rPr>
      <w:t>27</w:t>
    </w:r>
    <w:r>
      <w:rPr>
        <w:rStyle w:val="af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9BD02D" w14:textId="77777777" w:rsidR="00436EC9" w:rsidRDefault="00436EC9">
      <w:pPr>
        <w:spacing w:after="0" w:line="240" w:lineRule="auto"/>
      </w:pPr>
      <w:r>
        <w:separator/>
      </w:r>
    </w:p>
  </w:footnote>
  <w:footnote w:type="continuationSeparator" w:id="0">
    <w:p w14:paraId="47860CA9" w14:textId="77777777" w:rsidR="00436EC9" w:rsidRDefault="00436E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E51A4" w14:textId="77777777" w:rsidR="009656D7" w:rsidRDefault="009656D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91B67"/>
    <w:multiLevelType w:val="hybridMultilevel"/>
    <w:tmpl w:val="3D88EEBC"/>
    <w:lvl w:ilvl="0" w:tplc="A1E2067C">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95959"/>
    <w:multiLevelType w:val="multilevel"/>
    <w:tmpl w:val="05E95959"/>
    <w:lvl w:ilvl="0">
      <w:start w:val="1"/>
      <w:numFmt w:val="decimal"/>
      <w:lvlText w:val="%1"/>
      <w:lvlJc w:val="left"/>
      <w:pPr>
        <w:tabs>
          <w:tab w:val="left" w:pos="10770"/>
        </w:tabs>
        <w:ind w:left="10770" w:hanging="1140"/>
      </w:pPr>
      <w:rPr>
        <w:rFonts w:hint="default"/>
      </w:rPr>
    </w:lvl>
    <w:lvl w:ilvl="1">
      <w:start w:val="1"/>
      <w:numFmt w:val="decimal"/>
      <w:lvlText w:val="%1.%2"/>
      <w:lvlJc w:val="left"/>
      <w:pPr>
        <w:tabs>
          <w:tab w:val="left" w:pos="1140"/>
        </w:tabs>
        <w:ind w:left="1140" w:hanging="1140"/>
      </w:pPr>
      <w:rPr>
        <w:rFonts w:hint="default"/>
      </w:rPr>
    </w:lvl>
    <w:lvl w:ilvl="2">
      <w:start w:val="1"/>
      <w:numFmt w:val="decimal"/>
      <w:lvlText w:val="%1.%2.%3"/>
      <w:lvlJc w:val="left"/>
      <w:pPr>
        <w:tabs>
          <w:tab w:val="left" w:pos="1140"/>
        </w:tabs>
        <w:ind w:left="1140" w:hanging="1140"/>
      </w:pPr>
      <w:rPr>
        <w:rFonts w:hint="default"/>
      </w:rPr>
    </w:lvl>
    <w:lvl w:ilvl="3">
      <w:start w:val="1"/>
      <w:numFmt w:val="decimal"/>
      <w:lvlText w:val="%1.%2.%3.%4"/>
      <w:lvlJc w:val="left"/>
      <w:pPr>
        <w:tabs>
          <w:tab w:val="left" w:pos="1140"/>
        </w:tabs>
        <w:ind w:left="1140" w:hanging="1140"/>
      </w:pPr>
      <w:rPr>
        <w:rFonts w:hint="default"/>
      </w:rPr>
    </w:lvl>
    <w:lvl w:ilvl="4">
      <w:start w:val="1"/>
      <w:numFmt w:val="decimal"/>
      <w:lvlText w:val="%1.%2.%3.%4.%5"/>
      <w:lvlJc w:val="left"/>
      <w:pPr>
        <w:tabs>
          <w:tab w:val="left" w:pos="1140"/>
        </w:tabs>
        <w:ind w:left="1140" w:hanging="1140"/>
      </w:pPr>
      <w:rPr>
        <w:rFonts w:hint="default"/>
      </w:rPr>
    </w:lvl>
    <w:lvl w:ilvl="5">
      <w:start w:val="1"/>
      <w:numFmt w:val="decimal"/>
      <w:lvlText w:val="%1.%2.%3.%4.%5.%6"/>
      <w:lvlJc w:val="left"/>
      <w:pPr>
        <w:tabs>
          <w:tab w:val="left" w:pos="1140"/>
        </w:tabs>
        <w:ind w:left="1140" w:hanging="1140"/>
      </w:pPr>
      <w:rPr>
        <w:rFonts w:hint="default"/>
      </w:rPr>
    </w:lvl>
    <w:lvl w:ilvl="6">
      <w:start w:val="1"/>
      <w:numFmt w:val="decimal"/>
      <w:lvlText w:val="%1.%2.%3.%4.%5.%6.%7"/>
      <w:lvlJc w:val="left"/>
      <w:pPr>
        <w:tabs>
          <w:tab w:val="left" w:pos="1140"/>
        </w:tabs>
        <w:ind w:left="1140" w:hanging="11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2" w15:restartNumberingAfterBreak="0">
    <w:nsid w:val="22ED217C"/>
    <w:multiLevelType w:val="multilevel"/>
    <w:tmpl w:val="22ED21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A594365"/>
    <w:multiLevelType w:val="multilevel"/>
    <w:tmpl w:val="2A59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BFB7669"/>
    <w:multiLevelType w:val="multilevel"/>
    <w:tmpl w:val="2BFB76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ECC3083"/>
    <w:multiLevelType w:val="multilevel"/>
    <w:tmpl w:val="4ECC308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5B411F07"/>
    <w:multiLevelType w:val="multilevel"/>
    <w:tmpl w:val="5B411F07"/>
    <w:lvl w:ilvl="0">
      <w:start w:val="1"/>
      <w:numFmt w:val="bullet"/>
      <w:lvlText w:val="•"/>
      <w:lvlJc w:val="left"/>
      <w:pPr>
        <w:ind w:left="1257" w:hanging="420"/>
      </w:pPr>
      <w:rPr>
        <w:rFonts w:ascii="Arial" w:hAnsi="Arial" w:hint="default"/>
      </w:rPr>
    </w:lvl>
    <w:lvl w:ilvl="1">
      <w:numFmt w:val="bullet"/>
      <w:lvlText w:val="-"/>
      <w:lvlJc w:val="left"/>
      <w:pPr>
        <w:ind w:left="1677" w:hanging="420"/>
      </w:pPr>
      <w:rPr>
        <w:rFonts w:ascii="Times New Roman" w:eastAsia="MS Mincho" w:hAnsi="Times New Roman" w:cs="Times New Roman" w:hint="default"/>
      </w:rPr>
    </w:lvl>
    <w:lvl w:ilvl="2">
      <w:start w:val="1"/>
      <w:numFmt w:val="bullet"/>
      <w:lvlText w:val=""/>
      <w:lvlJc w:val="left"/>
      <w:pPr>
        <w:ind w:left="2097" w:hanging="420"/>
      </w:pPr>
      <w:rPr>
        <w:rFonts w:ascii="Wingdings" w:hAnsi="Wingdings" w:hint="default"/>
      </w:rPr>
    </w:lvl>
    <w:lvl w:ilvl="3">
      <w:start w:val="1"/>
      <w:numFmt w:val="bullet"/>
      <w:lvlText w:val=""/>
      <w:lvlJc w:val="left"/>
      <w:pPr>
        <w:ind w:left="2517" w:hanging="420"/>
      </w:pPr>
      <w:rPr>
        <w:rFonts w:ascii="Wingdings" w:hAnsi="Wingdings" w:hint="default"/>
      </w:rPr>
    </w:lvl>
    <w:lvl w:ilvl="4">
      <w:start w:val="1"/>
      <w:numFmt w:val="bullet"/>
      <w:lvlText w:val=""/>
      <w:lvlJc w:val="left"/>
      <w:pPr>
        <w:ind w:left="2937" w:hanging="420"/>
      </w:pPr>
      <w:rPr>
        <w:rFonts w:ascii="Wingdings" w:hAnsi="Wingdings" w:hint="default"/>
      </w:rPr>
    </w:lvl>
    <w:lvl w:ilvl="5">
      <w:start w:val="1"/>
      <w:numFmt w:val="bullet"/>
      <w:lvlText w:val=""/>
      <w:lvlJc w:val="left"/>
      <w:pPr>
        <w:ind w:left="3357" w:hanging="420"/>
      </w:pPr>
      <w:rPr>
        <w:rFonts w:ascii="Wingdings" w:hAnsi="Wingdings" w:hint="default"/>
      </w:rPr>
    </w:lvl>
    <w:lvl w:ilvl="6">
      <w:start w:val="1"/>
      <w:numFmt w:val="bullet"/>
      <w:lvlText w:val=""/>
      <w:lvlJc w:val="left"/>
      <w:pPr>
        <w:ind w:left="3777" w:hanging="420"/>
      </w:pPr>
      <w:rPr>
        <w:rFonts w:ascii="Wingdings" w:hAnsi="Wingdings" w:hint="default"/>
      </w:rPr>
    </w:lvl>
    <w:lvl w:ilvl="7">
      <w:start w:val="1"/>
      <w:numFmt w:val="bullet"/>
      <w:lvlText w:val=""/>
      <w:lvlJc w:val="left"/>
      <w:pPr>
        <w:ind w:left="4197" w:hanging="420"/>
      </w:pPr>
      <w:rPr>
        <w:rFonts w:ascii="Wingdings" w:hAnsi="Wingdings" w:hint="default"/>
      </w:rPr>
    </w:lvl>
    <w:lvl w:ilvl="8">
      <w:start w:val="1"/>
      <w:numFmt w:val="bullet"/>
      <w:lvlText w:val=""/>
      <w:lvlJc w:val="left"/>
      <w:pPr>
        <w:ind w:left="4617" w:hanging="420"/>
      </w:pPr>
      <w:rPr>
        <w:rFonts w:ascii="Wingdings" w:hAnsi="Wingdings" w:hint="default"/>
      </w:rPr>
    </w:lvl>
  </w:abstractNum>
  <w:abstractNum w:abstractNumId="8" w15:restartNumberingAfterBreak="0">
    <w:nsid w:val="66981289"/>
    <w:multiLevelType w:val="multilevel"/>
    <w:tmpl w:val="6698128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68514B2D"/>
    <w:multiLevelType w:val="multilevel"/>
    <w:tmpl w:val="68514B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4DD0387"/>
    <w:multiLevelType w:val="multilevel"/>
    <w:tmpl w:val="74DD03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9602E1C"/>
    <w:multiLevelType w:val="multilevel"/>
    <w:tmpl w:val="79602E1C"/>
    <w:lvl w:ilvl="0">
      <w:start w:val="1"/>
      <w:numFmt w:val="lowerLetter"/>
      <w:lvlText w:val="%1)"/>
      <w:lvlJc w:val="left"/>
      <w:pPr>
        <w:ind w:left="420" w:hanging="420"/>
      </w:pPr>
    </w:lvl>
    <w:lvl w:ilvl="1">
      <w:start w:val="1"/>
      <w:numFmt w:val="bullet"/>
      <w:lvlText w:val="•"/>
      <w:lvlJc w:val="left"/>
      <w:pPr>
        <w:ind w:left="840" w:hanging="420"/>
      </w:pPr>
      <w:rPr>
        <w:rFonts w:ascii="Arial" w:hAnsi="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3"/>
  </w:num>
  <w:num w:numId="2">
    <w:abstractNumId w:val="12"/>
  </w:num>
  <w:num w:numId="3">
    <w:abstractNumId w:val="5"/>
  </w:num>
  <w:num w:numId="4">
    <w:abstractNumId w:val="1"/>
  </w:num>
  <w:num w:numId="5">
    <w:abstractNumId w:val="11"/>
  </w:num>
  <w:num w:numId="6">
    <w:abstractNumId w:val="2"/>
  </w:num>
  <w:num w:numId="7">
    <w:abstractNumId w:val="3"/>
  </w:num>
  <w:num w:numId="8">
    <w:abstractNumId w:val="4"/>
  </w:num>
  <w:num w:numId="9">
    <w:abstractNumId w:val="10"/>
  </w:num>
  <w:num w:numId="10">
    <w:abstractNumId w:val="7"/>
  </w:num>
  <w:num w:numId="11">
    <w:abstractNumId w:val="8"/>
  </w:num>
  <w:num w:numId="12">
    <w:abstractNumId w:val="9"/>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ctiveWritingStyle w:appName="MSWord" w:lang="fr-FR" w:vendorID="64" w:dllVersion="131078" w:nlCheck="1" w:checkStyle="0"/>
  <w:activeWritingStyle w:appName="MSWord" w:lang="en-GB" w:vendorID="64" w:dllVersion="131078" w:nlCheck="1" w:checkStyle="1"/>
  <w:activeWritingStyle w:appName="MSWord" w:lang="es-ES" w:vendorID="64" w:dllVersion="131078" w:nlCheck="1" w:checkStyle="0"/>
  <w:activeWritingStyle w:appName="MSWord" w:lang="en-US" w:vendorID="64" w:dllVersion="131078" w:nlCheck="1" w:checkStyle="1"/>
  <w:proofState w:spelling="clean" w:grammar="clean"/>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296"/>
    <w:rsid w:val="00001F83"/>
    <w:rsid w:val="00003D45"/>
    <w:rsid w:val="00005895"/>
    <w:rsid w:val="00005AD5"/>
    <w:rsid w:val="00005C95"/>
    <w:rsid w:val="000067D8"/>
    <w:rsid w:val="00007430"/>
    <w:rsid w:val="0000789C"/>
    <w:rsid w:val="00012684"/>
    <w:rsid w:val="00013519"/>
    <w:rsid w:val="00013AC4"/>
    <w:rsid w:val="00014F85"/>
    <w:rsid w:val="00015ADE"/>
    <w:rsid w:val="000162E1"/>
    <w:rsid w:val="00017C6B"/>
    <w:rsid w:val="0002016E"/>
    <w:rsid w:val="00020760"/>
    <w:rsid w:val="00021F58"/>
    <w:rsid w:val="00022216"/>
    <w:rsid w:val="00022611"/>
    <w:rsid w:val="00022E30"/>
    <w:rsid w:val="000236C6"/>
    <w:rsid w:val="000239F3"/>
    <w:rsid w:val="00024968"/>
    <w:rsid w:val="000263FF"/>
    <w:rsid w:val="00026991"/>
    <w:rsid w:val="000350B2"/>
    <w:rsid w:val="00036772"/>
    <w:rsid w:val="000369AA"/>
    <w:rsid w:val="000369C3"/>
    <w:rsid w:val="00037582"/>
    <w:rsid w:val="00037919"/>
    <w:rsid w:val="0004041F"/>
    <w:rsid w:val="00041246"/>
    <w:rsid w:val="00042869"/>
    <w:rsid w:val="00042BED"/>
    <w:rsid w:val="00042EA4"/>
    <w:rsid w:val="00043E01"/>
    <w:rsid w:val="00045BDF"/>
    <w:rsid w:val="00046020"/>
    <w:rsid w:val="00046554"/>
    <w:rsid w:val="00047265"/>
    <w:rsid w:val="000500F7"/>
    <w:rsid w:val="00052F0F"/>
    <w:rsid w:val="000543D1"/>
    <w:rsid w:val="00054E5C"/>
    <w:rsid w:val="000567F0"/>
    <w:rsid w:val="0005729B"/>
    <w:rsid w:val="00057947"/>
    <w:rsid w:val="00063DAE"/>
    <w:rsid w:val="000650B3"/>
    <w:rsid w:val="00065550"/>
    <w:rsid w:val="00065566"/>
    <w:rsid w:val="00067B28"/>
    <w:rsid w:val="000707F2"/>
    <w:rsid w:val="00071AA9"/>
    <w:rsid w:val="00071F0A"/>
    <w:rsid w:val="00076505"/>
    <w:rsid w:val="00077A25"/>
    <w:rsid w:val="00081CDD"/>
    <w:rsid w:val="0008215D"/>
    <w:rsid w:val="0008230A"/>
    <w:rsid w:val="00082A76"/>
    <w:rsid w:val="00085CDB"/>
    <w:rsid w:val="00086EC3"/>
    <w:rsid w:val="00087564"/>
    <w:rsid w:val="00087DAE"/>
    <w:rsid w:val="000915B9"/>
    <w:rsid w:val="0009174D"/>
    <w:rsid w:val="00095D03"/>
    <w:rsid w:val="00096010"/>
    <w:rsid w:val="000965E0"/>
    <w:rsid w:val="00097E6B"/>
    <w:rsid w:val="000A10B3"/>
    <w:rsid w:val="000A21A9"/>
    <w:rsid w:val="000A35E3"/>
    <w:rsid w:val="000A659F"/>
    <w:rsid w:val="000B052A"/>
    <w:rsid w:val="000B118C"/>
    <w:rsid w:val="000B1990"/>
    <w:rsid w:val="000B1B70"/>
    <w:rsid w:val="000B213C"/>
    <w:rsid w:val="000B240E"/>
    <w:rsid w:val="000B3E7A"/>
    <w:rsid w:val="000B5599"/>
    <w:rsid w:val="000B5F64"/>
    <w:rsid w:val="000C30A8"/>
    <w:rsid w:val="000C3880"/>
    <w:rsid w:val="000C4D41"/>
    <w:rsid w:val="000C5962"/>
    <w:rsid w:val="000C5D30"/>
    <w:rsid w:val="000C6FD1"/>
    <w:rsid w:val="000C7D28"/>
    <w:rsid w:val="000D1C42"/>
    <w:rsid w:val="000D3095"/>
    <w:rsid w:val="000D334F"/>
    <w:rsid w:val="000D4151"/>
    <w:rsid w:val="000D5647"/>
    <w:rsid w:val="000D756E"/>
    <w:rsid w:val="000D78E3"/>
    <w:rsid w:val="000E1342"/>
    <w:rsid w:val="000E176A"/>
    <w:rsid w:val="000E330D"/>
    <w:rsid w:val="000E362B"/>
    <w:rsid w:val="000E370F"/>
    <w:rsid w:val="000E3D75"/>
    <w:rsid w:val="000E3FCD"/>
    <w:rsid w:val="000E4651"/>
    <w:rsid w:val="000E6042"/>
    <w:rsid w:val="000F17C1"/>
    <w:rsid w:val="000F243A"/>
    <w:rsid w:val="000F2A2F"/>
    <w:rsid w:val="000F50DD"/>
    <w:rsid w:val="000F70C7"/>
    <w:rsid w:val="001000FD"/>
    <w:rsid w:val="0010027A"/>
    <w:rsid w:val="00100D50"/>
    <w:rsid w:val="0010118A"/>
    <w:rsid w:val="00101C4B"/>
    <w:rsid w:val="0010253A"/>
    <w:rsid w:val="001030EF"/>
    <w:rsid w:val="001044B8"/>
    <w:rsid w:val="00111629"/>
    <w:rsid w:val="001119A6"/>
    <w:rsid w:val="001146F8"/>
    <w:rsid w:val="00114D8E"/>
    <w:rsid w:val="001162F1"/>
    <w:rsid w:val="001204F1"/>
    <w:rsid w:val="00120A81"/>
    <w:rsid w:val="00122D19"/>
    <w:rsid w:val="001232EC"/>
    <w:rsid w:val="00124E25"/>
    <w:rsid w:val="00124E5D"/>
    <w:rsid w:val="00125229"/>
    <w:rsid w:val="00125558"/>
    <w:rsid w:val="00125DAC"/>
    <w:rsid w:val="001300A9"/>
    <w:rsid w:val="00132BDB"/>
    <w:rsid w:val="00134BEE"/>
    <w:rsid w:val="00135D79"/>
    <w:rsid w:val="0013602A"/>
    <w:rsid w:val="001369AD"/>
    <w:rsid w:val="00141499"/>
    <w:rsid w:val="0014319E"/>
    <w:rsid w:val="0014492A"/>
    <w:rsid w:val="00144F61"/>
    <w:rsid w:val="0014659F"/>
    <w:rsid w:val="00146E52"/>
    <w:rsid w:val="001473D4"/>
    <w:rsid w:val="00147790"/>
    <w:rsid w:val="00147964"/>
    <w:rsid w:val="00147BAE"/>
    <w:rsid w:val="00147D57"/>
    <w:rsid w:val="001526B8"/>
    <w:rsid w:val="001536B5"/>
    <w:rsid w:val="00154C05"/>
    <w:rsid w:val="0015563F"/>
    <w:rsid w:val="00155CC5"/>
    <w:rsid w:val="0015697F"/>
    <w:rsid w:val="0015790E"/>
    <w:rsid w:val="00160710"/>
    <w:rsid w:val="001617A5"/>
    <w:rsid w:val="001650C3"/>
    <w:rsid w:val="00165F33"/>
    <w:rsid w:val="00166438"/>
    <w:rsid w:val="00166645"/>
    <w:rsid w:val="00167E97"/>
    <w:rsid w:val="00170977"/>
    <w:rsid w:val="001711B6"/>
    <w:rsid w:val="00173143"/>
    <w:rsid w:val="00173346"/>
    <w:rsid w:val="00173833"/>
    <w:rsid w:val="00176A4C"/>
    <w:rsid w:val="0017766D"/>
    <w:rsid w:val="001802C6"/>
    <w:rsid w:val="001839D7"/>
    <w:rsid w:val="00184BF6"/>
    <w:rsid w:val="00184E59"/>
    <w:rsid w:val="001853AB"/>
    <w:rsid w:val="0018629F"/>
    <w:rsid w:val="001869C5"/>
    <w:rsid w:val="001905A1"/>
    <w:rsid w:val="001905F2"/>
    <w:rsid w:val="00190E24"/>
    <w:rsid w:val="00192935"/>
    <w:rsid w:val="00193D8B"/>
    <w:rsid w:val="00194F81"/>
    <w:rsid w:val="001952B4"/>
    <w:rsid w:val="001978DA"/>
    <w:rsid w:val="001A0106"/>
    <w:rsid w:val="001A010B"/>
    <w:rsid w:val="001A1128"/>
    <w:rsid w:val="001A1B4E"/>
    <w:rsid w:val="001A1E09"/>
    <w:rsid w:val="001A2BF9"/>
    <w:rsid w:val="001A39CB"/>
    <w:rsid w:val="001A3BBF"/>
    <w:rsid w:val="001A452F"/>
    <w:rsid w:val="001A53DE"/>
    <w:rsid w:val="001A5B60"/>
    <w:rsid w:val="001A5F61"/>
    <w:rsid w:val="001A73FC"/>
    <w:rsid w:val="001B0B8A"/>
    <w:rsid w:val="001B159B"/>
    <w:rsid w:val="001B1620"/>
    <w:rsid w:val="001B18A7"/>
    <w:rsid w:val="001B1B3A"/>
    <w:rsid w:val="001B1EC7"/>
    <w:rsid w:val="001B27CF"/>
    <w:rsid w:val="001B2E20"/>
    <w:rsid w:val="001B3634"/>
    <w:rsid w:val="001B36F8"/>
    <w:rsid w:val="001B7051"/>
    <w:rsid w:val="001B71F9"/>
    <w:rsid w:val="001B7AF9"/>
    <w:rsid w:val="001C099B"/>
    <w:rsid w:val="001C12D5"/>
    <w:rsid w:val="001C51D2"/>
    <w:rsid w:val="001C6F21"/>
    <w:rsid w:val="001D0240"/>
    <w:rsid w:val="001D05E9"/>
    <w:rsid w:val="001D0B60"/>
    <w:rsid w:val="001D119A"/>
    <w:rsid w:val="001D30C1"/>
    <w:rsid w:val="001D3DB8"/>
    <w:rsid w:val="001D4635"/>
    <w:rsid w:val="001D52EB"/>
    <w:rsid w:val="001E008E"/>
    <w:rsid w:val="001E0B5B"/>
    <w:rsid w:val="001E1134"/>
    <w:rsid w:val="001E3751"/>
    <w:rsid w:val="001E3BA7"/>
    <w:rsid w:val="001E796D"/>
    <w:rsid w:val="001E7EFE"/>
    <w:rsid w:val="001F0F79"/>
    <w:rsid w:val="001F57B7"/>
    <w:rsid w:val="001F5AE9"/>
    <w:rsid w:val="001F5D84"/>
    <w:rsid w:val="001F70E2"/>
    <w:rsid w:val="001F7EC8"/>
    <w:rsid w:val="00202B5E"/>
    <w:rsid w:val="0020566E"/>
    <w:rsid w:val="00205ABE"/>
    <w:rsid w:val="00205ED3"/>
    <w:rsid w:val="00207DD8"/>
    <w:rsid w:val="0021012D"/>
    <w:rsid w:val="00210BBD"/>
    <w:rsid w:val="0021101B"/>
    <w:rsid w:val="00212CB8"/>
    <w:rsid w:val="002152D5"/>
    <w:rsid w:val="002162F8"/>
    <w:rsid w:val="00216F87"/>
    <w:rsid w:val="00217C09"/>
    <w:rsid w:val="00220AAF"/>
    <w:rsid w:val="0022619C"/>
    <w:rsid w:val="002261C8"/>
    <w:rsid w:val="00230057"/>
    <w:rsid w:val="00232A53"/>
    <w:rsid w:val="00232FA1"/>
    <w:rsid w:val="002331A3"/>
    <w:rsid w:val="00233DFF"/>
    <w:rsid w:val="00234B9A"/>
    <w:rsid w:val="00234E07"/>
    <w:rsid w:val="0023506C"/>
    <w:rsid w:val="00236846"/>
    <w:rsid w:val="002407DF"/>
    <w:rsid w:val="00241466"/>
    <w:rsid w:val="002424FF"/>
    <w:rsid w:val="00242ACD"/>
    <w:rsid w:val="00242B6A"/>
    <w:rsid w:val="00244F6A"/>
    <w:rsid w:val="00244FFA"/>
    <w:rsid w:val="00245257"/>
    <w:rsid w:val="00245D5E"/>
    <w:rsid w:val="00245F3F"/>
    <w:rsid w:val="00247081"/>
    <w:rsid w:val="002500D0"/>
    <w:rsid w:val="00250197"/>
    <w:rsid w:val="00252106"/>
    <w:rsid w:val="0025313B"/>
    <w:rsid w:val="00253577"/>
    <w:rsid w:val="00254B59"/>
    <w:rsid w:val="00254F67"/>
    <w:rsid w:val="00255F0A"/>
    <w:rsid w:val="00256BFC"/>
    <w:rsid w:val="00260902"/>
    <w:rsid w:val="00262295"/>
    <w:rsid w:val="0026264B"/>
    <w:rsid w:val="00262FFA"/>
    <w:rsid w:val="0026381F"/>
    <w:rsid w:val="00264BDF"/>
    <w:rsid w:val="00270AAD"/>
    <w:rsid w:val="002742EE"/>
    <w:rsid w:val="00274D8B"/>
    <w:rsid w:val="00275989"/>
    <w:rsid w:val="00276556"/>
    <w:rsid w:val="00276E88"/>
    <w:rsid w:val="00277DA5"/>
    <w:rsid w:val="00277DE8"/>
    <w:rsid w:val="002804CE"/>
    <w:rsid w:val="00280A84"/>
    <w:rsid w:val="0028231E"/>
    <w:rsid w:val="002825F3"/>
    <w:rsid w:val="0028552C"/>
    <w:rsid w:val="00285E74"/>
    <w:rsid w:val="0028697C"/>
    <w:rsid w:val="00287AD9"/>
    <w:rsid w:val="00287B8D"/>
    <w:rsid w:val="00291786"/>
    <w:rsid w:val="00291A65"/>
    <w:rsid w:val="00292507"/>
    <w:rsid w:val="00292A1A"/>
    <w:rsid w:val="00292F3C"/>
    <w:rsid w:val="0029388D"/>
    <w:rsid w:val="002942C1"/>
    <w:rsid w:val="00294D80"/>
    <w:rsid w:val="00296955"/>
    <w:rsid w:val="00297F50"/>
    <w:rsid w:val="002A141C"/>
    <w:rsid w:val="002A1C8B"/>
    <w:rsid w:val="002A30DB"/>
    <w:rsid w:val="002A3F7C"/>
    <w:rsid w:val="002A51AF"/>
    <w:rsid w:val="002A532D"/>
    <w:rsid w:val="002A5FD3"/>
    <w:rsid w:val="002B0A60"/>
    <w:rsid w:val="002B0F6D"/>
    <w:rsid w:val="002B13C8"/>
    <w:rsid w:val="002B2028"/>
    <w:rsid w:val="002B2239"/>
    <w:rsid w:val="002B2E5B"/>
    <w:rsid w:val="002B2E77"/>
    <w:rsid w:val="002B302D"/>
    <w:rsid w:val="002B329E"/>
    <w:rsid w:val="002B57F0"/>
    <w:rsid w:val="002C0837"/>
    <w:rsid w:val="002C1AA9"/>
    <w:rsid w:val="002C28DC"/>
    <w:rsid w:val="002C343D"/>
    <w:rsid w:val="002C3D2F"/>
    <w:rsid w:val="002C467F"/>
    <w:rsid w:val="002C481C"/>
    <w:rsid w:val="002C4DBD"/>
    <w:rsid w:val="002D0EEA"/>
    <w:rsid w:val="002D1114"/>
    <w:rsid w:val="002D20C0"/>
    <w:rsid w:val="002D215F"/>
    <w:rsid w:val="002D2749"/>
    <w:rsid w:val="002D43BB"/>
    <w:rsid w:val="002D43C9"/>
    <w:rsid w:val="002D7182"/>
    <w:rsid w:val="002D79FA"/>
    <w:rsid w:val="002E0ABA"/>
    <w:rsid w:val="002E213A"/>
    <w:rsid w:val="002E27C8"/>
    <w:rsid w:val="002E2C16"/>
    <w:rsid w:val="002E3345"/>
    <w:rsid w:val="002E35D3"/>
    <w:rsid w:val="002F10FD"/>
    <w:rsid w:val="002F1988"/>
    <w:rsid w:val="002F1A2E"/>
    <w:rsid w:val="002F43B2"/>
    <w:rsid w:val="002F7B54"/>
    <w:rsid w:val="00300CD1"/>
    <w:rsid w:val="00310C18"/>
    <w:rsid w:val="00314925"/>
    <w:rsid w:val="00314B41"/>
    <w:rsid w:val="00316C77"/>
    <w:rsid w:val="003175FA"/>
    <w:rsid w:val="0031799C"/>
    <w:rsid w:val="00320A33"/>
    <w:rsid w:val="00320EF9"/>
    <w:rsid w:val="003214D1"/>
    <w:rsid w:val="003216E0"/>
    <w:rsid w:val="00321A89"/>
    <w:rsid w:val="003225F3"/>
    <w:rsid w:val="003231F2"/>
    <w:rsid w:val="00323D61"/>
    <w:rsid w:val="00325AAE"/>
    <w:rsid w:val="003267A3"/>
    <w:rsid w:val="003268C2"/>
    <w:rsid w:val="00331E5B"/>
    <w:rsid w:val="003333C2"/>
    <w:rsid w:val="00333CDE"/>
    <w:rsid w:val="00333E25"/>
    <w:rsid w:val="00334AA9"/>
    <w:rsid w:val="0033504E"/>
    <w:rsid w:val="003359D4"/>
    <w:rsid w:val="00335CDD"/>
    <w:rsid w:val="003362EB"/>
    <w:rsid w:val="0033638B"/>
    <w:rsid w:val="00336DA5"/>
    <w:rsid w:val="0033704C"/>
    <w:rsid w:val="003404DE"/>
    <w:rsid w:val="00340D26"/>
    <w:rsid w:val="003415ED"/>
    <w:rsid w:val="00343629"/>
    <w:rsid w:val="00345317"/>
    <w:rsid w:val="00345638"/>
    <w:rsid w:val="00350008"/>
    <w:rsid w:val="00350D2C"/>
    <w:rsid w:val="003516D7"/>
    <w:rsid w:val="00352816"/>
    <w:rsid w:val="0035424A"/>
    <w:rsid w:val="003543EE"/>
    <w:rsid w:val="00354A62"/>
    <w:rsid w:val="00355044"/>
    <w:rsid w:val="003559D1"/>
    <w:rsid w:val="00355ABE"/>
    <w:rsid w:val="00356B8B"/>
    <w:rsid w:val="00356D65"/>
    <w:rsid w:val="003619D0"/>
    <w:rsid w:val="00362F3B"/>
    <w:rsid w:val="003646A0"/>
    <w:rsid w:val="0036496B"/>
    <w:rsid w:val="00370D4F"/>
    <w:rsid w:val="00374FC9"/>
    <w:rsid w:val="0037613E"/>
    <w:rsid w:val="00380B18"/>
    <w:rsid w:val="00382105"/>
    <w:rsid w:val="00382C3B"/>
    <w:rsid w:val="0038329C"/>
    <w:rsid w:val="0038341C"/>
    <w:rsid w:val="0038354F"/>
    <w:rsid w:val="00383DDE"/>
    <w:rsid w:val="00386F50"/>
    <w:rsid w:val="00387099"/>
    <w:rsid w:val="0039008E"/>
    <w:rsid w:val="003907A8"/>
    <w:rsid w:val="00391566"/>
    <w:rsid w:val="00392322"/>
    <w:rsid w:val="00392819"/>
    <w:rsid w:val="003964A4"/>
    <w:rsid w:val="003966BA"/>
    <w:rsid w:val="00396D35"/>
    <w:rsid w:val="003A012C"/>
    <w:rsid w:val="003A2884"/>
    <w:rsid w:val="003B0086"/>
    <w:rsid w:val="003B0A9A"/>
    <w:rsid w:val="003B0F05"/>
    <w:rsid w:val="003B1145"/>
    <w:rsid w:val="003B1F3F"/>
    <w:rsid w:val="003B2922"/>
    <w:rsid w:val="003B2AA9"/>
    <w:rsid w:val="003B3682"/>
    <w:rsid w:val="003B4098"/>
    <w:rsid w:val="003B5465"/>
    <w:rsid w:val="003B581A"/>
    <w:rsid w:val="003C0419"/>
    <w:rsid w:val="003C0B13"/>
    <w:rsid w:val="003C1A82"/>
    <w:rsid w:val="003C5465"/>
    <w:rsid w:val="003C5BD8"/>
    <w:rsid w:val="003C6977"/>
    <w:rsid w:val="003C7BF5"/>
    <w:rsid w:val="003C7DA0"/>
    <w:rsid w:val="003D0CB1"/>
    <w:rsid w:val="003D11EB"/>
    <w:rsid w:val="003D2DBF"/>
    <w:rsid w:val="003D48F0"/>
    <w:rsid w:val="003D51EC"/>
    <w:rsid w:val="003D66A5"/>
    <w:rsid w:val="003D78FD"/>
    <w:rsid w:val="003D7FC5"/>
    <w:rsid w:val="003E14C5"/>
    <w:rsid w:val="003E14E1"/>
    <w:rsid w:val="003E4EB7"/>
    <w:rsid w:val="003E5411"/>
    <w:rsid w:val="003E6325"/>
    <w:rsid w:val="003E70DF"/>
    <w:rsid w:val="003F1061"/>
    <w:rsid w:val="003F14E0"/>
    <w:rsid w:val="003F3AE4"/>
    <w:rsid w:val="003F444C"/>
    <w:rsid w:val="003F5B8B"/>
    <w:rsid w:val="003F60AF"/>
    <w:rsid w:val="003F6366"/>
    <w:rsid w:val="003F6565"/>
    <w:rsid w:val="00400A2E"/>
    <w:rsid w:val="00403BCF"/>
    <w:rsid w:val="0040494C"/>
    <w:rsid w:val="00404FFC"/>
    <w:rsid w:val="004054D3"/>
    <w:rsid w:val="00407AA7"/>
    <w:rsid w:val="00410A8D"/>
    <w:rsid w:val="00410EAA"/>
    <w:rsid w:val="004114FE"/>
    <w:rsid w:val="00411D06"/>
    <w:rsid w:val="00412E27"/>
    <w:rsid w:val="00412F02"/>
    <w:rsid w:val="00413C91"/>
    <w:rsid w:val="00413FD8"/>
    <w:rsid w:val="0041454F"/>
    <w:rsid w:val="0041506D"/>
    <w:rsid w:val="00415B73"/>
    <w:rsid w:val="00416B8A"/>
    <w:rsid w:val="00417DEE"/>
    <w:rsid w:val="00421B57"/>
    <w:rsid w:val="00421EF8"/>
    <w:rsid w:val="00423CEA"/>
    <w:rsid w:val="00425C37"/>
    <w:rsid w:val="00426325"/>
    <w:rsid w:val="00426EA5"/>
    <w:rsid w:val="00427989"/>
    <w:rsid w:val="00427E2F"/>
    <w:rsid w:val="0043047E"/>
    <w:rsid w:val="00430B18"/>
    <w:rsid w:val="00430BFA"/>
    <w:rsid w:val="00430CC5"/>
    <w:rsid w:val="00431380"/>
    <w:rsid w:val="0043146A"/>
    <w:rsid w:val="00434D8F"/>
    <w:rsid w:val="00436176"/>
    <w:rsid w:val="00436291"/>
    <w:rsid w:val="00436E93"/>
    <w:rsid w:val="00436EC9"/>
    <w:rsid w:val="004401BE"/>
    <w:rsid w:val="00440303"/>
    <w:rsid w:val="00441768"/>
    <w:rsid w:val="0044213B"/>
    <w:rsid w:val="00443496"/>
    <w:rsid w:val="00443AD7"/>
    <w:rsid w:val="00443F9F"/>
    <w:rsid w:val="0044530B"/>
    <w:rsid w:val="004456A9"/>
    <w:rsid w:val="00446569"/>
    <w:rsid w:val="004466BF"/>
    <w:rsid w:val="00447294"/>
    <w:rsid w:val="0045103D"/>
    <w:rsid w:val="00451FD8"/>
    <w:rsid w:val="004523F4"/>
    <w:rsid w:val="004566ED"/>
    <w:rsid w:val="00456A24"/>
    <w:rsid w:val="00456BD4"/>
    <w:rsid w:val="00457041"/>
    <w:rsid w:val="0045769E"/>
    <w:rsid w:val="00461019"/>
    <w:rsid w:val="0046275D"/>
    <w:rsid w:val="00462BE6"/>
    <w:rsid w:val="00464CA3"/>
    <w:rsid w:val="0046551E"/>
    <w:rsid w:val="00465E7B"/>
    <w:rsid w:val="004705D7"/>
    <w:rsid w:val="00470B8F"/>
    <w:rsid w:val="00476823"/>
    <w:rsid w:val="00476C2A"/>
    <w:rsid w:val="00477208"/>
    <w:rsid w:val="00480C10"/>
    <w:rsid w:val="00482BA8"/>
    <w:rsid w:val="00483468"/>
    <w:rsid w:val="00483DE7"/>
    <w:rsid w:val="004849EF"/>
    <w:rsid w:val="0048606B"/>
    <w:rsid w:val="00486581"/>
    <w:rsid w:val="00486BCA"/>
    <w:rsid w:val="00486F78"/>
    <w:rsid w:val="0049177D"/>
    <w:rsid w:val="00491CD0"/>
    <w:rsid w:val="0049213F"/>
    <w:rsid w:val="0049278F"/>
    <w:rsid w:val="0049414B"/>
    <w:rsid w:val="00494BD5"/>
    <w:rsid w:val="0049613A"/>
    <w:rsid w:val="00496D8F"/>
    <w:rsid w:val="004A062D"/>
    <w:rsid w:val="004A155B"/>
    <w:rsid w:val="004A28BE"/>
    <w:rsid w:val="004A2F97"/>
    <w:rsid w:val="004A3AAA"/>
    <w:rsid w:val="004A772F"/>
    <w:rsid w:val="004B0810"/>
    <w:rsid w:val="004B2956"/>
    <w:rsid w:val="004B3AF1"/>
    <w:rsid w:val="004B4549"/>
    <w:rsid w:val="004B49AA"/>
    <w:rsid w:val="004B5245"/>
    <w:rsid w:val="004B546B"/>
    <w:rsid w:val="004B5629"/>
    <w:rsid w:val="004C0ECA"/>
    <w:rsid w:val="004C3364"/>
    <w:rsid w:val="004C4776"/>
    <w:rsid w:val="004C4902"/>
    <w:rsid w:val="004C58B1"/>
    <w:rsid w:val="004C5F77"/>
    <w:rsid w:val="004C7CDC"/>
    <w:rsid w:val="004C7EDB"/>
    <w:rsid w:val="004D2913"/>
    <w:rsid w:val="004D3F76"/>
    <w:rsid w:val="004D442C"/>
    <w:rsid w:val="004D5290"/>
    <w:rsid w:val="004D5383"/>
    <w:rsid w:val="004D58A2"/>
    <w:rsid w:val="004D634E"/>
    <w:rsid w:val="004D675A"/>
    <w:rsid w:val="004D6CD6"/>
    <w:rsid w:val="004D70D1"/>
    <w:rsid w:val="004E1B16"/>
    <w:rsid w:val="004E26B2"/>
    <w:rsid w:val="004E29B7"/>
    <w:rsid w:val="004E40C4"/>
    <w:rsid w:val="004E6F59"/>
    <w:rsid w:val="004F0A84"/>
    <w:rsid w:val="004F1DD7"/>
    <w:rsid w:val="004F25FD"/>
    <w:rsid w:val="004F418F"/>
    <w:rsid w:val="004F493F"/>
    <w:rsid w:val="004F53B6"/>
    <w:rsid w:val="004F6DE5"/>
    <w:rsid w:val="005000AD"/>
    <w:rsid w:val="00500B75"/>
    <w:rsid w:val="005016CD"/>
    <w:rsid w:val="0050355D"/>
    <w:rsid w:val="005035D9"/>
    <w:rsid w:val="005048CD"/>
    <w:rsid w:val="00505979"/>
    <w:rsid w:val="00506171"/>
    <w:rsid w:val="00507E7B"/>
    <w:rsid w:val="0051062E"/>
    <w:rsid w:val="00511945"/>
    <w:rsid w:val="00512212"/>
    <w:rsid w:val="0051448E"/>
    <w:rsid w:val="00517F9D"/>
    <w:rsid w:val="00520C40"/>
    <w:rsid w:val="00520E7B"/>
    <w:rsid w:val="00520F4B"/>
    <w:rsid w:val="00521237"/>
    <w:rsid w:val="00523692"/>
    <w:rsid w:val="00524FF3"/>
    <w:rsid w:val="0052544B"/>
    <w:rsid w:val="0052585C"/>
    <w:rsid w:val="00527F03"/>
    <w:rsid w:val="00527F8A"/>
    <w:rsid w:val="0053163A"/>
    <w:rsid w:val="005328B5"/>
    <w:rsid w:val="00535BED"/>
    <w:rsid w:val="00537332"/>
    <w:rsid w:val="00540E6C"/>
    <w:rsid w:val="005419EC"/>
    <w:rsid w:val="00543758"/>
    <w:rsid w:val="005446A1"/>
    <w:rsid w:val="00546633"/>
    <w:rsid w:val="005466F8"/>
    <w:rsid w:val="0054719B"/>
    <w:rsid w:val="00547460"/>
    <w:rsid w:val="0055067C"/>
    <w:rsid w:val="00552A1E"/>
    <w:rsid w:val="005571B6"/>
    <w:rsid w:val="0055738F"/>
    <w:rsid w:val="00557D4B"/>
    <w:rsid w:val="00560F08"/>
    <w:rsid w:val="00561607"/>
    <w:rsid w:val="00562029"/>
    <w:rsid w:val="00562C80"/>
    <w:rsid w:val="00563704"/>
    <w:rsid w:val="00563C40"/>
    <w:rsid w:val="00563FBF"/>
    <w:rsid w:val="0056568B"/>
    <w:rsid w:val="00565DF4"/>
    <w:rsid w:val="0056646A"/>
    <w:rsid w:val="0057199B"/>
    <w:rsid w:val="0057307D"/>
    <w:rsid w:val="0057572F"/>
    <w:rsid w:val="00576110"/>
    <w:rsid w:val="00576F7A"/>
    <w:rsid w:val="00580B52"/>
    <w:rsid w:val="00582CAB"/>
    <w:rsid w:val="00585650"/>
    <w:rsid w:val="00586156"/>
    <w:rsid w:val="00586567"/>
    <w:rsid w:val="005865C0"/>
    <w:rsid w:val="00587DD7"/>
    <w:rsid w:val="00590A37"/>
    <w:rsid w:val="0059205F"/>
    <w:rsid w:val="00592355"/>
    <w:rsid w:val="00592596"/>
    <w:rsid w:val="00593C94"/>
    <w:rsid w:val="005941EE"/>
    <w:rsid w:val="0059466F"/>
    <w:rsid w:val="00595973"/>
    <w:rsid w:val="00597070"/>
    <w:rsid w:val="00597697"/>
    <w:rsid w:val="005A215E"/>
    <w:rsid w:val="005A312F"/>
    <w:rsid w:val="005A4768"/>
    <w:rsid w:val="005A541F"/>
    <w:rsid w:val="005A6DE2"/>
    <w:rsid w:val="005A74CD"/>
    <w:rsid w:val="005A7AA1"/>
    <w:rsid w:val="005B0A3D"/>
    <w:rsid w:val="005B57A9"/>
    <w:rsid w:val="005B6775"/>
    <w:rsid w:val="005B684F"/>
    <w:rsid w:val="005B7AE6"/>
    <w:rsid w:val="005C0297"/>
    <w:rsid w:val="005C11E1"/>
    <w:rsid w:val="005C4924"/>
    <w:rsid w:val="005C4C86"/>
    <w:rsid w:val="005D201C"/>
    <w:rsid w:val="005D3FCC"/>
    <w:rsid w:val="005D5A87"/>
    <w:rsid w:val="005D681F"/>
    <w:rsid w:val="005D6B6E"/>
    <w:rsid w:val="005D776C"/>
    <w:rsid w:val="005D7B4E"/>
    <w:rsid w:val="005E3B3C"/>
    <w:rsid w:val="005E55F7"/>
    <w:rsid w:val="005E6325"/>
    <w:rsid w:val="005F1605"/>
    <w:rsid w:val="005F3A25"/>
    <w:rsid w:val="005F604D"/>
    <w:rsid w:val="00600B37"/>
    <w:rsid w:val="00601F79"/>
    <w:rsid w:val="0060301B"/>
    <w:rsid w:val="006039A2"/>
    <w:rsid w:val="00606978"/>
    <w:rsid w:val="00610DC9"/>
    <w:rsid w:val="00612769"/>
    <w:rsid w:val="006130D9"/>
    <w:rsid w:val="00614C79"/>
    <w:rsid w:val="00615C45"/>
    <w:rsid w:val="00616667"/>
    <w:rsid w:val="006169A7"/>
    <w:rsid w:val="00616B50"/>
    <w:rsid w:val="006172A4"/>
    <w:rsid w:val="006175A2"/>
    <w:rsid w:val="00620296"/>
    <w:rsid w:val="00621280"/>
    <w:rsid w:val="00621B09"/>
    <w:rsid w:val="00623263"/>
    <w:rsid w:val="006300EC"/>
    <w:rsid w:val="00632162"/>
    <w:rsid w:val="00633EE1"/>
    <w:rsid w:val="00634A07"/>
    <w:rsid w:val="0063536F"/>
    <w:rsid w:val="00635D0F"/>
    <w:rsid w:val="006362AA"/>
    <w:rsid w:val="00636D1E"/>
    <w:rsid w:val="00640363"/>
    <w:rsid w:val="00641CBA"/>
    <w:rsid w:val="0064384F"/>
    <w:rsid w:val="00644B01"/>
    <w:rsid w:val="00644C95"/>
    <w:rsid w:val="00645661"/>
    <w:rsid w:val="006479B6"/>
    <w:rsid w:val="00647D8A"/>
    <w:rsid w:val="00650C54"/>
    <w:rsid w:val="00651767"/>
    <w:rsid w:val="00651E33"/>
    <w:rsid w:val="006530FE"/>
    <w:rsid w:val="006539BA"/>
    <w:rsid w:val="00662A01"/>
    <w:rsid w:val="00662BF0"/>
    <w:rsid w:val="00663377"/>
    <w:rsid w:val="006634DF"/>
    <w:rsid w:val="006667EA"/>
    <w:rsid w:val="00667988"/>
    <w:rsid w:val="00667A31"/>
    <w:rsid w:val="00671081"/>
    <w:rsid w:val="006723D9"/>
    <w:rsid w:val="00672CE3"/>
    <w:rsid w:val="006739DF"/>
    <w:rsid w:val="00673FC5"/>
    <w:rsid w:val="00674A20"/>
    <w:rsid w:val="0067682C"/>
    <w:rsid w:val="00676AA4"/>
    <w:rsid w:val="006805FD"/>
    <w:rsid w:val="00680713"/>
    <w:rsid w:val="006807E3"/>
    <w:rsid w:val="00681052"/>
    <w:rsid w:val="0068284D"/>
    <w:rsid w:val="006829D6"/>
    <w:rsid w:val="00682FD4"/>
    <w:rsid w:val="00683301"/>
    <w:rsid w:val="0068481E"/>
    <w:rsid w:val="006878DA"/>
    <w:rsid w:val="0069025C"/>
    <w:rsid w:val="006905AC"/>
    <w:rsid w:val="00691B3F"/>
    <w:rsid w:val="0069423D"/>
    <w:rsid w:val="00694ED0"/>
    <w:rsid w:val="00697149"/>
    <w:rsid w:val="006A03EC"/>
    <w:rsid w:val="006A04FA"/>
    <w:rsid w:val="006A135D"/>
    <w:rsid w:val="006A5595"/>
    <w:rsid w:val="006A7799"/>
    <w:rsid w:val="006B2436"/>
    <w:rsid w:val="006B30A6"/>
    <w:rsid w:val="006B3A59"/>
    <w:rsid w:val="006C1CA5"/>
    <w:rsid w:val="006C1D96"/>
    <w:rsid w:val="006C58AD"/>
    <w:rsid w:val="006C5C00"/>
    <w:rsid w:val="006C5ED9"/>
    <w:rsid w:val="006C712A"/>
    <w:rsid w:val="006D0302"/>
    <w:rsid w:val="006D075E"/>
    <w:rsid w:val="006D3C51"/>
    <w:rsid w:val="006D54DA"/>
    <w:rsid w:val="006E0079"/>
    <w:rsid w:val="006E175E"/>
    <w:rsid w:val="006E192E"/>
    <w:rsid w:val="006E3309"/>
    <w:rsid w:val="006E3969"/>
    <w:rsid w:val="006E5495"/>
    <w:rsid w:val="006E5B7D"/>
    <w:rsid w:val="006E5E06"/>
    <w:rsid w:val="006E7E2E"/>
    <w:rsid w:val="006F0B78"/>
    <w:rsid w:val="006F24E7"/>
    <w:rsid w:val="006F407F"/>
    <w:rsid w:val="00700F48"/>
    <w:rsid w:val="00702EB8"/>
    <w:rsid w:val="00703B1D"/>
    <w:rsid w:val="00703FB8"/>
    <w:rsid w:val="007049A3"/>
    <w:rsid w:val="00706359"/>
    <w:rsid w:val="00710096"/>
    <w:rsid w:val="0071009A"/>
    <w:rsid w:val="007113A5"/>
    <w:rsid w:val="00712955"/>
    <w:rsid w:val="00712994"/>
    <w:rsid w:val="00712BC8"/>
    <w:rsid w:val="007130B5"/>
    <w:rsid w:val="00714281"/>
    <w:rsid w:val="00714F60"/>
    <w:rsid w:val="007165F3"/>
    <w:rsid w:val="00717AD3"/>
    <w:rsid w:val="00717CCC"/>
    <w:rsid w:val="0072121A"/>
    <w:rsid w:val="007223A0"/>
    <w:rsid w:val="00722924"/>
    <w:rsid w:val="00722FB5"/>
    <w:rsid w:val="00724803"/>
    <w:rsid w:val="00727C3C"/>
    <w:rsid w:val="00730F58"/>
    <w:rsid w:val="00731046"/>
    <w:rsid w:val="00731659"/>
    <w:rsid w:val="00731998"/>
    <w:rsid w:val="00731C13"/>
    <w:rsid w:val="007331DA"/>
    <w:rsid w:val="007366C0"/>
    <w:rsid w:val="00737E91"/>
    <w:rsid w:val="0074325F"/>
    <w:rsid w:val="007434D3"/>
    <w:rsid w:val="007435A6"/>
    <w:rsid w:val="00743D60"/>
    <w:rsid w:val="00743E6C"/>
    <w:rsid w:val="00745B50"/>
    <w:rsid w:val="00745BCD"/>
    <w:rsid w:val="007473E4"/>
    <w:rsid w:val="007523BC"/>
    <w:rsid w:val="0075364E"/>
    <w:rsid w:val="00754914"/>
    <w:rsid w:val="0075556D"/>
    <w:rsid w:val="0075604E"/>
    <w:rsid w:val="00757451"/>
    <w:rsid w:val="007575DD"/>
    <w:rsid w:val="007641EE"/>
    <w:rsid w:val="00764301"/>
    <w:rsid w:val="00764B13"/>
    <w:rsid w:val="00764E5A"/>
    <w:rsid w:val="007652C4"/>
    <w:rsid w:val="00766AE7"/>
    <w:rsid w:val="00767D7C"/>
    <w:rsid w:val="00770E8B"/>
    <w:rsid w:val="00771D33"/>
    <w:rsid w:val="00773052"/>
    <w:rsid w:val="0077522D"/>
    <w:rsid w:val="00776B36"/>
    <w:rsid w:val="00784DC8"/>
    <w:rsid w:val="007851C8"/>
    <w:rsid w:val="00786392"/>
    <w:rsid w:val="007863B5"/>
    <w:rsid w:val="00787678"/>
    <w:rsid w:val="00787FFB"/>
    <w:rsid w:val="007910AB"/>
    <w:rsid w:val="0079152D"/>
    <w:rsid w:val="00791E18"/>
    <w:rsid w:val="0079416A"/>
    <w:rsid w:val="00794448"/>
    <w:rsid w:val="0079447F"/>
    <w:rsid w:val="00794C79"/>
    <w:rsid w:val="0079595B"/>
    <w:rsid w:val="007967ED"/>
    <w:rsid w:val="00796D4E"/>
    <w:rsid w:val="00796E96"/>
    <w:rsid w:val="007A1213"/>
    <w:rsid w:val="007A1EB1"/>
    <w:rsid w:val="007A373F"/>
    <w:rsid w:val="007A47FC"/>
    <w:rsid w:val="007A62ED"/>
    <w:rsid w:val="007B1CA7"/>
    <w:rsid w:val="007B2370"/>
    <w:rsid w:val="007B28A2"/>
    <w:rsid w:val="007B2C43"/>
    <w:rsid w:val="007B3113"/>
    <w:rsid w:val="007B5D9A"/>
    <w:rsid w:val="007B5F2E"/>
    <w:rsid w:val="007B62B2"/>
    <w:rsid w:val="007C0603"/>
    <w:rsid w:val="007C0C7E"/>
    <w:rsid w:val="007C195F"/>
    <w:rsid w:val="007C1CB5"/>
    <w:rsid w:val="007C23A1"/>
    <w:rsid w:val="007C370A"/>
    <w:rsid w:val="007C3908"/>
    <w:rsid w:val="007C4E74"/>
    <w:rsid w:val="007C6C95"/>
    <w:rsid w:val="007D0AD4"/>
    <w:rsid w:val="007D1678"/>
    <w:rsid w:val="007D38E7"/>
    <w:rsid w:val="007D3C0C"/>
    <w:rsid w:val="007D4525"/>
    <w:rsid w:val="007D461B"/>
    <w:rsid w:val="007D47EE"/>
    <w:rsid w:val="007D55F4"/>
    <w:rsid w:val="007D5B76"/>
    <w:rsid w:val="007D69FE"/>
    <w:rsid w:val="007D721B"/>
    <w:rsid w:val="007D7D06"/>
    <w:rsid w:val="007E48DD"/>
    <w:rsid w:val="007E5F0B"/>
    <w:rsid w:val="007E6B5F"/>
    <w:rsid w:val="007E7769"/>
    <w:rsid w:val="007F0499"/>
    <w:rsid w:val="007F0DE1"/>
    <w:rsid w:val="007F14CD"/>
    <w:rsid w:val="007F359F"/>
    <w:rsid w:val="007F6421"/>
    <w:rsid w:val="007F6F4C"/>
    <w:rsid w:val="007F72E4"/>
    <w:rsid w:val="00801350"/>
    <w:rsid w:val="0080168D"/>
    <w:rsid w:val="008019C7"/>
    <w:rsid w:val="00801FF0"/>
    <w:rsid w:val="00802BEF"/>
    <w:rsid w:val="008055C7"/>
    <w:rsid w:val="008059AF"/>
    <w:rsid w:val="0080655B"/>
    <w:rsid w:val="00810180"/>
    <w:rsid w:val="00810DA9"/>
    <w:rsid w:val="008141F2"/>
    <w:rsid w:val="00814286"/>
    <w:rsid w:val="00815596"/>
    <w:rsid w:val="00820856"/>
    <w:rsid w:val="008208F6"/>
    <w:rsid w:val="00820A4A"/>
    <w:rsid w:val="008221BA"/>
    <w:rsid w:val="008228A4"/>
    <w:rsid w:val="008233E0"/>
    <w:rsid w:val="008260B0"/>
    <w:rsid w:val="00827270"/>
    <w:rsid w:val="0083283A"/>
    <w:rsid w:val="00833C4B"/>
    <w:rsid w:val="00834B02"/>
    <w:rsid w:val="0083500B"/>
    <w:rsid w:val="00835C35"/>
    <w:rsid w:val="00837275"/>
    <w:rsid w:val="0083762E"/>
    <w:rsid w:val="00837E5D"/>
    <w:rsid w:val="008404B2"/>
    <w:rsid w:val="008405AD"/>
    <w:rsid w:val="00844936"/>
    <w:rsid w:val="008451D2"/>
    <w:rsid w:val="0084552F"/>
    <w:rsid w:val="008458B4"/>
    <w:rsid w:val="00847784"/>
    <w:rsid w:val="0085313C"/>
    <w:rsid w:val="008561D5"/>
    <w:rsid w:val="00856C4E"/>
    <w:rsid w:val="00856F4B"/>
    <w:rsid w:val="00857016"/>
    <w:rsid w:val="00857FB6"/>
    <w:rsid w:val="008607ED"/>
    <w:rsid w:val="008608DB"/>
    <w:rsid w:val="00860F66"/>
    <w:rsid w:val="0086105A"/>
    <w:rsid w:val="00861B9F"/>
    <w:rsid w:val="008624C3"/>
    <w:rsid w:val="0086456C"/>
    <w:rsid w:val="0086481F"/>
    <w:rsid w:val="008649B7"/>
    <w:rsid w:val="0086611A"/>
    <w:rsid w:val="00866797"/>
    <w:rsid w:val="00866ACC"/>
    <w:rsid w:val="00866EF0"/>
    <w:rsid w:val="00866F78"/>
    <w:rsid w:val="00867677"/>
    <w:rsid w:val="008705A9"/>
    <w:rsid w:val="008723AA"/>
    <w:rsid w:val="00872AC5"/>
    <w:rsid w:val="00873CB9"/>
    <w:rsid w:val="00873E39"/>
    <w:rsid w:val="00874392"/>
    <w:rsid w:val="008744D8"/>
    <w:rsid w:val="00875FE8"/>
    <w:rsid w:val="00877F24"/>
    <w:rsid w:val="0088116B"/>
    <w:rsid w:val="00881A34"/>
    <w:rsid w:val="00883617"/>
    <w:rsid w:val="00883855"/>
    <w:rsid w:val="008846CA"/>
    <w:rsid w:val="008846DA"/>
    <w:rsid w:val="00886B32"/>
    <w:rsid w:val="00887EB0"/>
    <w:rsid w:val="0089087B"/>
    <w:rsid w:val="00891275"/>
    <w:rsid w:val="0089184B"/>
    <w:rsid w:val="0089235F"/>
    <w:rsid w:val="00892794"/>
    <w:rsid w:val="00893F41"/>
    <w:rsid w:val="0089416A"/>
    <w:rsid w:val="00895FDD"/>
    <w:rsid w:val="00896F61"/>
    <w:rsid w:val="008970DC"/>
    <w:rsid w:val="0089766B"/>
    <w:rsid w:val="008A178B"/>
    <w:rsid w:val="008A2639"/>
    <w:rsid w:val="008A2655"/>
    <w:rsid w:val="008A32CA"/>
    <w:rsid w:val="008A385C"/>
    <w:rsid w:val="008A4251"/>
    <w:rsid w:val="008A43E0"/>
    <w:rsid w:val="008A6C72"/>
    <w:rsid w:val="008A6EFF"/>
    <w:rsid w:val="008B32C2"/>
    <w:rsid w:val="008B3FAF"/>
    <w:rsid w:val="008B46A0"/>
    <w:rsid w:val="008B4BAC"/>
    <w:rsid w:val="008B6A31"/>
    <w:rsid w:val="008B6BEC"/>
    <w:rsid w:val="008B7F3F"/>
    <w:rsid w:val="008C067D"/>
    <w:rsid w:val="008C075D"/>
    <w:rsid w:val="008C221F"/>
    <w:rsid w:val="008C32CE"/>
    <w:rsid w:val="008C5B4C"/>
    <w:rsid w:val="008C622D"/>
    <w:rsid w:val="008C6866"/>
    <w:rsid w:val="008C6B2A"/>
    <w:rsid w:val="008D022D"/>
    <w:rsid w:val="008D4C5B"/>
    <w:rsid w:val="008D531A"/>
    <w:rsid w:val="008D5897"/>
    <w:rsid w:val="008D58EC"/>
    <w:rsid w:val="008D5EC7"/>
    <w:rsid w:val="008D60F7"/>
    <w:rsid w:val="008D6C0F"/>
    <w:rsid w:val="008E1B30"/>
    <w:rsid w:val="008E443D"/>
    <w:rsid w:val="008E469A"/>
    <w:rsid w:val="008F192C"/>
    <w:rsid w:val="008F345D"/>
    <w:rsid w:val="008F3E1A"/>
    <w:rsid w:val="008F5C63"/>
    <w:rsid w:val="008F61E0"/>
    <w:rsid w:val="008F7126"/>
    <w:rsid w:val="00900B1E"/>
    <w:rsid w:val="00901E73"/>
    <w:rsid w:val="00902FEA"/>
    <w:rsid w:val="009033E7"/>
    <w:rsid w:val="00904028"/>
    <w:rsid w:val="00904C91"/>
    <w:rsid w:val="00905BDA"/>
    <w:rsid w:val="009060A5"/>
    <w:rsid w:val="009105B6"/>
    <w:rsid w:val="00910683"/>
    <w:rsid w:val="009109B9"/>
    <w:rsid w:val="00911E51"/>
    <w:rsid w:val="009128EE"/>
    <w:rsid w:val="009139F5"/>
    <w:rsid w:val="00920E04"/>
    <w:rsid w:val="009227A4"/>
    <w:rsid w:val="009269B7"/>
    <w:rsid w:val="00926B86"/>
    <w:rsid w:val="00930774"/>
    <w:rsid w:val="0093136C"/>
    <w:rsid w:val="00932470"/>
    <w:rsid w:val="009332E2"/>
    <w:rsid w:val="00933BD7"/>
    <w:rsid w:val="00933FE6"/>
    <w:rsid w:val="00935E08"/>
    <w:rsid w:val="009366B1"/>
    <w:rsid w:val="00936A8F"/>
    <w:rsid w:val="00942023"/>
    <w:rsid w:val="009423AD"/>
    <w:rsid w:val="009448F4"/>
    <w:rsid w:val="0094556C"/>
    <w:rsid w:val="009467F5"/>
    <w:rsid w:val="00950820"/>
    <w:rsid w:val="00952795"/>
    <w:rsid w:val="00952B40"/>
    <w:rsid w:val="00953207"/>
    <w:rsid w:val="00956244"/>
    <w:rsid w:val="00963807"/>
    <w:rsid w:val="009643F0"/>
    <w:rsid w:val="009656D7"/>
    <w:rsid w:val="00965EA1"/>
    <w:rsid w:val="00965F9D"/>
    <w:rsid w:val="00966AA7"/>
    <w:rsid w:val="00967C1F"/>
    <w:rsid w:val="00967E14"/>
    <w:rsid w:val="00971218"/>
    <w:rsid w:val="00972086"/>
    <w:rsid w:val="009721C5"/>
    <w:rsid w:val="009727B8"/>
    <w:rsid w:val="00972BE8"/>
    <w:rsid w:val="009743E1"/>
    <w:rsid w:val="0097452F"/>
    <w:rsid w:val="00975017"/>
    <w:rsid w:val="00983CCC"/>
    <w:rsid w:val="00983EFA"/>
    <w:rsid w:val="00985DED"/>
    <w:rsid w:val="0098747F"/>
    <w:rsid w:val="00987FE1"/>
    <w:rsid w:val="00990202"/>
    <w:rsid w:val="0099185A"/>
    <w:rsid w:val="00993648"/>
    <w:rsid w:val="0099393C"/>
    <w:rsid w:val="0099421F"/>
    <w:rsid w:val="00994B5B"/>
    <w:rsid w:val="00994B9E"/>
    <w:rsid w:val="0099552D"/>
    <w:rsid w:val="0099585F"/>
    <w:rsid w:val="00996693"/>
    <w:rsid w:val="009976B4"/>
    <w:rsid w:val="00997D9B"/>
    <w:rsid w:val="00997F6F"/>
    <w:rsid w:val="009A03ED"/>
    <w:rsid w:val="009A0EE1"/>
    <w:rsid w:val="009A63A0"/>
    <w:rsid w:val="009A6A26"/>
    <w:rsid w:val="009A6C54"/>
    <w:rsid w:val="009A6EF5"/>
    <w:rsid w:val="009A76C9"/>
    <w:rsid w:val="009B0D7B"/>
    <w:rsid w:val="009B35FF"/>
    <w:rsid w:val="009B4B23"/>
    <w:rsid w:val="009B5762"/>
    <w:rsid w:val="009B5D79"/>
    <w:rsid w:val="009C18A6"/>
    <w:rsid w:val="009C34C4"/>
    <w:rsid w:val="009C3CC4"/>
    <w:rsid w:val="009D1B4F"/>
    <w:rsid w:val="009D25C6"/>
    <w:rsid w:val="009D5294"/>
    <w:rsid w:val="009D5707"/>
    <w:rsid w:val="009D7471"/>
    <w:rsid w:val="009D7F66"/>
    <w:rsid w:val="009E0DDA"/>
    <w:rsid w:val="009E1156"/>
    <w:rsid w:val="009E27F2"/>
    <w:rsid w:val="009E2C20"/>
    <w:rsid w:val="009E408A"/>
    <w:rsid w:val="009E5744"/>
    <w:rsid w:val="009E6BAD"/>
    <w:rsid w:val="009F0072"/>
    <w:rsid w:val="009F011D"/>
    <w:rsid w:val="009F0D04"/>
    <w:rsid w:val="009F297F"/>
    <w:rsid w:val="009F4653"/>
    <w:rsid w:val="009F4C05"/>
    <w:rsid w:val="009F5AB4"/>
    <w:rsid w:val="009F6CA3"/>
    <w:rsid w:val="00A012A0"/>
    <w:rsid w:val="00A01D10"/>
    <w:rsid w:val="00A02592"/>
    <w:rsid w:val="00A03510"/>
    <w:rsid w:val="00A058EE"/>
    <w:rsid w:val="00A068B8"/>
    <w:rsid w:val="00A06BA2"/>
    <w:rsid w:val="00A06D2F"/>
    <w:rsid w:val="00A06DC4"/>
    <w:rsid w:val="00A10900"/>
    <w:rsid w:val="00A10D34"/>
    <w:rsid w:val="00A110A6"/>
    <w:rsid w:val="00A1126F"/>
    <w:rsid w:val="00A11CFE"/>
    <w:rsid w:val="00A13636"/>
    <w:rsid w:val="00A14C64"/>
    <w:rsid w:val="00A154F0"/>
    <w:rsid w:val="00A168C0"/>
    <w:rsid w:val="00A21735"/>
    <w:rsid w:val="00A230D6"/>
    <w:rsid w:val="00A238B6"/>
    <w:rsid w:val="00A2404E"/>
    <w:rsid w:val="00A24C3C"/>
    <w:rsid w:val="00A251B8"/>
    <w:rsid w:val="00A2785A"/>
    <w:rsid w:val="00A27ADA"/>
    <w:rsid w:val="00A30C68"/>
    <w:rsid w:val="00A31D69"/>
    <w:rsid w:val="00A331D2"/>
    <w:rsid w:val="00A33228"/>
    <w:rsid w:val="00A33AC8"/>
    <w:rsid w:val="00A33C97"/>
    <w:rsid w:val="00A35110"/>
    <w:rsid w:val="00A35787"/>
    <w:rsid w:val="00A35A06"/>
    <w:rsid w:val="00A36C52"/>
    <w:rsid w:val="00A40DBD"/>
    <w:rsid w:val="00A40E39"/>
    <w:rsid w:val="00A40E7C"/>
    <w:rsid w:val="00A42540"/>
    <w:rsid w:val="00A42E76"/>
    <w:rsid w:val="00A43260"/>
    <w:rsid w:val="00A450A0"/>
    <w:rsid w:val="00A45641"/>
    <w:rsid w:val="00A45914"/>
    <w:rsid w:val="00A462A3"/>
    <w:rsid w:val="00A46F58"/>
    <w:rsid w:val="00A5043D"/>
    <w:rsid w:val="00A539D7"/>
    <w:rsid w:val="00A53AC5"/>
    <w:rsid w:val="00A53FBB"/>
    <w:rsid w:val="00A544C8"/>
    <w:rsid w:val="00A54682"/>
    <w:rsid w:val="00A54EB2"/>
    <w:rsid w:val="00A553CA"/>
    <w:rsid w:val="00A56360"/>
    <w:rsid w:val="00A566ED"/>
    <w:rsid w:val="00A56C17"/>
    <w:rsid w:val="00A57059"/>
    <w:rsid w:val="00A57084"/>
    <w:rsid w:val="00A61342"/>
    <w:rsid w:val="00A624A4"/>
    <w:rsid w:val="00A63318"/>
    <w:rsid w:val="00A64E9E"/>
    <w:rsid w:val="00A65F7B"/>
    <w:rsid w:val="00A67907"/>
    <w:rsid w:val="00A70500"/>
    <w:rsid w:val="00A734DC"/>
    <w:rsid w:val="00A7394B"/>
    <w:rsid w:val="00A76806"/>
    <w:rsid w:val="00A83075"/>
    <w:rsid w:val="00A84064"/>
    <w:rsid w:val="00A8465B"/>
    <w:rsid w:val="00A8469E"/>
    <w:rsid w:val="00A85B89"/>
    <w:rsid w:val="00A86E0F"/>
    <w:rsid w:val="00A91281"/>
    <w:rsid w:val="00A91F1E"/>
    <w:rsid w:val="00A93453"/>
    <w:rsid w:val="00A93AC1"/>
    <w:rsid w:val="00A93FCA"/>
    <w:rsid w:val="00A94F1E"/>
    <w:rsid w:val="00A96B53"/>
    <w:rsid w:val="00A96F38"/>
    <w:rsid w:val="00AA0C73"/>
    <w:rsid w:val="00AA1462"/>
    <w:rsid w:val="00AA231C"/>
    <w:rsid w:val="00AA2382"/>
    <w:rsid w:val="00AA43FE"/>
    <w:rsid w:val="00AA6350"/>
    <w:rsid w:val="00AA685A"/>
    <w:rsid w:val="00AA6C26"/>
    <w:rsid w:val="00AA6ECB"/>
    <w:rsid w:val="00AB1F4E"/>
    <w:rsid w:val="00AB2848"/>
    <w:rsid w:val="00AB2BA7"/>
    <w:rsid w:val="00AB3D75"/>
    <w:rsid w:val="00AB425B"/>
    <w:rsid w:val="00AB4FF5"/>
    <w:rsid w:val="00AB5220"/>
    <w:rsid w:val="00AB5587"/>
    <w:rsid w:val="00AB5900"/>
    <w:rsid w:val="00AB6135"/>
    <w:rsid w:val="00AB671D"/>
    <w:rsid w:val="00AB6DBE"/>
    <w:rsid w:val="00AC05DF"/>
    <w:rsid w:val="00AC0FBA"/>
    <w:rsid w:val="00AC15EF"/>
    <w:rsid w:val="00AC1C00"/>
    <w:rsid w:val="00AC25E5"/>
    <w:rsid w:val="00AC2E25"/>
    <w:rsid w:val="00AC595F"/>
    <w:rsid w:val="00AC6916"/>
    <w:rsid w:val="00AC6A12"/>
    <w:rsid w:val="00AD0869"/>
    <w:rsid w:val="00AD2460"/>
    <w:rsid w:val="00AD444A"/>
    <w:rsid w:val="00AD44F7"/>
    <w:rsid w:val="00AD45F0"/>
    <w:rsid w:val="00AD5DA3"/>
    <w:rsid w:val="00AD6DA7"/>
    <w:rsid w:val="00AD76C2"/>
    <w:rsid w:val="00AD7E74"/>
    <w:rsid w:val="00AD7F52"/>
    <w:rsid w:val="00AE0493"/>
    <w:rsid w:val="00AE187B"/>
    <w:rsid w:val="00AE1E80"/>
    <w:rsid w:val="00AE21A2"/>
    <w:rsid w:val="00AE2972"/>
    <w:rsid w:val="00AE2B6A"/>
    <w:rsid w:val="00AE40F8"/>
    <w:rsid w:val="00AE481C"/>
    <w:rsid w:val="00AE5524"/>
    <w:rsid w:val="00AE6490"/>
    <w:rsid w:val="00AE7C11"/>
    <w:rsid w:val="00AE7EB7"/>
    <w:rsid w:val="00AF25EB"/>
    <w:rsid w:val="00AF47B1"/>
    <w:rsid w:val="00AF4EC0"/>
    <w:rsid w:val="00AF544C"/>
    <w:rsid w:val="00AF5894"/>
    <w:rsid w:val="00AF60B1"/>
    <w:rsid w:val="00AF69B2"/>
    <w:rsid w:val="00AF69F0"/>
    <w:rsid w:val="00AF71CE"/>
    <w:rsid w:val="00B00EDB"/>
    <w:rsid w:val="00B0334F"/>
    <w:rsid w:val="00B03DC6"/>
    <w:rsid w:val="00B05CC9"/>
    <w:rsid w:val="00B06C17"/>
    <w:rsid w:val="00B06C22"/>
    <w:rsid w:val="00B06CC4"/>
    <w:rsid w:val="00B06E32"/>
    <w:rsid w:val="00B07575"/>
    <w:rsid w:val="00B10C7C"/>
    <w:rsid w:val="00B11B44"/>
    <w:rsid w:val="00B136C6"/>
    <w:rsid w:val="00B138B2"/>
    <w:rsid w:val="00B139CA"/>
    <w:rsid w:val="00B16A2A"/>
    <w:rsid w:val="00B17212"/>
    <w:rsid w:val="00B17215"/>
    <w:rsid w:val="00B17374"/>
    <w:rsid w:val="00B17547"/>
    <w:rsid w:val="00B175D3"/>
    <w:rsid w:val="00B22CB6"/>
    <w:rsid w:val="00B2332D"/>
    <w:rsid w:val="00B25057"/>
    <w:rsid w:val="00B2520D"/>
    <w:rsid w:val="00B25259"/>
    <w:rsid w:val="00B25FF6"/>
    <w:rsid w:val="00B27068"/>
    <w:rsid w:val="00B2774E"/>
    <w:rsid w:val="00B30BDF"/>
    <w:rsid w:val="00B31A95"/>
    <w:rsid w:val="00B32506"/>
    <w:rsid w:val="00B33806"/>
    <w:rsid w:val="00B3448C"/>
    <w:rsid w:val="00B365F3"/>
    <w:rsid w:val="00B3676E"/>
    <w:rsid w:val="00B36BC0"/>
    <w:rsid w:val="00B370E0"/>
    <w:rsid w:val="00B40160"/>
    <w:rsid w:val="00B40AF8"/>
    <w:rsid w:val="00B40DA9"/>
    <w:rsid w:val="00B411EC"/>
    <w:rsid w:val="00B41C5A"/>
    <w:rsid w:val="00B428A6"/>
    <w:rsid w:val="00B42AB1"/>
    <w:rsid w:val="00B42CF6"/>
    <w:rsid w:val="00B43CDD"/>
    <w:rsid w:val="00B43D38"/>
    <w:rsid w:val="00B43F45"/>
    <w:rsid w:val="00B44059"/>
    <w:rsid w:val="00B447FD"/>
    <w:rsid w:val="00B4627F"/>
    <w:rsid w:val="00B47666"/>
    <w:rsid w:val="00B50E38"/>
    <w:rsid w:val="00B515B0"/>
    <w:rsid w:val="00B517F2"/>
    <w:rsid w:val="00B5279D"/>
    <w:rsid w:val="00B52FAC"/>
    <w:rsid w:val="00B533DE"/>
    <w:rsid w:val="00B53730"/>
    <w:rsid w:val="00B5381D"/>
    <w:rsid w:val="00B53D73"/>
    <w:rsid w:val="00B54CD3"/>
    <w:rsid w:val="00B563DD"/>
    <w:rsid w:val="00B57662"/>
    <w:rsid w:val="00B57F95"/>
    <w:rsid w:val="00B6035E"/>
    <w:rsid w:val="00B60449"/>
    <w:rsid w:val="00B625F0"/>
    <w:rsid w:val="00B62A00"/>
    <w:rsid w:val="00B63F4D"/>
    <w:rsid w:val="00B648A3"/>
    <w:rsid w:val="00B64F64"/>
    <w:rsid w:val="00B66A8B"/>
    <w:rsid w:val="00B6732D"/>
    <w:rsid w:val="00B67771"/>
    <w:rsid w:val="00B67E56"/>
    <w:rsid w:val="00B71340"/>
    <w:rsid w:val="00B734B4"/>
    <w:rsid w:val="00B73BE5"/>
    <w:rsid w:val="00B73FDF"/>
    <w:rsid w:val="00B74020"/>
    <w:rsid w:val="00B750F5"/>
    <w:rsid w:val="00B75B49"/>
    <w:rsid w:val="00B77B46"/>
    <w:rsid w:val="00B77EEE"/>
    <w:rsid w:val="00B8044B"/>
    <w:rsid w:val="00B80622"/>
    <w:rsid w:val="00B825DE"/>
    <w:rsid w:val="00B82E59"/>
    <w:rsid w:val="00B83AA0"/>
    <w:rsid w:val="00B83D02"/>
    <w:rsid w:val="00B84F3B"/>
    <w:rsid w:val="00B85EB0"/>
    <w:rsid w:val="00B86860"/>
    <w:rsid w:val="00B94144"/>
    <w:rsid w:val="00B9482C"/>
    <w:rsid w:val="00B96180"/>
    <w:rsid w:val="00B97D80"/>
    <w:rsid w:val="00BA11DA"/>
    <w:rsid w:val="00BA219C"/>
    <w:rsid w:val="00BA23B0"/>
    <w:rsid w:val="00BA2B73"/>
    <w:rsid w:val="00BA2E5A"/>
    <w:rsid w:val="00BA3BB8"/>
    <w:rsid w:val="00BA6239"/>
    <w:rsid w:val="00BA6970"/>
    <w:rsid w:val="00BA6CA5"/>
    <w:rsid w:val="00BA6CD3"/>
    <w:rsid w:val="00BA7766"/>
    <w:rsid w:val="00BA77E3"/>
    <w:rsid w:val="00BB1353"/>
    <w:rsid w:val="00BB3084"/>
    <w:rsid w:val="00BB3434"/>
    <w:rsid w:val="00BB3890"/>
    <w:rsid w:val="00BB3EA7"/>
    <w:rsid w:val="00BB47D9"/>
    <w:rsid w:val="00BB4DA5"/>
    <w:rsid w:val="00BC16F2"/>
    <w:rsid w:val="00BC1C19"/>
    <w:rsid w:val="00BC2C29"/>
    <w:rsid w:val="00BC3A60"/>
    <w:rsid w:val="00BC3C47"/>
    <w:rsid w:val="00BC511C"/>
    <w:rsid w:val="00BC54A0"/>
    <w:rsid w:val="00BC6700"/>
    <w:rsid w:val="00BC7263"/>
    <w:rsid w:val="00BC755D"/>
    <w:rsid w:val="00BD02EE"/>
    <w:rsid w:val="00BD0BB4"/>
    <w:rsid w:val="00BD0F8A"/>
    <w:rsid w:val="00BD1002"/>
    <w:rsid w:val="00BD1818"/>
    <w:rsid w:val="00BD260B"/>
    <w:rsid w:val="00BD375E"/>
    <w:rsid w:val="00BD3C80"/>
    <w:rsid w:val="00BD40F4"/>
    <w:rsid w:val="00BD52C2"/>
    <w:rsid w:val="00BD59FF"/>
    <w:rsid w:val="00BD5AC6"/>
    <w:rsid w:val="00BD7816"/>
    <w:rsid w:val="00BE0D89"/>
    <w:rsid w:val="00BE16A1"/>
    <w:rsid w:val="00BE23F2"/>
    <w:rsid w:val="00BE377D"/>
    <w:rsid w:val="00BE64D5"/>
    <w:rsid w:val="00BE6961"/>
    <w:rsid w:val="00BE7E71"/>
    <w:rsid w:val="00BE7FD2"/>
    <w:rsid w:val="00BF01A3"/>
    <w:rsid w:val="00BF140D"/>
    <w:rsid w:val="00BF152C"/>
    <w:rsid w:val="00BF2097"/>
    <w:rsid w:val="00BF27FB"/>
    <w:rsid w:val="00BF74D8"/>
    <w:rsid w:val="00BF7F9C"/>
    <w:rsid w:val="00C00396"/>
    <w:rsid w:val="00C01122"/>
    <w:rsid w:val="00C01327"/>
    <w:rsid w:val="00C01380"/>
    <w:rsid w:val="00C02AAC"/>
    <w:rsid w:val="00C056B0"/>
    <w:rsid w:val="00C05C78"/>
    <w:rsid w:val="00C065EA"/>
    <w:rsid w:val="00C07234"/>
    <w:rsid w:val="00C11C58"/>
    <w:rsid w:val="00C11D93"/>
    <w:rsid w:val="00C147C8"/>
    <w:rsid w:val="00C15973"/>
    <w:rsid w:val="00C16784"/>
    <w:rsid w:val="00C21EA5"/>
    <w:rsid w:val="00C22187"/>
    <w:rsid w:val="00C23CDB"/>
    <w:rsid w:val="00C262A2"/>
    <w:rsid w:val="00C26614"/>
    <w:rsid w:val="00C26B54"/>
    <w:rsid w:val="00C270A6"/>
    <w:rsid w:val="00C30A2F"/>
    <w:rsid w:val="00C321E5"/>
    <w:rsid w:val="00C325BB"/>
    <w:rsid w:val="00C32B82"/>
    <w:rsid w:val="00C36A53"/>
    <w:rsid w:val="00C376E3"/>
    <w:rsid w:val="00C4185B"/>
    <w:rsid w:val="00C422A5"/>
    <w:rsid w:val="00C43A32"/>
    <w:rsid w:val="00C4411B"/>
    <w:rsid w:val="00C45380"/>
    <w:rsid w:val="00C45887"/>
    <w:rsid w:val="00C45FDF"/>
    <w:rsid w:val="00C46DE2"/>
    <w:rsid w:val="00C471A1"/>
    <w:rsid w:val="00C502E8"/>
    <w:rsid w:val="00C51008"/>
    <w:rsid w:val="00C510F3"/>
    <w:rsid w:val="00C51EDA"/>
    <w:rsid w:val="00C51FF9"/>
    <w:rsid w:val="00C52440"/>
    <w:rsid w:val="00C55990"/>
    <w:rsid w:val="00C61DB9"/>
    <w:rsid w:val="00C62BD6"/>
    <w:rsid w:val="00C645A5"/>
    <w:rsid w:val="00C65127"/>
    <w:rsid w:val="00C65431"/>
    <w:rsid w:val="00C6554F"/>
    <w:rsid w:val="00C672BE"/>
    <w:rsid w:val="00C67460"/>
    <w:rsid w:val="00C6753E"/>
    <w:rsid w:val="00C7025C"/>
    <w:rsid w:val="00C7266E"/>
    <w:rsid w:val="00C7381F"/>
    <w:rsid w:val="00C73E39"/>
    <w:rsid w:val="00C74923"/>
    <w:rsid w:val="00C74C69"/>
    <w:rsid w:val="00C75552"/>
    <w:rsid w:val="00C76260"/>
    <w:rsid w:val="00C76267"/>
    <w:rsid w:val="00C76404"/>
    <w:rsid w:val="00C776E1"/>
    <w:rsid w:val="00C778FF"/>
    <w:rsid w:val="00C8015E"/>
    <w:rsid w:val="00C8102E"/>
    <w:rsid w:val="00C817DA"/>
    <w:rsid w:val="00C83645"/>
    <w:rsid w:val="00C84CE5"/>
    <w:rsid w:val="00C9050B"/>
    <w:rsid w:val="00C90796"/>
    <w:rsid w:val="00C90D68"/>
    <w:rsid w:val="00C92143"/>
    <w:rsid w:val="00C92427"/>
    <w:rsid w:val="00C9359A"/>
    <w:rsid w:val="00C93619"/>
    <w:rsid w:val="00C940ED"/>
    <w:rsid w:val="00C94B2D"/>
    <w:rsid w:val="00C94E0B"/>
    <w:rsid w:val="00CA1038"/>
    <w:rsid w:val="00CA1217"/>
    <w:rsid w:val="00CA3834"/>
    <w:rsid w:val="00CA5BE5"/>
    <w:rsid w:val="00CA63F4"/>
    <w:rsid w:val="00CA7D1E"/>
    <w:rsid w:val="00CA7D67"/>
    <w:rsid w:val="00CB0E5A"/>
    <w:rsid w:val="00CB2165"/>
    <w:rsid w:val="00CB2854"/>
    <w:rsid w:val="00CB37F3"/>
    <w:rsid w:val="00CB457E"/>
    <w:rsid w:val="00CB5DBA"/>
    <w:rsid w:val="00CB5E5E"/>
    <w:rsid w:val="00CB704C"/>
    <w:rsid w:val="00CB721A"/>
    <w:rsid w:val="00CC10E9"/>
    <w:rsid w:val="00CC1D31"/>
    <w:rsid w:val="00CC3B79"/>
    <w:rsid w:val="00CC617F"/>
    <w:rsid w:val="00CD008F"/>
    <w:rsid w:val="00CD0254"/>
    <w:rsid w:val="00CD0500"/>
    <w:rsid w:val="00CD19AF"/>
    <w:rsid w:val="00CD471E"/>
    <w:rsid w:val="00CD5147"/>
    <w:rsid w:val="00CD6583"/>
    <w:rsid w:val="00CE04F7"/>
    <w:rsid w:val="00CE09DC"/>
    <w:rsid w:val="00CE47D9"/>
    <w:rsid w:val="00CE4F21"/>
    <w:rsid w:val="00CE5EA5"/>
    <w:rsid w:val="00CE6983"/>
    <w:rsid w:val="00CF159E"/>
    <w:rsid w:val="00CF292C"/>
    <w:rsid w:val="00CF4339"/>
    <w:rsid w:val="00CF4911"/>
    <w:rsid w:val="00CF7577"/>
    <w:rsid w:val="00D000D7"/>
    <w:rsid w:val="00D02D2E"/>
    <w:rsid w:val="00D04278"/>
    <w:rsid w:val="00D04BEA"/>
    <w:rsid w:val="00D04C9C"/>
    <w:rsid w:val="00D05431"/>
    <w:rsid w:val="00D05C13"/>
    <w:rsid w:val="00D0651D"/>
    <w:rsid w:val="00D10724"/>
    <w:rsid w:val="00D10907"/>
    <w:rsid w:val="00D1176C"/>
    <w:rsid w:val="00D11921"/>
    <w:rsid w:val="00D12371"/>
    <w:rsid w:val="00D12BA8"/>
    <w:rsid w:val="00D132FB"/>
    <w:rsid w:val="00D139C2"/>
    <w:rsid w:val="00D1563A"/>
    <w:rsid w:val="00D15BAE"/>
    <w:rsid w:val="00D15E27"/>
    <w:rsid w:val="00D17AB6"/>
    <w:rsid w:val="00D20097"/>
    <w:rsid w:val="00D201DA"/>
    <w:rsid w:val="00D20DA8"/>
    <w:rsid w:val="00D21119"/>
    <w:rsid w:val="00D22420"/>
    <w:rsid w:val="00D22840"/>
    <w:rsid w:val="00D24C0A"/>
    <w:rsid w:val="00D2656E"/>
    <w:rsid w:val="00D27597"/>
    <w:rsid w:val="00D3097D"/>
    <w:rsid w:val="00D30DB4"/>
    <w:rsid w:val="00D31705"/>
    <w:rsid w:val="00D31AEF"/>
    <w:rsid w:val="00D33D3B"/>
    <w:rsid w:val="00D34A66"/>
    <w:rsid w:val="00D37BB9"/>
    <w:rsid w:val="00D40150"/>
    <w:rsid w:val="00D40723"/>
    <w:rsid w:val="00D4085B"/>
    <w:rsid w:val="00D435C2"/>
    <w:rsid w:val="00D43F0A"/>
    <w:rsid w:val="00D4511B"/>
    <w:rsid w:val="00D456FF"/>
    <w:rsid w:val="00D47761"/>
    <w:rsid w:val="00D47A1C"/>
    <w:rsid w:val="00D506BD"/>
    <w:rsid w:val="00D535F5"/>
    <w:rsid w:val="00D576C5"/>
    <w:rsid w:val="00D57AF3"/>
    <w:rsid w:val="00D57FEC"/>
    <w:rsid w:val="00D6066F"/>
    <w:rsid w:val="00D61215"/>
    <w:rsid w:val="00D61DA9"/>
    <w:rsid w:val="00D622B4"/>
    <w:rsid w:val="00D62A52"/>
    <w:rsid w:val="00D65537"/>
    <w:rsid w:val="00D66DF3"/>
    <w:rsid w:val="00D6745F"/>
    <w:rsid w:val="00D67BDC"/>
    <w:rsid w:val="00D70180"/>
    <w:rsid w:val="00D71D7E"/>
    <w:rsid w:val="00D72F6C"/>
    <w:rsid w:val="00D753A0"/>
    <w:rsid w:val="00D76286"/>
    <w:rsid w:val="00D7631B"/>
    <w:rsid w:val="00D77BB3"/>
    <w:rsid w:val="00D805EA"/>
    <w:rsid w:val="00D81206"/>
    <w:rsid w:val="00D8279C"/>
    <w:rsid w:val="00D82992"/>
    <w:rsid w:val="00D8305F"/>
    <w:rsid w:val="00D84F6C"/>
    <w:rsid w:val="00D90AFC"/>
    <w:rsid w:val="00D92987"/>
    <w:rsid w:val="00D93932"/>
    <w:rsid w:val="00D94395"/>
    <w:rsid w:val="00D949BB"/>
    <w:rsid w:val="00D95A82"/>
    <w:rsid w:val="00D96163"/>
    <w:rsid w:val="00D973F9"/>
    <w:rsid w:val="00DA10C1"/>
    <w:rsid w:val="00DA30F8"/>
    <w:rsid w:val="00DA32B9"/>
    <w:rsid w:val="00DA49AD"/>
    <w:rsid w:val="00DA75BC"/>
    <w:rsid w:val="00DA7607"/>
    <w:rsid w:val="00DB03E1"/>
    <w:rsid w:val="00DB1E03"/>
    <w:rsid w:val="00DB24D4"/>
    <w:rsid w:val="00DB2A6C"/>
    <w:rsid w:val="00DB389E"/>
    <w:rsid w:val="00DB3A0B"/>
    <w:rsid w:val="00DB4E9E"/>
    <w:rsid w:val="00DB5274"/>
    <w:rsid w:val="00DB6049"/>
    <w:rsid w:val="00DB7678"/>
    <w:rsid w:val="00DB783F"/>
    <w:rsid w:val="00DC0050"/>
    <w:rsid w:val="00DC3B95"/>
    <w:rsid w:val="00DC538D"/>
    <w:rsid w:val="00DC5712"/>
    <w:rsid w:val="00DC6F4D"/>
    <w:rsid w:val="00DD017D"/>
    <w:rsid w:val="00DD47DD"/>
    <w:rsid w:val="00DD6758"/>
    <w:rsid w:val="00DE082B"/>
    <w:rsid w:val="00DE20C2"/>
    <w:rsid w:val="00DE2440"/>
    <w:rsid w:val="00DE5EF4"/>
    <w:rsid w:val="00DE5FBD"/>
    <w:rsid w:val="00DE779D"/>
    <w:rsid w:val="00DE7D34"/>
    <w:rsid w:val="00DF1C60"/>
    <w:rsid w:val="00DF3116"/>
    <w:rsid w:val="00DF351B"/>
    <w:rsid w:val="00DF3E88"/>
    <w:rsid w:val="00DF469B"/>
    <w:rsid w:val="00E026DF"/>
    <w:rsid w:val="00E03FCE"/>
    <w:rsid w:val="00E06106"/>
    <w:rsid w:val="00E066C8"/>
    <w:rsid w:val="00E06B08"/>
    <w:rsid w:val="00E06DDF"/>
    <w:rsid w:val="00E10326"/>
    <w:rsid w:val="00E10C32"/>
    <w:rsid w:val="00E12B89"/>
    <w:rsid w:val="00E14CE3"/>
    <w:rsid w:val="00E15ED1"/>
    <w:rsid w:val="00E16040"/>
    <w:rsid w:val="00E16F31"/>
    <w:rsid w:val="00E17052"/>
    <w:rsid w:val="00E218F7"/>
    <w:rsid w:val="00E227D4"/>
    <w:rsid w:val="00E251FD"/>
    <w:rsid w:val="00E25E6B"/>
    <w:rsid w:val="00E26A75"/>
    <w:rsid w:val="00E27035"/>
    <w:rsid w:val="00E30655"/>
    <w:rsid w:val="00E31684"/>
    <w:rsid w:val="00E321D1"/>
    <w:rsid w:val="00E32EE2"/>
    <w:rsid w:val="00E32EE8"/>
    <w:rsid w:val="00E3579C"/>
    <w:rsid w:val="00E357FC"/>
    <w:rsid w:val="00E3665D"/>
    <w:rsid w:val="00E37D8F"/>
    <w:rsid w:val="00E4064F"/>
    <w:rsid w:val="00E4188F"/>
    <w:rsid w:val="00E43AC5"/>
    <w:rsid w:val="00E45528"/>
    <w:rsid w:val="00E45CC4"/>
    <w:rsid w:val="00E4711B"/>
    <w:rsid w:val="00E47266"/>
    <w:rsid w:val="00E5095E"/>
    <w:rsid w:val="00E51F7F"/>
    <w:rsid w:val="00E521FE"/>
    <w:rsid w:val="00E5486D"/>
    <w:rsid w:val="00E55507"/>
    <w:rsid w:val="00E55791"/>
    <w:rsid w:val="00E571C2"/>
    <w:rsid w:val="00E573C2"/>
    <w:rsid w:val="00E57952"/>
    <w:rsid w:val="00E57BD8"/>
    <w:rsid w:val="00E57E07"/>
    <w:rsid w:val="00E605EA"/>
    <w:rsid w:val="00E64FFE"/>
    <w:rsid w:val="00E656B7"/>
    <w:rsid w:val="00E669B2"/>
    <w:rsid w:val="00E66CF0"/>
    <w:rsid w:val="00E670D8"/>
    <w:rsid w:val="00E67472"/>
    <w:rsid w:val="00E67E5D"/>
    <w:rsid w:val="00E70722"/>
    <w:rsid w:val="00E709BE"/>
    <w:rsid w:val="00E7126A"/>
    <w:rsid w:val="00E71D30"/>
    <w:rsid w:val="00E720E6"/>
    <w:rsid w:val="00E73DAB"/>
    <w:rsid w:val="00E74900"/>
    <w:rsid w:val="00E74BCC"/>
    <w:rsid w:val="00E74C4E"/>
    <w:rsid w:val="00E76943"/>
    <w:rsid w:val="00E778EC"/>
    <w:rsid w:val="00E80C8F"/>
    <w:rsid w:val="00E82693"/>
    <w:rsid w:val="00E82788"/>
    <w:rsid w:val="00E836D1"/>
    <w:rsid w:val="00E83902"/>
    <w:rsid w:val="00E8508B"/>
    <w:rsid w:val="00E85198"/>
    <w:rsid w:val="00E85E8C"/>
    <w:rsid w:val="00E900A2"/>
    <w:rsid w:val="00E91BBA"/>
    <w:rsid w:val="00E91C1D"/>
    <w:rsid w:val="00E92211"/>
    <w:rsid w:val="00E93BA7"/>
    <w:rsid w:val="00E958B0"/>
    <w:rsid w:val="00E958E3"/>
    <w:rsid w:val="00E9595B"/>
    <w:rsid w:val="00E969FB"/>
    <w:rsid w:val="00EA01E3"/>
    <w:rsid w:val="00EA2860"/>
    <w:rsid w:val="00EA2B99"/>
    <w:rsid w:val="00EA2CBA"/>
    <w:rsid w:val="00EA42EF"/>
    <w:rsid w:val="00EA5168"/>
    <w:rsid w:val="00EA5FB2"/>
    <w:rsid w:val="00EA74C5"/>
    <w:rsid w:val="00EB1B0A"/>
    <w:rsid w:val="00EB2BA7"/>
    <w:rsid w:val="00EB61C6"/>
    <w:rsid w:val="00EB6BE7"/>
    <w:rsid w:val="00EC07FE"/>
    <w:rsid w:val="00EC2CE5"/>
    <w:rsid w:val="00EC678B"/>
    <w:rsid w:val="00EC720F"/>
    <w:rsid w:val="00ED0C11"/>
    <w:rsid w:val="00ED1A12"/>
    <w:rsid w:val="00ED1C39"/>
    <w:rsid w:val="00ED217F"/>
    <w:rsid w:val="00ED2485"/>
    <w:rsid w:val="00ED26D7"/>
    <w:rsid w:val="00ED316F"/>
    <w:rsid w:val="00ED39D5"/>
    <w:rsid w:val="00ED65AF"/>
    <w:rsid w:val="00ED6A14"/>
    <w:rsid w:val="00ED773E"/>
    <w:rsid w:val="00ED7795"/>
    <w:rsid w:val="00EE0EF2"/>
    <w:rsid w:val="00EE2EA2"/>
    <w:rsid w:val="00EE31F3"/>
    <w:rsid w:val="00EE667A"/>
    <w:rsid w:val="00EE678C"/>
    <w:rsid w:val="00EF0798"/>
    <w:rsid w:val="00EF10F7"/>
    <w:rsid w:val="00EF15B3"/>
    <w:rsid w:val="00EF38BF"/>
    <w:rsid w:val="00EF414D"/>
    <w:rsid w:val="00EF4C3F"/>
    <w:rsid w:val="00EF613A"/>
    <w:rsid w:val="00EF698E"/>
    <w:rsid w:val="00EF786E"/>
    <w:rsid w:val="00F0072B"/>
    <w:rsid w:val="00F00AF5"/>
    <w:rsid w:val="00F00BC4"/>
    <w:rsid w:val="00F0175D"/>
    <w:rsid w:val="00F037D8"/>
    <w:rsid w:val="00F0385A"/>
    <w:rsid w:val="00F03D87"/>
    <w:rsid w:val="00F059A3"/>
    <w:rsid w:val="00F06F0F"/>
    <w:rsid w:val="00F10E99"/>
    <w:rsid w:val="00F1193F"/>
    <w:rsid w:val="00F1324F"/>
    <w:rsid w:val="00F16C8B"/>
    <w:rsid w:val="00F175EB"/>
    <w:rsid w:val="00F17F3E"/>
    <w:rsid w:val="00F22702"/>
    <w:rsid w:val="00F2289D"/>
    <w:rsid w:val="00F229DC"/>
    <w:rsid w:val="00F30092"/>
    <w:rsid w:val="00F31DAF"/>
    <w:rsid w:val="00F321D7"/>
    <w:rsid w:val="00F332C2"/>
    <w:rsid w:val="00F33CD0"/>
    <w:rsid w:val="00F34287"/>
    <w:rsid w:val="00F34C96"/>
    <w:rsid w:val="00F34ECE"/>
    <w:rsid w:val="00F36DAE"/>
    <w:rsid w:val="00F37DA0"/>
    <w:rsid w:val="00F43612"/>
    <w:rsid w:val="00F43A6B"/>
    <w:rsid w:val="00F43E28"/>
    <w:rsid w:val="00F450FF"/>
    <w:rsid w:val="00F45B82"/>
    <w:rsid w:val="00F45DBB"/>
    <w:rsid w:val="00F460EB"/>
    <w:rsid w:val="00F46141"/>
    <w:rsid w:val="00F46FDE"/>
    <w:rsid w:val="00F472FC"/>
    <w:rsid w:val="00F477AD"/>
    <w:rsid w:val="00F47B4F"/>
    <w:rsid w:val="00F47E3B"/>
    <w:rsid w:val="00F5209A"/>
    <w:rsid w:val="00F529A4"/>
    <w:rsid w:val="00F542EA"/>
    <w:rsid w:val="00F546AA"/>
    <w:rsid w:val="00F5785D"/>
    <w:rsid w:val="00F629D0"/>
    <w:rsid w:val="00F63651"/>
    <w:rsid w:val="00F637C3"/>
    <w:rsid w:val="00F63972"/>
    <w:rsid w:val="00F65BFF"/>
    <w:rsid w:val="00F67F4B"/>
    <w:rsid w:val="00F7058C"/>
    <w:rsid w:val="00F70698"/>
    <w:rsid w:val="00F721C8"/>
    <w:rsid w:val="00F73F1F"/>
    <w:rsid w:val="00F75165"/>
    <w:rsid w:val="00F77743"/>
    <w:rsid w:val="00F80181"/>
    <w:rsid w:val="00F825AC"/>
    <w:rsid w:val="00F84CB6"/>
    <w:rsid w:val="00F85BD3"/>
    <w:rsid w:val="00F86448"/>
    <w:rsid w:val="00F8682C"/>
    <w:rsid w:val="00F90E18"/>
    <w:rsid w:val="00F90E1B"/>
    <w:rsid w:val="00F92013"/>
    <w:rsid w:val="00F976DC"/>
    <w:rsid w:val="00FA00E1"/>
    <w:rsid w:val="00FA03A5"/>
    <w:rsid w:val="00FA1EE5"/>
    <w:rsid w:val="00FA2448"/>
    <w:rsid w:val="00FA3984"/>
    <w:rsid w:val="00FA3D40"/>
    <w:rsid w:val="00FA4CAA"/>
    <w:rsid w:val="00FA6C5B"/>
    <w:rsid w:val="00FA73BD"/>
    <w:rsid w:val="00FB02A2"/>
    <w:rsid w:val="00FB1A4D"/>
    <w:rsid w:val="00FB1E5D"/>
    <w:rsid w:val="00FB2310"/>
    <w:rsid w:val="00FB2E10"/>
    <w:rsid w:val="00FB386A"/>
    <w:rsid w:val="00FB39A5"/>
    <w:rsid w:val="00FB4DA7"/>
    <w:rsid w:val="00FB5B90"/>
    <w:rsid w:val="00FB7067"/>
    <w:rsid w:val="00FB7C76"/>
    <w:rsid w:val="00FC10F4"/>
    <w:rsid w:val="00FC19CB"/>
    <w:rsid w:val="00FC27B2"/>
    <w:rsid w:val="00FC2D0C"/>
    <w:rsid w:val="00FC3BA9"/>
    <w:rsid w:val="00FC509B"/>
    <w:rsid w:val="00FC51F1"/>
    <w:rsid w:val="00FC6E28"/>
    <w:rsid w:val="00FC70A9"/>
    <w:rsid w:val="00FC7D37"/>
    <w:rsid w:val="00FD247D"/>
    <w:rsid w:val="00FD3952"/>
    <w:rsid w:val="00FD4AD2"/>
    <w:rsid w:val="00FD7B85"/>
    <w:rsid w:val="00FE1083"/>
    <w:rsid w:val="00FE241A"/>
    <w:rsid w:val="00FE38D1"/>
    <w:rsid w:val="00FE5EFA"/>
    <w:rsid w:val="00FF063F"/>
    <w:rsid w:val="00FF133F"/>
    <w:rsid w:val="00FF1A30"/>
    <w:rsid w:val="00FF2302"/>
    <w:rsid w:val="00FF2EA9"/>
    <w:rsid w:val="00FF3C1E"/>
    <w:rsid w:val="00FF4CF3"/>
    <w:rsid w:val="00FF51D2"/>
    <w:rsid w:val="00FF59C6"/>
    <w:rsid w:val="00FF6B78"/>
    <w:rsid w:val="05F977F0"/>
    <w:rsid w:val="09E80D9B"/>
    <w:rsid w:val="11F4237D"/>
    <w:rsid w:val="144E6CB4"/>
    <w:rsid w:val="15E55916"/>
    <w:rsid w:val="19DD2CA4"/>
    <w:rsid w:val="1A67228E"/>
    <w:rsid w:val="25C72727"/>
    <w:rsid w:val="271F6085"/>
    <w:rsid w:val="27C31A2D"/>
    <w:rsid w:val="28AE03A3"/>
    <w:rsid w:val="2BF12336"/>
    <w:rsid w:val="35CC28BF"/>
    <w:rsid w:val="3D40584E"/>
    <w:rsid w:val="3DEF21D8"/>
    <w:rsid w:val="3FFF7DCA"/>
    <w:rsid w:val="472F76F2"/>
    <w:rsid w:val="526F5EFD"/>
    <w:rsid w:val="56614535"/>
    <w:rsid w:val="57FE18F2"/>
    <w:rsid w:val="5A5B670D"/>
    <w:rsid w:val="76B0316B"/>
    <w:rsid w:val="7F5D4AF5"/>
    <w:rsid w:val="7F827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16E858"/>
  <w15:docId w15:val="{066FF1C0-D6C2-44D9-9E43-566B94F0D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iPriority="0"/>
    <w:lsdException w:name="footer" w:uiPriority="0"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rFonts w:ascii="Times New Roman" w:eastAsia="Times New Roman" w:hAnsi="Times New Roman"/>
      <w:lang w:val="en-GB" w:eastAsia="en-US"/>
    </w:rPr>
  </w:style>
  <w:style w:type="paragraph" w:styleId="1">
    <w:name w:val="heading 1"/>
    <w:next w:val="a0"/>
    <w:link w:val="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a0"/>
    <w:next w:val="a0"/>
    <w:link w:val="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Char"/>
    <w:semiHidden/>
    <w:unhideWhenUsed/>
    <w:qFormat/>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0"/>
    <w:next w:val="a0"/>
    <w:link w:val="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uiPriority w:val="35"/>
    <w:qFormat/>
    <w:pPr>
      <w:overflowPunct w:val="0"/>
      <w:autoSpaceDE w:val="0"/>
      <w:autoSpaceDN w:val="0"/>
      <w:adjustRightInd w:val="0"/>
      <w:spacing w:before="120" w:after="120"/>
      <w:textAlignment w:val="baseline"/>
    </w:pPr>
    <w:rPr>
      <w:rFonts w:eastAsia="SimSun"/>
      <w:b/>
      <w:bCs/>
      <w:lang w:val="en-US"/>
    </w:rPr>
  </w:style>
  <w:style w:type="paragraph" w:styleId="a">
    <w:name w:val="List Bullet"/>
    <w:basedOn w:val="a0"/>
    <w:qFormat/>
    <w:pPr>
      <w:widowControl w:val="0"/>
      <w:numPr>
        <w:numId w:val="1"/>
      </w:numPr>
      <w:spacing w:after="0"/>
      <w:jc w:val="both"/>
    </w:pPr>
    <w:rPr>
      <w:rFonts w:eastAsia="MS Gothic"/>
      <w:kern w:val="2"/>
      <w:lang w:val="en-US" w:eastAsia="ja-JP"/>
    </w:rPr>
  </w:style>
  <w:style w:type="paragraph" w:styleId="a5">
    <w:name w:val="annotation text"/>
    <w:basedOn w:val="a0"/>
    <w:link w:val="Char0"/>
    <w:uiPriority w:val="99"/>
    <w:unhideWhenUsed/>
    <w:pPr>
      <w:overflowPunct w:val="0"/>
      <w:autoSpaceDE w:val="0"/>
      <w:autoSpaceDN w:val="0"/>
      <w:adjustRightInd w:val="0"/>
      <w:textAlignment w:val="baseline"/>
    </w:pPr>
    <w:rPr>
      <w:rFonts w:eastAsia="SimSun"/>
    </w:rPr>
  </w:style>
  <w:style w:type="paragraph" w:styleId="a6">
    <w:name w:val="Body Text"/>
    <w:basedOn w:val="a0"/>
    <w:link w:val="Char1"/>
    <w:qFormat/>
    <w:pPr>
      <w:spacing w:after="120"/>
      <w:jc w:val="both"/>
    </w:pPr>
    <w:rPr>
      <w:rFonts w:ascii="Times" w:eastAsia="바탕" w:hAnsi="Times"/>
      <w:szCs w:val="24"/>
      <w:lang w:eastAsia="zh-CN"/>
    </w:rPr>
  </w:style>
  <w:style w:type="paragraph" w:styleId="20">
    <w:name w:val="List 2"/>
    <w:basedOn w:val="a0"/>
    <w:uiPriority w:val="99"/>
    <w:semiHidden/>
    <w:unhideWhenUsed/>
    <w:qFormat/>
    <w:pPr>
      <w:ind w:left="720" w:hanging="360"/>
      <w:contextualSpacing/>
    </w:pPr>
  </w:style>
  <w:style w:type="paragraph" w:styleId="30">
    <w:name w:val="toc 3"/>
    <w:basedOn w:val="a0"/>
    <w:next w:val="a0"/>
    <w:uiPriority w:val="39"/>
    <w:semiHidden/>
    <w:unhideWhenUsed/>
    <w:qFormat/>
    <w:pPr>
      <w:spacing w:after="100"/>
      <w:ind w:left="400"/>
    </w:pPr>
  </w:style>
  <w:style w:type="paragraph" w:styleId="a7">
    <w:name w:val="Balloon Text"/>
    <w:basedOn w:val="a0"/>
    <w:link w:val="Char2"/>
    <w:uiPriority w:val="99"/>
    <w:semiHidden/>
    <w:unhideWhenUsed/>
    <w:qFormat/>
    <w:pPr>
      <w:overflowPunct w:val="0"/>
      <w:autoSpaceDE w:val="0"/>
      <w:autoSpaceDN w:val="0"/>
      <w:adjustRightInd w:val="0"/>
      <w:spacing w:after="0"/>
      <w:textAlignment w:val="baseline"/>
    </w:pPr>
    <w:rPr>
      <w:rFonts w:ascii="Segoe UI" w:eastAsia="SimSun" w:hAnsi="Segoe UI" w:cs="Segoe UI"/>
      <w:sz w:val="18"/>
      <w:szCs w:val="18"/>
    </w:rPr>
  </w:style>
  <w:style w:type="paragraph" w:styleId="a8">
    <w:name w:val="footer"/>
    <w:basedOn w:val="a9"/>
    <w:link w:val="Char3"/>
    <w:qFormat/>
    <w:pPr>
      <w:jc w:val="center"/>
    </w:pPr>
    <w:rPr>
      <w:i/>
    </w:rPr>
  </w:style>
  <w:style w:type="paragraph" w:styleId="a9">
    <w:name w:val="header"/>
    <w:link w:val="Char4"/>
    <w:pPr>
      <w:widowControl w:val="0"/>
      <w:overflowPunct w:val="0"/>
      <w:autoSpaceDE w:val="0"/>
      <w:autoSpaceDN w:val="0"/>
      <w:adjustRightInd w:val="0"/>
      <w:textAlignment w:val="baseline"/>
    </w:pPr>
    <w:rPr>
      <w:rFonts w:ascii="Arial" w:hAnsi="Arial"/>
      <w:b/>
      <w:sz w:val="18"/>
      <w:lang w:eastAsia="en-US"/>
    </w:rPr>
  </w:style>
  <w:style w:type="paragraph" w:styleId="40">
    <w:name w:val="toc 4"/>
    <w:basedOn w:val="30"/>
    <w:next w:val="a0"/>
    <w:qFormat/>
    <w:pPr>
      <w:keepLines/>
      <w:tabs>
        <w:tab w:val="left" w:pos="2155"/>
        <w:tab w:val="left" w:pos="3261"/>
        <w:tab w:val="left" w:leader="dot" w:pos="8789"/>
        <w:tab w:val="right" w:pos="9611"/>
      </w:tabs>
      <w:overflowPunct w:val="0"/>
      <w:autoSpaceDE w:val="0"/>
      <w:autoSpaceDN w:val="0"/>
      <w:adjustRightInd w:val="0"/>
      <w:spacing w:before="80" w:after="0"/>
      <w:ind w:left="3261" w:right="851" w:hanging="993"/>
      <w:jc w:val="both"/>
      <w:textAlignment w:val="baseline"/>
    </w:pPr>
    <w:rPr>
      <w:sz w:val="24"/>
      <w:lang w:val="en-US"/>
    </w:rPr>
  </w:style>
  <w:style w:type="paragraph" w:styleId="aa">
    <w:name w:val="Subtitle"/>
    <w:basedOn w:val="a0"/>
    <w:next w:val="a0"/>
    <w:link w:val="Char5"/>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ab">
    <w:name w:val="List"/>
    <w:basedOn w:val="a0"/>
    <w:uiPriority w:val="99"/>
    <w:semiHidden/>
    <w:unhideWhenUsed/>
    <w:qFormat/>
    <w:pPr>
      <w:overflowPunct w:val="0"/>
      <w:autoSpaceDE w:val="0"/>
      <w:autoSpaceDN w:val="0"/>
      <w:adjustRightInd w:val="0"/>
      <w:ind w:left="360" w:hanging="360"/>
      <w:contextualSpacing/>
      <w:textAlignment w:val="baseline"/>
    </w:pPr>
    <w:rPr>
      <w:rFonts w:eastAsia="SimSun"/>
    </w:rPr>
  </w:style>
  <w:style w:type="paragraph" w:styleId="ac">
    <w:name w:val="table of figures"/>
    <w:basedOn w:val="a6"/>
    <w:next w:val="a0"/>
    <w:uiPriority w:val="99"/>
    <w:qFormat/>
    <w:pPr>
      <w:overflowPunct w:val="0"/>
      <w:autoSpaceDE w:val="0"/>
      <w:autoSpaceDN w:val="0"/>
      <w:adjustRightInd w:val="0"/>
      <w:ind w:left="1701" w:hanging="1701"/>
      <w:jc w:val="left"/>
      <w:textAlignment w:val="baseline"/>
    </w:pPr>
    <w:rPr>
      <w:rFonts w:ascii="Arial" w:eastAsia="SimSun" w:hAnsi="Arial"/>
      <w:b/>
      <w:szCs w:val="20"/>
    </w:rPr>
  </w:style>
  <w:style w:type="paragraph" w:styleId="ad">
    <w:name w:val="Normal (Web)"/>
    <w:basedOn w:val="a0"/>
    <w:uiPriority w:val="99"/>
    <w:unhideWhenUsed/>
    <w:qFormat/>
    <w:pPr>
      <w:spacing w:before="100" w:beforeAutospacing="1" w:after="100" w:afterAutospacing="1"/>
    </w:pPr>
    <w:rPr>
      <w:sz w:val="24"/>
      <w:szCs w:val="24"/>
      <w:lang w:val="en-US" w:eastAsia="zh-CN"/>
    </w:rPr>
  </w:style>
  <w:style w:type="paragraph" w:styleId="ae">
    <w:name w:val="annotation subject"/>
    <w:basedOn w:val="a5"/>
    <w:next w:val="a5"/>
    <w:link w:val="Char6"/>
    <w:uiPriority w:val="99"/>
    <w:semiHidden/>
    <w:unhideWhenUsed/>
    <w:qFormat/>
    <w:rPr>
      <w:b/>
      <w:bCs/>
    </w:rPr>
  </w:style>
  <w:style w:type="table" w:styleId="af">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1"/>
    <w:qFormat/>
  </w:style>
  <w:style w:type="character" w:styleId="af1">
    <w:name w:val="FollowedHyperlink"/>
    <w:basedOn w:val="a1"/>
    <w:uiPriority w:val="99"/>
    <w:semiHidden/>
    <w:unhideWhenUsed/>
    <w:qFormat/>
    <w:rPr>
      <w:color w:val="954F72" w:themeColor="followedHyperlink"/>
      <w:u w:val="single"/>
    </w:rPr>
  </w:style>
  <w:style w:type="character" w:styleId="af2">
    <w:name w:val="Hyperlink"/>
    <w:uiPriority w:val="99"/>
    <w:qFormat/>
    <w:rPr>
      <w:color w:val="0000FF"/>
      <w:u w:val="single"/>
    </w:rPr>
  </w:style>
  <w:style w:type="character" w:styleId="af3">
    <w:name w:val="annotation reference"/>
    <w:basedOn w:val="a1"/>
    <w:uiPriority w:val="99"/>
    <w:semiHidden/>
    <w:unhideWhenUsed/>
    <w:qFormat/>
    <w:rPr>
      <w:sz w:val="16"/>
      <w:szCs w:val="16"/>
    </w:rPr>
  </w:style>
  <w:style w:type="character" w:customStyle="1" w:styleId="Heading1Char">
    <w:name w:val="Heading 1 Char"/>
    <w:uiPriority w:val="9"/>
    <w:qFormat/>
    <w:rPr>
      <w:rFonts w:ascii="Calibri Light" w:eastAsia="Times New Roman" w:hAnsi="Calibri Light" w:cs="Times New Roman"/>
      <w:color w:val="2F5496"/>
      <w:sz w:val="32"/>
      <w:szCs w:val="32"/>
      <w:lang w:val="en-GB"/>
    </w:rPr>
  </w:style>
  <w:style w:type="character" w:customStyle="1" w:styleId="Char4">
    <w:name w:val="머리글 Char"/>
    <w:link w:val="a9"/>
    <w:qFormat/>
    <w:rPr>
      <w:rFonts w:ascii="Arial" w:eastAsia="SimSun" w:hAnsi="Arial" w:cs="Times New Roman"/>
      <w:b/>
      <w:sz w:val="18"/>
      <w:szCs w:val="20"/>
    </w:rPr>
  </w:style>
  <w:style w:type="character" w:customStyle="1" w:styleId="Char3">
    <w:name w:val="바닥글 Char"/>
    <w:link w:val="a8"/>
    <w:qFormat/>
    <w:rPr>
      <w:rFonts w:ascii="Arial" w:eastAsia="SimSun" w:hAnsi="Arial" w:cs="Times New Roman"/>
      <w:b/>
      <w:i/>
      <w:sz w:val="18"/>
      <w:szCs w:val="20"/>
    </w:rPr>
  </w:style>
  <w:style w:type="character" w:customStyle="1" w:styleId="1Char">
    <w:name w:val="제목 1 Char"/>
    <w:link w:val="1"/>
    <w:uiPriority w:val="9"/>
    <w:qFormat/>
    <w:rPr>
      <w:rFonts w:ascii="Arial" w:eastAsia="SimSun" w:hAnsi="Arial" w:cs="Times New Roman"/>
      <w:sz w:val="36"/>
      <w:szCs w:val="20"/>
      <w:lang w:val="en-GB"/>
    </w:rPr>
  </w:style>
  <w:style w:type="paragraph" w:styleId="af4">
    <w:name w:val="List Paragraph"/>
    <w:basedOn w:val="a0"/>
    <w:link w:val="Char7"/>
    <w:uiPriority w:val="34"/>
    <w:qFormat/>
    <w:pPr>
      <w:overflowPunct w:val="0"/>
      <w:autoSpaceDE w:val="0"/>
      <w:autoSpaceDN w:val="0"/>
      <w:adjustRightInd w:val="0"/>
      <w:ind w:left="720"/>
      <w:contextualSpacing/>
      <w:textAlignment w:val="baseline"/>
    </w:pPr>
    <w:rPr>
      <w:rFonts w:eastAsia="SimSun"/>
    </w:rPr>
  </w:style>
  <w:style w:type="paragraph" w:customStyle="1" w:styleId="B1">
    <w:name w:val="B1"/>
    <w:basedOn w:val="ab"/>
    <w:link w:val="B1Char1"/>
    <w:qFormat/>
    <w:pPr>
      <w:overflowPunct/>
      <w:autoSpaceDE/>
      <w:autoSpaceDN/>
      <w:adjustRightInd/>
      <w:ind w:left="568" w:hanging="284"/>
      <w:contextualSpacing w:val="0"/>
      <w:textAlignment w:val="auto"/>
    </w:pPr>
    <w:rPr>
      <w:rFonts w:eastAsia="맑은 고딕"/>
    </w:rPr>
  </w:style>
  <w:style w:type="character" w:customStyle="1" w:styleId="Char">
    <w:name w:val="캡션 Char"/>
    <w:link w:val="a4"/>
    <w:uiPriority w:val="35"/>
    <w:qFormat/>
    <w:rPr>
      <w:rFonts w:ascii="Times New Roman" w:eastAsia="SimSun" w:hAnsi="Times New Roman" w:cs="Times New Roman"/>
      <w:b/>
      <w:bCs/>
      <w:sz w:val="20"/>
      <w:szCs w:val="20"/>
    </w:rPr>
  </w:style>
  <w:style w:type="character" w:customStyle="1" w:styleId="B1Char1">
    <w:name w:val="B1 Char1"/>
    <w:link w:val="B1"/>
    <w:qFormat/>
    <w:rPr>
      <w:rFonts w:ascii="Times New Roman" w:eastAsia="맑은 고딕" w:hAnsi="Times New Roman" w:cs="Times New Roman"/>
      <w:sz w:val="20"/>
      <w:szCs w:val="20"/>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qFormat/>
    <w:locked/>
    <w:rPr>
      <w:rFonts w:ascii="Arial" w:eastAsia="Times New Roman" w:hAnsi="Arial" w:cs="Times New Roman"/>
      <w:sz w:val="18"/>
      <w:szCs w:val="20"/>
      <w:lang w:val="en-GB" w:eastAsia="en-GB"/>
    </w:rPr>
  </w:style>
  <w:style w:type="character" w:customStyle="1" w:styleId="TAHCar">
    <w:name w:val="TAH Car"/>
    <w:link w:val="TAH"/>
    <w:qFormat/>
    <w:rPr>
      <w:rFonts w:ascii="Arial" w:eastAsia="Times New Roman" w:hAnsi="Arial" w:cs="Times New Roman"/>
      <w:b/>
      <w:sz w:val="18"/>
      <w:szCs w:val="20"/>
      <w:lang w:val="en-GB" w:eastAsia="en-GB"/>
    </w:rPr>
  </w:style>
  <w:style w:type="character" w:customStyle="1" w:styleId="fontstyle01">
    <w:name w:val="fontstyle01"/>
    <w:qFormat/>
    <w:rPr>
      <w:rFonts w:ascii="Times-Roman" w:hAnsi="Times-Roman" w:hint="default"/>
      <w:color w:val="000000"/>
      <w:sz w:val="20"/>
      <w:szCs w:val="20"/>
    </w:rPr>
  </w:style>
  <w:style w:type="character" w:customStyle="1" w:styleId="Char2">
    <w:name w:val="풍선 도움말 텍스트 Char"/>
    <w:basedOn w:val="a1"/>
    <w:link w:val="a7"/>
    <w:uiPriority w:val="99"/>
    <w:semiHidden/>
    <w:qFormat/>
    <w:rPr>
      <w:rFonts w:ascii="Segoe UI" w:eastAsia="SimSun" w:hAnsi="Segoe UI" w:cs="Segoe UI"/>
      <w:sz w:val="18"/>
      <w:szCs w:val="18"/>
      <w:lang w:val="en-GB"/>
    </w:rPr>
  </w:style>
  <w:style w:type="character" w:styleId="af5">
    <w:name w:val="Placeholder Text"/>
    <w:basedOn w:val="a1"/>
    <w:uiPriority w:val="99"/>
    <w:semiHidden/>
    <w:qFormat/>
    <w:rPr>
      <w:color w:val="808080"/>
    </w:rPr>
  </w:style>
  <w:style w:type="character" w:customStyle="1" w:styleId="Char0">
    <w:name w:val="메모 텍스트 Char"/>
    <w:basedOn w:val="a1"/>
    <w:link w:val="a5"/>
    <w:uiPriority w:val="99"/>
    <w:qFormat/>
    <w:rPr>
      <w:rFonts w:ascii="Times New Roman" w:eastAsia="SimSun" w:hAnsi="Times New Roman"/>
      <w:lang w:val="en-GB"/>
    </w:rPr>
  </w:style>
  <w:style w:type="character" w:customStyle="1" w:styleId="Char6">
    <w:name w:val="메모 주제 Char"/>
    <w:basedOn w:val="Char0"/>
    <w:link w:val="ae"/>
    <w:uiPriority w:val="99"/>
    <w:semiHidden/>
    <w:qFormat/>
    <w:rPr>
      <w:rFonts w:ascii="Times New Roman" w:eastAsia="SimSun" w:hAnsi="Times New Roman"/>
      <w:b/>
      <w:bCs/>
      <w:lang w:val="en-GB"/>
    </w:rPr>
  </w:style>
  <w:style w:type="character" w:customStyle="1" w:styleId="3Char">
    <w:name w:val="제목 3 Char"/>
    <w:basedOn w:val="a1"/>
    <w:link w:val="3"/>
    <w:semiHidden/>
    <w:qFormat/>
    <w:rPr>
      <w:rFonts w:asciiTheme="majorHAnsi" w:eastAsiaTheme="majorEastAsia" w:hAnsiTheme="majorHAnsi" w:cstheme="majorBidi"/>
      <w:color w:val="1F3864" w:themeColor="accent1" w:themeShade="80"/>
      <w:sz w:val="24"/>
      <w:szCs w:val="24"/>
      <w:lang w:val="en-GB"/>
    </w:rPr>
  </w:style>
  <w:style w:type="character" w:customStyle="1" w:styleId="THChar">
    <w:name w:val="TH Char"/>
    <w:link w:val="TH"/>
    <w:qFormat/>
    <w:locked/>
    <w:rPr>
      <w:rFonts w:ascii="Arial" w:hAnsi="Arial" w:cs="Arial"/>
      <w:b/>
      <w:lang w:val="en-GB"/>
    </w:rPr>
  </w:style>
  <w:style w:type="paragraph" w:customStyle="1" w:styleId="TH">
    <w:name w:val="TH"/>
    <w:basedOn w:val="a0"/>
    <w:link w:val="THChar"/>
    <w:qFormat/>
    <w:pPr>
      <w:keepNext/>
      <w:keepLines/>
      <w:spacing w:before="60"/>
      <w:jc w:val="center"/>
    </w:pPr>
    <w:rPr>
      <w:rFonts w:ascii="Arial" w:eastAsia="Calibri" w:hAnsi="Arial" w:cs="Arial"/>
      <w:b/>
    </w:rPr>
  </w:style>
  <w:style w:type="character" w:customStyle="1" w:styleId="Char7">
    <w:name w:val="목록 단락 Char"/>
    <w:link w:val="af4"/>
    <w:uiPriority w:val="34"/>
    <w:qFormat/>
    <w:locked/>
    <w:rPr>
      <w:rFonts w:ascii="Times New Roman" w:eastAsia="SimSun" w:hAnsi="Times New Roman"/>
      <w:lang w:val="en-GB"/>
    </w:rPr>
  </w:style>
  <w:style w:type="paragraph" w:customStyle="1" w:styleId="B2">
    <w:name w:val="B2"/>
    <w:basedOn w:val="20"/>
    <w:link w:val="B2Char"/>
    <w:qFormat/>
    <w:pPr>
      <w:overflowPunct w:val="0"/>
      <w:autoSpaceDE w:val="0"/>
      <w:autoSpaceDN w:val="0"/>
      <w:adjustRightInd w:val="0"/>
      <w:ind w:left="851" w:hanging="284"/>
      <w:contextualSpacing w:val="0"/>
      <w:textAlignment w:val="baseline"/>
    </w:pPr>
  </w:style>
  <w:style w:type="character" w:customStyle="1" w:styleId="B2Char">
    <w:name w:val="B2 Char"/>
    <w:link w:val="B2"/>
    <w:qFormat/>
    <w:locked/>
    <w:rPr>
      <w:rFonts w:ascii="Times New Roman" w:eastAsia="Times New Roman" w:hAnsi="Times New Roman"/>
      <w:lang w:val="en-GB"/>
    </w:rPr>
  </w:style>
  <w:style w:type="paragraph" w:customStyle="1" w:styleId="CRCoverPage">
    <w:name w:val="CR Cover Page"/>
    <w:qFormat/>
    <w:pPr>
      <w:spacing w:after="120"/>
    </w:pPr>
    <w:rPr>
      <w:rFonts w:ascii="Arial" w:eastAsia="Times New Roman" w:hAnsi="Arial"/>
      <w:lang w:val="en-GB" w:eastAsia="en-US"/>
    </w:rPr>
  </w:style>
  <w:style w:type="character" w:customStyle="1" w:styleId="4Char">
    <w:name w:val="제목 4 Char"/>
    <w:basedOn w:val="a1"/>
    <w:link w:val="4"/>
    <w:uiPriority w:val="9"/>
    <w:semiHidden/>
    <w:qFormat/>
    <w:rPr>
      <w:rFonts w:asciiTheme="majorHAnsi" w:eastAsiaTheme="majorEastAsia" w:hAnsiTheme="majorHAnsi" w:cstheme="majorBidi"/>
      <w:i/>
      <w:iCs/>
      <w:color w:val="2F5496" w:themeColor="accent1" w:themeShade="BF"/>
      <w:lang w:val="en-GB"/>
    </w:rPr>
  </w:style>
  <w:style w:type="character" w:customStyle="1" w:styleId="2Char">
    <w:name w:val="제목 2 Char"/>
    <w:basedOn w:val="a1"/>
    <w:link w:val="2"/>
    <w:uiPriority w:val="9"/>
    <w:qFormat/>
    <w:rPr>
      <w:rFonts w:asciiTheme="majorHAnsi" w:eastAsiaTheme="majorEastAsia" w:hAnsiTheme="majorHAnsi" w:cstheme="majorBidi"/>
      <w:color w:val="2F5496" w:themeColor="accent1" w:themeShade="BF"/>
      <w:sz w:val="26"/>
      <w:szCs w:val="26"/>
      <w:lang w:val="en-GB"/>
    </w:rPr>
  </w:style>
  <w:style w:type="paragraph" w:customStyle="1" w:styleId="Style1">
    <w:name w:val="Style1"/>
    <w:basedOn w:val="2"/>
    <w:link w:val="Style1Char"/>
    <w:qFormat/>
    <w:rPr>
      <w:color w:val="auto"/>
    </w:rPr>
  </w:style>
  <w:style w:type="paragraph" w:customStyle="1" w:styleId="Style2">
    <w:name w:val="Style2"/>
    <w:basedOn w:val="Style1"/>
    <w:link w:val="Style2Char"/>
    <w:qFormat/>
    <w:rPr>
      <w:rFonts w:ascii="Arial" w:hAnsi="Arial"/>
    </w:rPr>
  </w:style>
  <w:style w:type="character" w:customStyle="1" w:styleId="Style1Char">
    <w:name w:val="Style1 Char"/>
    <w:basedOn w:val="2Char"/>
    <w:link w:val="Style1"/>
    <w:qFormat/>
    <w:rPr>
      <w:rFonts w:asciiTheme="majorHAnsi" w:eastAsiaTheme="majorEastAsia" w:hAnsiTheme="majorHAnsi" w:cstheme="majorBidi"/>
      <w:color w:val="2F5496" w:themeColor="accent1" w:themeShade="BF"/>
      <w:sz w:val="26"/>
      <w:szCs w:val="26"/>
      <w:lang w:val="en-GB"/>
    </w:rPr>
  </w:style>
  <w:style w:type="table" w:customStyle="1" w:styleId="11">
    <w:name w:val="网格表 1 浅色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tyle2Char">
    <w:name w:val="Style2 Char"/>
    <w:basedOn w:val="Style1Char"/>
    <w:link w:val="Style2"/>
    <w:qFormat/>
    <w:rPr>
      <w:rFonts w:ascii="Arial" w:eastAsiaTheme="majorEastAsia" w:hAnsi="Arial" w:cstheme="majorBidi"/>
      <w:color w:val="2F5496" w:themeColor="accent1" w:themeShade="BF"/>
      <w:sz w:val="26"/>
      <w:szCs w:val="26"/>
      <w:lang w:val="en-GB"/>
    </w:rPr>
  </w:style>
  <w:style w:type="table" w:customStyle="1" w:styleId="6-31">
    <w:name w:val="网格表 6 彩色 - 着色 31"/>
    <w:basedOn w:val="a2"/>
    <w:uiPriority w:val="51"/>
    <w:qFormat/>
    <w:rPr>
      <w:color w:val="7B7B7B" w:themeColor="accent3" w:themeShade="BF"/>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1">
    <w:name w:val="清单表 41"/>
    <w:basedOn w:val="a2"/>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10">
    <w:name w:val="修订1"/>
    <w:hidden/>
    <w:uiPriority w:val="99"/>
    <w:semiHidden/>
    <w:rPr>
      <w:rFonts w:ascii="Times New Roman" w:eastAsia="Times New Roman" w:hAnsi="Times New Roman"/>
      <w:lang w:val="en-GB" w:eastAsia="en-US"/>
    </w:rPr>
  </w:style>
  <w:style w:type="paragraph" w:customStyle="1" w:styleId="NO">
    <w:name w:val="NO"/>
    <w:basedOn w:val="a0"/>
    <w:qFormat/>
    <w:pPr>
      <w:keepLines/>
      <w:overflowPunct w:val="0"/>
      <w:autoSpaceDE w:val="0"/>
      <w:autoSpaceDN w:val="0"/>
      <w:adjustRightInd w:val="0"/>
      <w:ind w:left="1135" w:hanging="851"/>
      <w:textAlignment w:val="baseline"/>
    </w:pPr>
    <w:rPr>
      <w:lang w:eastAsia="zh-TW"/>
    </w:rPr>
  </w:style>
  <w:style w:type="character" w:customStyle="1" w:styleId="Char5">
    <w:name w:val="부제 Char"/>
    <w:basedOn w:val="a1"/>
    <w:link w:val="aa"/>
    <w:uiPriority w:val="11"/>
    <w:qFormat/>
    <w:rPr>
      <w:rFonts w:asciiTheme="minorHAnsi" w:eastAsiaTheme="minorEastAsia" w:hAnsiTheme="minorHAnsi" w:cstheme="minorBidi"/>
      <w:color w:val="595959" w:themeColor="text1" w:themeTint="A6"/>
      <w:spacing w:val="15"/>
      <w:sz w:val="22"/>
      <w:szCs w:val="22"/>
      <w:lang w:val="en-GB"/>
    </w:rPr>
  </w:style>
  <w:style w:type="character" w:customStyle="1" w:styleId="Char1">
    <w:name w:val="본문 Char"/>
    <w:basedOn w:val="a1"/>
    <w:link w:val="a6"/>
    <w:qFormat/>
    <w:rPr>
      <w:rFonts w:ascii="Times" w:eastAsia="바탕" w:hAnsi="Times"/>
      <w:szCs w:val="24"/>
      <w:lang w:val="en-GB" w:eastAsia="zh-CN"/>
    </w:rPr>
  </w:style>
  <w:style w:type="character" w:customStyle="1" w:styleId="apple-converted-space">
    <w:name w:val="apple-converted-space"/>
    <w:qFormat/>
  </w:style>
  <w:style w:type="paragraph" w:customStyle="1" w:styleId="TF">
    <w:name w:val="TF"/>
    <w:basedOn w:val="TH"/>
    <w:link w:val="TFChar"/>
    <w:qFormat/>
    <w:pPr>
      <w:keepNext w:val="0"/>
      <w:spacing w:before="0" w:after="240"/>
    </w:pPr>
    <w:rPr>
      <w:rFonts w:eastAsia="PMingLiU" w:cs="Times New Roman"/>
    </w:rPr>
  </w:style>
  <w:style w:type="character" w:customStyle="1" w:styleId="TFChar">
    <w:name w:val="TF Char"/>
    <w:link w:val="TF"/>
    <w:qFormat/>
    <w:locked/>
    <w:rPr>
      <w:rFonts w:ascii="Arial" w:eastAsia="PMingLiU" w:hAnsi="Arial"/>
      <w:b/>
      <w:lang w:val="en-GB"/>
    </w:rPr>
  </w:style>
  <w:style w:type="character" w:customStyle="1" w:styleId="0MaintextChar">
    <w:name w:val="0 Main text Char"/>
    <w:link w:val="0Maintext"/>
    <w:qFormat/>
    <w:locked/>
    <w:rPr>
      <w:rFonts w:cs="바탕"/>
    </w:rPr>
  </w:style>
  <w:style w:type="paragraph" w:customStyle="1" w:styleId="0Maintext">
    <w:name w:val="0 Main text"/>
    <w:basedOn w:val="a0"/>
    <w:link w:val="0MaintextChar"/>
    <w:qFormat/>
    <w:pPr>
      <w:spacing w:after="100" w:afterAutospacing="1" w:line="288" w:lineRule="auto"/>
      <w:ind w:firstLine="360"/>
      <w:jc w:val="both"/>
    </w:pPr>
    <w:rPr>
      <w:rFonts w:ascii="Calibri" w:eastAsia="SimSun" w:hAnsi="Calibri" w:cs="바탕"/>
      <w:lang w:val="en-US"/>
    </w:rPr>
  </w:style>
  <w:style w:type="paragraph" w:customStyle="1" w:styleId="Prop1">
    <w:name w:val="Prop1"/>
    <w:basedOn w:val="af4"/>
    <w:uiPriority w:val="99"/>
    <w:qFormat/>
    <w:pPr>
      <w:overflowPunct/>
      <w:autoSpaceDE/>
      <w:autoSpaceDN/>
      <w:adjustRightInd/>
      <w:spacing w:after="0"/>
      <w:ind w:left="0"/>
      <w:contextualSpacing w:val="0"/>
      <w:textAlignment w:val="auto"/>
    </w:pPr>
    <w:rPr>
      <w:b/>
      <w:szCs w:val="21"/>
      <w:lang w:val="en-US" w:eastAsia="zh-CN"/>
    </w:rPr>
  </w:style>
  <w:style w:type="paragraph" w:styleId="af6">
    <w:name w:val="No Spacing"/>
    <w:uiPriority w:val="1"/>
    <w:qFormat/>
    <w:pPr>
      <w:ind w:left="720" w:hanging="360"/>
    </w:pPr>
    <w:rPr>
      <w:sz w:val="22"/>
      <w:szCs w:val="22"/>
    </w:rPr>
  </w:style>
  <w:style w:type="table" w:customStyle="1" w:styleId="4-11">
    <w:name w:val="网格表 4 - 着色 11"/>
    <w:basedOn w:val="a2"/>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12">
    <w:name w:val="未处理的提及1"/>
    <w:basedOn w:val="a1"/>
    <w:uiPriority w:val="99"/>
    <w:semiHidden/>
    <w:unhideWhenUsed/>
    <w:qFormat/>
    <w:rPr>
      <w:color w:val="605E5C"/>
      <w:shd w:val="clear" w:color="auto" w:fill="E1DFDD"/>
    </w:rPr>
  </w:style>
  <w:style w:type="table" w:customStyle="1" w:styleId="TableGrid1">
    <w:name w:val="Table Grid1"/>
    <w:basedOn w:val="a2"/>
    <w:qFormat/>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0"/>
    <w:next w:val="a0"/>
    <w:qFormat/>
    <w:pPr>
      <w:keepLines/>
      <w:tabs>
        <w:tab w:val="center" w:pos="4536"/>
        <w:tab w:val="right" w:pos="9072"/>
      </w:tabs>
      <w:overflowPunct w:val="0"/>
      <w:autoSpaceDE w:val="0"/>
      <w:autoSpaceDN w:val="0"/>
      <w:adjustRightInd w:val="0"/>
      <w:textAlignment w:val="baseline"/>
    </w:pPr>
    <w:rPr>
      <w:lang w:eastAsia="ja-JP"/>
    </w:rPr>
  </w:style>
  <w:style w:type="paragraph" w:customStyle="1" w:styleId="CharCharCharCharCharChar">
    <w:name w:val="Char Char Char Char Char Char"/>
    <w:semiHidden/>
    <w:qFormat/>
    <w:pPr>
      <w:keepNext/>
      <w:numPr>
        <w:numId w:val="2"/>
      </w:numPr>
      <w:autoSpaceDE w:val="0"/>
      <w:autoSpaceDN w:val="0"/>
      <w:adjustRightInd w:val="0"/>
      <w:spacing w:before="60" w:after="60"/>
      <w:jc w:val="both"/>
    </w:pPr>
    <w:rPr>
      <w:rFonts w:ascii="Arial" w:hAnsi="Arial" w:cs="Arial"/>
      <w:color w:val="0000FF"/>
      <w:kern w:val="2"/>
    </w:rPr>
  </w:style>
  <w:style w:type="paragraph" w:customStyle="1" w:styleId="Proposal">
    <w:name w:val="Proposal"/>
    <w:basedOn w:val="a6"/>
    <w:qFormat/>
    <w:pPr>
      <w:numPr>
        <w:numId w:val="3"/>
      </w:numPr>
      <w:tabs>
        <w:tab w:val="clear" w:pos="1304"/>
        <w:tab w:val="left" w:pos="1701"/>
      </w:tabs>
      <w:overflowPunct w:val="0"/>
      <w:autoSpaceDE w:val="0"/>
      <w:autoSpaceDN w:val="0"/>
      <w:adjustRightInd w:val="0"/>
      <w:ind w:left="1701" w:hanging="1701"/>
      <w:textAlignment w:val="baseline"/>
    </w:pPr>
    <w:rPr>
      <w:rFonts w:ascii="Arial" w:eastAsia="SimSun" w:hAnsi="Arial"/>
      <w:b/>
      <w:bCs/>
      <w:szCs w:val="20"/>
    </w:rPr>
  </w:style>
  <w:style w:type="paragraph" w:customStyle="1" w:styleId="maintext">
    <w:name w:val="main text"/>
    <w:basedOn w:val="a0"/>
    <w:qFormat/>
    <w:pPr>
      <w:spacing w:before="60" w:after="60" w:line="288" w:lineRule="auto"/>
      <w:ind w:firstLineChars="200" w:firstLine="200"/>
      <w:jc w:val="both"/>
    </w:pPr>
    <w:rPr>
      <w:rFonts w:eastAsia="맑은 고딕"/>
      <w:lang w:val="en-US" w:eastAsia="ko-KR"/>
    </w:rPr>
  </w:style>
  <w:style w:type="paragraph" w:customStyle="1" w:styleId="Tabletext">
    <w:name w:val="Table_text"/>
    <w:basedOn w:val="a0"/>
    <w:link w:val="TabletextChar"/>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lang w:val="fr-FR"/>
    </w:rPr>
  </w:style>
  <w:style w:type="paragraph" w:customStyle="1" w:styleId="Tablehead">
    <w:name w:val="Table_head"/>
    <w:basedOn w:val="a0"/>
    <w:next w:val="a0"/>
    <w:link w:val="TableheadChar"/>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sz w:val="22"/>
      <w:lang w:val="fr-FR"/>
    </w:rPr>
  </w:style>
  <w:style w:type="character" w:customStyle="1" w:styleId="TabletextChar">
    <w:name w:val="Table_text Char"/>
    <w:basedOn w:val="a1"/>
    <w:link w:val="Tabletext"/>
    <w:qFormat/>
    <w:locked/>
    <w:rPr>
      <w:rFonts w:ascii="Times New Roman" w:eastAsia="Times New Roman" w:hAnsi="Times New Roman"/>
      <w:sz w:val="22"/>
      <w:lang w:val="fr-FR"/>
    </w:rPr>
  </w:style>
  <w:style w:type="character" w:customStyle="1" w:styleId="TableheadChar">
    <w:name w:val="Table_head Char"/>
    <w:basedOn w:val="a1"/>
    <w:link w:val="Tablehead"/>
    <w:qFormat/>
    <w:locked/>
    <w:rPr>
      <w:rFonts w:ascii="Times New Roman" w:eastAsia="Times New Roman" w:hAnsi="Times New Roman"/>
      <w:b/>
      <w:sz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2873.zip" TargetMode="External"/><Relationship Id="rId18" Type="http://schemas.openxmlformats.org/officeDocument/2006/relationships/hyperlink" Target="https://www.3gpp.org/ftp/TSG_RAN/WG1_RL1/TSGR1_112b-e/Docs/R1-2302873.zip" TargetMode="External"/><Relationship Id="rId26" Type="http://schemas.openxmlformats.org/officeDocument/2006/relationships/image" Target="media/image5.wmf"/><Relationship Id="rId39" Type="http://schemas.openxmlformats.org/officeDocument/2006/relationships/hyperlink" Target="https://www.3gpp.org/ftp/TSG_RAN/TSG_RAN/TSGR_99/Docs/RP-230736.zip" TargetMode="External"/><Relationship Id="rId21" Type="http://schemas.openxmlformats.org/officeDocument/2006/relationships/image" Target="media/image2.wmf"/><Relationship Id="rId34" Type="http://schemas.openxmlformats.org/officeDocument/2006/relationships/hyperlink" Target="https://www.3gpp.org/ftp/TSG_RAN/WG1_RL1/TSGR1_112b-e/Docs/R1-2303157.zip" TargetMode="External"/><Relationship Id="rId42" Type="http://schemas.openxmlformats.org/officeDocument/2006/relationships/hyperlink" Target="https://www.itu.int/dms_pub/itu-r/opb/rep/R-REP-M.2412-2017-PDF-E.pdf" TargetMode="External"/><Relationship Id="rId47"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12b-e/Docs/R1-2302873.zip" TargetMode="External"/><Relationship Id="rId29" Type="http://schemas.openxmlformats.org/officeDocument/2006/relationships/hyperlink" Target="https://www.itu.int/pub/R-REP-M.2412"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wmf"/><Relationship Id="rId32" Type="http://schemas.openxmlformats.org/officeDocument/2006/relationships/hyperlink" Target="https://www.3gpp.org/ftp/TSG_RAN/WG1_RL1/TSGR1_112b-e/Docs/R1-2302774.zip" TargetMode="External"/><Relationship Id="rId37" Type="http://schemas.openxmlformats.org/officeDocument/2006/relationships/hyperlink" Target="https://www.3gpp.org/ftp/TSG_RAN/WG1_RL1/TSGR1_112b-e/Docs/R1-2303619.zip" TargetMode="External"/><Relationship Id="rId40" Type="http://schemas.openxmlformats.org/officeDocument/2006/relationships/hyperlink" Target="https://www.itu.int/dms_pub/itu-r/opb/rep/R-REP-M.2514-2022-PDF-E.pdf" TargetMode="Externa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3gpp.org/ftp/TSG_RAN/WG1_RL1/TSGR1_112b-e/Docs/R1-2302435.zip" TargetMode="External"/><Relationship Id="rId23" Type="http://schemas.openxmlformats.org/officeDocument/2006/relationships/oleObject" Target="embeddings/oleObject1.bin"/><Relationship Id="rId28" Type="http://schemas.openxmlformats.org/officeDocument/2006/relationships/hyperlink" Target="https://www.3gpp.org/ftp/TSG_RAN/WG1_RL1/TSGR1_112b-e/Docs/R1-2302384.zip" TargetMode="External"/><Relationship Id="rId36" Type="http://schemas.openxmlformats.org/officeDocument/2006/relationships/hyperlink" Target="https://www.3gpp.org/ftp/TSG_RAN/WG1_RL1/TSGR1_112b-e/Docs/R1-2303346.zip" TargetMode="External"/><Relationship Id="rId10" Type="http://schemas.openxmlformats.org/officeDocument/2006/relationships/footnotes" Target="footnotes.xml"/><Relationship Id="rId19" Type="http://schemas.openxmlformats.org/officeDocument/2006/relationships/hyperlink" Target="https://www.3gpp.org/ftp/TSG_RAN/WG1_RL1/TSGR1_112b-e/Docs/R1-2303157.zip" TargetMode="External"/><Relationship Id="rId31" Type="http://schemas.openxmlformats.org/officeDocument/2006/relationships/hyperlink" Target="https://www.3gpp.org/ftp/TSG_RAN/WG1_RL1/TSGR1_112b-e/Docs/R1-2302693.zip"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2b-e/Docs/R1-2303157.zip" TargetMode="External"/><Relationship Id="rId22" Type="http://schemas.openxmlformats.org/officeDocument/2006/relationships/image" Target="media/image3.wmf"/><Relationship Id="rId27" Type="http://schemas.openxmlformats.org/officeDocument/2006/relationships/oleObject" Target="embeddings/oleObject3.bin"/><Relationship Id="rId30" Type="http://schemas.openxmlformats.org/officeDocument/2006/relationships/hyperlink" Target="https://www.3gpp.org/ftp/TSG_RAN/WG1_RL1/TSGR1_112b-e/Docs/R1-2302435.zip" TargetMode="External"/><Relationship Id="rId35" Type="http://schemas.openxmlformats.org/officeDocument/2006/relationships/hyperlink" Target="https://www.3gpp.org/ftp/TSG_RAN/WG1_RL1/TSGR1_112b-e/Docs/R1-2303299.zip" TargetMode="External"/><Relationship Id="rId43" Type="http://schemas.openxmlformats.org/officeDocument/2006/relationships/hyperlink" Target="https://www.itu.int/dms_pub/itu-r/opb/rep/R-REP-M.2412-2017-MSW-E.docx" TargetMode="Externa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12b-e/Docs/R1-2302384.zip" TargetMode="External"/><Relationship Id="rId17" Type="http://schemas.openxmlformats.org/officeDocument/2006/relationships/hyperlink" Target="https://www.3gpp.org/ftp/TSG_RAN/WG1_RL1/TSGR1_112b-e/Docs/R1-2303157.zip" TargetMode="External"/><Relationship Id="rId25" Type="http://schemas.openxmlformats.org/officeDocument/2006/relationships/oleObject" Target="embeddings/oleObject2.bin"/><Relationship Id="rId33" Type="http://schemas.openxmlformats.org/officeDocument/2006/relationships/hyperlink" Target="https://www.3gpp.org/ftp/TSG_RAN/WG1_RL1/TSGR1_112b-e/Docs/R1-2302873.zip" TargetMode="External"/><Relationship Id="rId38" Type="http://schemas.openxmlformats.org/officeDocument/2006/relationships/hyperlink" Target="https://www.3gpp.org/ftp/TSG_RAN/WG1_RL1/TSGR1_112b-e/Docs/R1-2303626.zip" TargetMode="External"/><Relationship Id="rId46" Type="http://schemas.openxmlformats.org/officeDocument/2006/relationships/footer" Target="footer2.xml"/><Relationship Id="rId20" Type="http://schemas.openxmlformats.org/officeDocument/2006/relationships/image" Target="media/image1.wmf"/><Relationship Id="rId41" Type="http://schemas.openxmlformats.org/officeDocument/2006/relationships/hyperlink" Target="https://www.itu.int/dms_pub/itu-r/opb/rep/R-REP-M.2514-2022-MSW-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00AF53CD484D94BBA0B4FFC49EE7B30" ma:contentTypeVersion="11" ma:contentTypeDescription="Create a new document." ma:contentTypeScope="" ma:versionID="bb9a07d7b3a94954f30ee4cd28788806">
  <xsd:schema xmlns:xsd="http://www.w3.org/2001/XMLSchema" xmlns:xs="http://www.w3.org/2001/XMLSchema" xmlns:p="http://schemas.microsoft.com/office/2006/metadata/properties" xmlns:ns2="b782a749-144d-48ae-8b94-9ef0c78e12ad" xmlns:ns3="963e4a72-2589-4378-83c5-1047762f75d4" targetNamespace="http://schemas.microsoft.com/office/2006/metadata/properties" ma:root="true" ma:fieldsID="f89011546429e9b93fce5c188de89e57" ns2:_="" ns3:_="">
    <xsd:import namespace="b782a749-144d-48ae-8b94-9ef0c78e12ad"/>
    <xsd:import namespace="963e4a72-2589-4378-83c5-1047762f75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82a749-144d-48ae-8b94-9ef0c78e1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3e4a72-2589-4378-83c5-1047762f75d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1D6918-1BFF-450A-BF39-D3405B351D6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603B5C-2AF9-422F-9540-79A6E85217CA}">
  <ds:schemaRefs>
    <ds:schemaRef ds:uri="http://schemas.microsoft.com/sharepoint/v3/contenttype/forms"/>
  </ds:schemaRefs>
</ds:datastoreItem>
</file>

<file path=customXml/itemProps4.xml><?xml version="1.0" encoding="utf-8"?>
<ds:datastoreItem xmlns:ds="http://schemas.openxmlformats.org/officeDocument/2006/customXml" ds:itemID="{76D40585-1122-4FC3-B512-A5927C266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82a749-144d-48ae-8b94-9ef0c78e12ad"/>
    <ds:schemaRef ds:uri="963e4a72-2589-4378-83c5-1047762f7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025C3A1-034B-49BE-B695-CCDF2A9EF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27</Pages>
  <Words>5874</Words>
  <Characters>33482</Characters>
  <Application>Microsoft Office Word</Application>
  <DocSecurity>0</DocSecurity>
  <Lines>279</Lines>
  <Paragraphs>78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박성진/표준연구팀(SR)/삼성전자</cp:lastModifiedBy>
  <cp:revision>3</cp:revision>
  <cp:lastPrinted>2020-02-10T06:14:00Z</cp:lastPrinted>
  <dcterms:created xsi:type="dcterms:W3CDTF">2023-04-18T11:25:00Z</dcterms:created>
  <dcterms:modified xsi:type="dcterms:W3CDTF">2023-04-18T11:32:00Z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0x010100100AF53CD484D94BBA0B4FFC49EE7B30</vt:lpwstr>
  </property>
  <property fmtid="{D5CDD505-2E9C-101B-9397-08002B2CF9AE}" pid="3" name="_dlc_DocIdItemGuid">
    <vt:lpwstr>974d46ff-4c2b-43d0-9cd0-36fafb3c8279</vt:lpwstr>
  </property>
  <property fmtid="{D5CDD505-2E9C-101B-9397-08002B2CF9AE}" pid="4" name="KSOProductBuildVer">
    <vt:lpwstr>2052-11.8.2.9022</vt:lpwstr>
  </property>
  <property fmtid="{D5CDD505-2E9C-101B-9397-08002B2CF9AE}" pid="5" name="MSIP_Label_83bcef13-7cac-433f-ba1d-47a323951816_Enabled">
    <vt:lpwstr>true</vt:lpwstr>
  </property>
  <property fmtid="{D5CDD505-2E9C-101B-9397-08002B2CF9AE}" pid="6" name="MSIP_Label_83bcef13-7cac-433f-ba1d-47a323951816_SetDate">
    <vt:lpwstr>2023-04-18T10:55:02Z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926f8c98-a54d-4c87-beea-32ef2aae6850</vt:lpwstr>
  </property>
  <property fmtid="{D5CDD505-2E9C-101B-9397-08002B2CF9AE}" pid="11" name="MSIP_Label_83bcef13-7cac-433f-ba1d-47a323951816_ContentBits">
    <vt:lpwstr>0</vt:lpwstr>
  </property>
</Properties>
</file>