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TableGrid"/>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TableGrid"/>
        <w:tblW w:w="0" w:type="auto"/>
        <w:tblLook w:val="04A0" w:firstRow="1" w:lastRow="0" w:firstColumn="1" w:lastColumn="0" w:noHBand="0" w:noVBand="1"/>
      </w:tblPr>
      <w:tblGrid>
        <w:gridCol w:w="1255"/>
        <w:gridCol w:w="8095"/>
      </w:tblGrid>
      <w:tr w:rsidR="00192195" w14:paraId="64AEB8F3" w14:textId="77777777" w:rsidTr="008509A8">
        <w:tc>
          <w:tcPr>
            <w:tcW w:w="9350" w:type="dxa"/>
            <w:gridSpan w:val="2"/>
          </w:tcPr>
          <w:p w14:paraId="027BDBDF"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8509A8">
        <w:tc>
          <w:tcPr>
            <w:tcW w:w="1255" w:type="dxa"/>
          </w:tcPr>
          <w:p w14:paraId="1DFA324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192195" w14:paraId="1BB0F24F" w14:textId="77777777" w:rsidTr="008509A8">
        <w:tc>
          <w:tcPr>
            <w:tcW w:w="1255" w:type="dxa"/>
          </w:tcPr>
          <w:p w14:paraId="756EF0A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2E11A7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192195" w14:paraId="5A0097EF" w14:textId="77777777" w:rsidTr="008509A8">
        <w:tc>
          <w:tcPr>
            <w:tcW w:w="1255" w:type="dxa"/>
          </w:tcPr>
          <w:p w14:paraId="6E4C7752"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8509A8">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1A21F6DF" w14:textId="77777777" w:rsidTr="008509A8">
        <w:tc>
          <w:tcPr>
            <w:tcW w:w="9350" w:type="dxa"/>
            <w:gridSpan w:val="2"/>
          </w:tcPr>
          <w:p w14:paraId="7877772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8509A8">
        <w:tc>
          <w:tcPr>
            <w:tcW w:w="1255" w:type="dxa"/>
          </w:tcPr>
          <w:p w14:paraId="2408806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CF71656"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192195" w14:paraId="624118AF" w14:textId="77777777" w:rsidTr="008509A8">
        <w:tc>
          <w:tcPr>
            <w:tcW w:w="1255" w:type="dxa"/>
          </w:tcPr>
          <w:p w14:paraId="5426DAC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192195" w14:paraId="3F9D227F" w14:textId="77777777" w:rsidTr="008509A8">
        <w:tc>
          <w:tcPr>
            <w:tcW w:w="1255" w:type="dxa"/>
          </w:tcPr>
          <w:p w14:paraId="765CEE2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45A5CFC9" w14:textId="77777777" w:rsidTr="008509A8">
        <w:tc>
          <w:tcPr>
            <w:tcW w:w="9350" w:type="dxa"/>
            <w:gridSpan w:val="2"/>
          </w:tcPr>
          <w:p w14:paraId="02A9C2E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4</w:t>
            </w:r>
          </w:p>
        </w:tc>
      </w:tr>
      <w:tr w:rsidR="00192195" w14:paraId="00ECFBEF" w14:textId="77777777" w:rsidTr="008509A8">
        <w:tc>
          <w:tcPr>
            <w:tcW w:w="1255" w:type="dxa"/>
          </w:tcPr>
          <w:p w14:paraId="052125A5"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22038BF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192195" w14:paraId="5E457EA5" w14:textId="77777777" w:rsidTr="008509A8">
        <w:tc>
          <w:tcPr>
            <w:tcW w:w="1255" w:type="dxa"/>
          </w:tcPr>
          <w:p w14:paraId="1E89B4C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8509A8">
        <w:tc>
          <w:tcPr>
            <w:tcW w:w="1255" w:type="dxa"/>
          </w:tcPr>
          <w:p w14:paraId="2B18644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1017609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lastRenderedPageBreak/>
              <w:t>-Actual Pcmax difference depends on UE implementation, RAN4 requirements not sufficient.</w:t>
            </w:r>
          </w:p>
          <w:p w14:paraId="6BE20C0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2B953FE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w:t>
            </w:r>
            <w:r>
              <w:rPr>
                <w:rFonts w:ascii="Times New Roman" w:eastAsia="Malgun Gothic" w:hAnsi="Times New Roman" w:cs="Times New Roman"/>
                <w:sz w:val="20"/>
                <w:szCs w:val="20"/>
                <w:lang w:val="en-GB" w:eastAsia="ko-KR"/>
              </w:rPr>
              <w:lastRenderedPageBreak/>
              <w:t>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lastRenderedPageBreak/>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w:t>
            </w:r>
            <w:r>
              <w:rPr>
                <w:rFonts w:ascii="Times New Roman" w:hAnsi="Times New Roman" w:cs="Times New Roman"/>
                <w:i/>
                <w:iCs/>
                <w:sz w:val="20"/>
                <w:szCs w:val="20"/>
                <w:lang w:val="en-GB"/>
              </w:rPr>
              <w:lastRenderedPageBreak/>
              <w:t>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w:t>
            </w:r>
            <w:r>
              <w:rPr>
                <w:rFonts w:ascii="Times New Roman" w:eastAsia="DengXian" w:hAnsi="Times New Roman" w:cs="Times New Roman"/>
                <w:sz w:val="20"/>
                <w:szCs w:val="20"/>
                <w:lang w:val="en-GB" w:eastAsia="zh-CN"/>
              </w:rPr>
              <w:lastRenderedPageBreak/>
              <w:t xml:space="preserve">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While the Option 2 aims to enhancing the PHR </w:t>
            </w:r>
            <w:r w:rsidR="00E93F11">
              <w:rPr>
                <w:rFonts w:ascii="Times New Roman" w:eastAsia="DengXian"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Huawei, HiSilicon</w:t>
            </w:r>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PCell and a Rel-18 SCell enabling DWS is supported because the MAC-CE of PHR for UL-CA may be received and handled by the R15 PCell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As understanding those pros and cons a mostly relative evaluation. We are OK, but have to point out those concern may not be strong enough. E.g.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@Huawei, HiSilicon: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For the quality comparison it would be gNB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Huawei, HiSilicon</w:t>
            </w:r>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735" w:type="dxa"/>
          </w:tcPr>
          <w:p w14:paraId="34626B19"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735" w:type="dxa"/>
          </w:tcPr>
          <w:p w14:paraId="5423FFEB"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DengXian"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Heading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r w:rsidR="000821F4">
        <w:rPr>
          <w:rFonts w:ascii="Times New Roman" w:hAnsi="Times New Roman" w:cs="Times New Roman"/>
          <w:sz w:val="20"/>
          <w:szCs w:val="20"/>
          <w:lang w:val="en-GB"/>
        </w:rPr>
        <w:t xml:space="preserve">e.g.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w:t>
      </w:r>
      <w:r>
        <w:rPr>
          <w:rFonts w:ascii="Times New Roman" w:hAnsi="Times New Roman" w:cs="Times New Roman"/>
          <w:sz w:val="20"/>
          <w:szCs w:val="20"/>
          <w:lang w:val="en-GB"/>
        </w:rPr>
        <w:t>ompanies tend to focus on the CP-OFDM -&gt; DFT-S-OFDM scenario</w:t>
      </w:r>
      <w:r>
        <w:rPr>
          <w:rFonts w:ascii="Times New Roman" w:hAnsi="Times New Roman" w:cs="Times New Roman"/>
          <w:sz w:val="20"/>
          <w:szCs w:val="20"/>
          <w:lang w:val="en-GB"/>
        </w:rPr>
        <w:t>, but perhaps equal attention should be paid to the DFT-S-OFDM -&gt; CP-OFDM scenario?</w:t>
      </w:r>
    </w:p>
    <w:p w14:paraId="3AF89EA0" w14:textId="77777777" w:rsidR="000821F4" w:rsidRDefault="000821F4" w:rsidP="000821F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Option 4, from e.g. Nokia, NSB</w:t>
      </w:r>
    </w:p>
    <w:p w14:paraId="1648F51A" w14:textId="59030EE3" w:rsidR="008E2DF5" w:rsidRDefault="000821F4"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1615"/>
        <w:gridCol w:w="7735"/>
      </w:tblGrid>
      <w:tr w:rsidR="00423977" w14:paraId="4BC798D3" w14:textId="77777777" w:rsidTr="0005687D">
        <w:tc>
          <w:tcPr>
            <w:tcW w:w="1615" w:type="dxa"/>
          </w:tcPr>
          <w:p w14:paraId="656EBD38" w14:textId="77777777"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05687D">
        <w:tc>
          <w:tcPr>
            <w:tcW w:w="1615" w:type="dxa"/>
          </w:tcPr>
          <w:p w14:paraId="433EC76B" w14:textId="5D871201" w:rsidR="00423977" w:rsidRDefault="00423977" w:rsidP="0005687D">
            <w:pPr>
              <w:spacing w:after="0" w:line="240" w:lineRule="auto"/>
              <w:rPr>
                <w:rFonts w:ascii="Times New Roman" w:eastAsia="DengXian" w:hAnsi="Times New Roman" w:cs="Times New Roman"/>
                <w:sz w:val="20"/>
                <w:szCs w:val="20"/>
                <w:lang w:val="en-GB" w:eastAsia="zh-CN"/>
              </w:rPr>
            </w:pPr>
          </w:p>
        </w:tc>
        <w:tc>
          <w:tcPr>
            <w:tcW w:w="7735" w:type="dxa"/>
          </w:tcPr>
          <w:p w14:paraId="4A86867A" w14:textId="77777777" w:rsidR="00423977" w:rsidRDefault="00423977" w:rsidP="0005687D">
            <w:pPr>
              <w:spacing w:after="0" w:line="240" w:lineRule="auto"/>
              <w:rPr>
                <w:rFonts w:ascii="Times New Roman" w:eastAsia="DengXian" w:hAnsi="Times New Roman" w:cs="Times New Roman"/>
                <w:sz w:val="20"/>
                <w:szCs w:val="20"/>
                <w:lang w:val="en-GB" w:eastAsia="zh-CN"/>
              </w:rPr>
            </w:pPr>
          </w:p>
        </w:tc>
      </w:tr>
      <w:tr w:rsidR="008E2DF5" w14:paraId="2CDDE1CC" w14:textId="77777777" w:rsidTr="0005687D">
        <w:tc>
          <w:tcPr>
            <w:tcW w:w="1615" w:type="dxa"/>
          </w:tcPr>
          <w:p w14:paraId="0C646CC4" w14:textId="77777777" w:rsidR="008E2DF5" w:rsidRDefault="008E2DF5" w:rsidP="0005687D">
            <w:pPr>
              <w:spacing w:after="0" w:line="240" w:lineRule="auto"/>
              <w:rPr>
                <w:rFonts w:ascii="Times New Roman" w:eastAsia="DengXian" w:hAnsi="Times New Roman" w:cs="Times New Roman"/>
                <w:sz w:val="20"/>
                <w:szCs w:val="20"/>
                <w:lang w:val="en-GB" w:eastAsia="zh-CN"/>
              </w:rPr>
            </w:pPr>
          </w:p>
        </w:tc>
        <w:tc>
          <w:tcPr>
            <w:tcW w:w="7735" w:type="dxa"/>
          </w:tcPr>
          <w:p w14:paraId="03AD5D38" w14:textId="77777777" w:rsidR="008E2DF5" w:rsidRDefault="008E2DF5" w:rsidP="0005687D">
            <w:pPr>
              <w:spacing w:after="0" w:line="240" w:lineRule="auto"/>
              <w:rPr>
                <w:rFonts w:ascii="Times New Roman" w:eastAsia="DengXian" w:hAnsi="Times New Roman" w:cs="Times New Roman"/>
                <w:sz w:val="20"/>
                <w:szCs w:val="20"/>
                <w:lang w:val="en-GB" w:eastAsia="zh-CN"/>
              </w:rPr>
            </w:pP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w:t>
            </w:r>
            <w:r>
              <w:rPr>
                <w:rFonts w:ascii="Times New Roman" w:hAnsi="Times New Roman" w:cs="Times New Roman"/>
                <w:sz w:val="20"/>
                <w:szCs w:val="20"/>
                <w:lang w:val="en-GB"/>
              </w:rPr>
              <w:lastRenderedPageBreak/>
              <w:t>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689D" w14:textId="77777777" w:rsidR="00547D56" w:rsidRDefault="00547D56" w:rsidP="007812F0">
      <w:pPr>
        <w:spacing w:after="0" w:line="240" w:lineRule="auto"/>
      </w:pPr>
      <w:r>
        <w:separator/>
      </w:r>
    </w:p>
  </w:endnote>
  <w:endnote w:type="continuationSeparator" w:id="0">
    <w:p w14:paraId="018C58D5" w14:textId="77777777" w:rsidR="00547D56" w:rsidRDefault="00547D5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4C91" w14:textId="77777777" w:rsidR="00547D56" w:rsidRDefault="00547D56" w:rsidP="007812F0">
      <w:pPr>
        <w:spacing w:after="0" w:line="240" w:lineRule="auto"/>
      </w:pPr>
      <w:r>
        <w:separator/>
      </w:r>
    </w:p>
  </w:footnote>
  <w:footnote w:type="continuationSeparator" w:id="0">
    <w:p w14:paraId="6333216B" w14:textId="77777777" w:rsidR="00547D56" w:rsidRDefault="00547D56"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9006869">
    <w:abstractNumId w:val="0"/>
  </w:num>
  <w:num w:numId="2" w16cid:durableId="1028989533">
    <w:abstractNumId w:val="10"/>
  </w:num>
  <w:num w:numId="3" w16cid:durableId="1401708689">
    <w:abstractNumId w:val="8"/>
  </w:num>
  <w:num w:numId="4" w16cid:durableId="948321543">
    <w:abstractNumId w:val="1"/>
  </w:num>
  <w:num w:numId="5" w16cid:durableId="1658458891">
    <w:abstractNumId w:val="3"/>
  </w:num>
  <w:num w:numId="6" w16cid:durableId="1011106037">
    <w:abstractNumId w:val="6"/>
  </w:num>
  <w:num w:numId="7" w16cid:durableId="1840804608">
    <w:abstractNumId w:val="7"/>
  </w:num>
  <w:num w:numId="8" w16cid:durableId="1659378709">
    <w:abstractNumId w:val="5"/>
  </w:num>
  <w:num w:numId="9" w16cid:durableId="1500461030">
    <w:abstractNumId w:val="9"/>
  </w:num>
  <w:num w:numId="10" w16cid:durableId="1450512314">
    <w:abstractNumId w:val="15"/>
  </w:num>
  <w:num w:numId="11" w16cid:durableId="496116399">
    <w:abstractNumId w:val="14"/>
  </w:num>
  <w:num w:numId="12" w16cid:durableId="798110508">
    <w:abstractNumId w:val="13"/>
  </w:num>
  <w:num w:numId="13" w16cid:durableId="1233657311">
    <w:abstractNumId w:val="12"/>
  </w:num>
  <w:num w:numId="14" w16cid:durableId="232276192">
    <w:abstractNumId w:val="2"/>
  </w:num>
  <w:num w:numId="15" w16cid:durableId="1018701782">
    <w:abstractNumId w:val="4"/>
  </w:num>
  <w:num w:numId="16" w16cid:durableId="820267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424</TotalTime>
  <Pages>65</Pages>
  <Words>25980</Words>
  <Characters>148091</Characters>
  <Application>Microsoft Office Word</Application>
  <DocSecurity>0</DocSecurity>
  <Lines>1234</Lines>
  <Paragraphs>347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173724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15</cp:revision>
  <dcterms:created xsi:type="dcterms:W3CDTF">2023-04-25T04:03:00Z</dcterms:created>
  <dcterms:modified xsi:type="dcterms:W3CDTF">2023-04-25T15:48:00Z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