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Batang" w:hAnsi="Times New Roman" w:cs="Times New Roman"/>
          <w:i/>
          <w:iCs/>
          <w:sz w:val="20"/>
          <w:szCs w:val="20"/>
          <w:lang w:val="en-GB" w:eastAsia="en-US"/>
        </w:rPr>
        <w:t>useInterlacePUCCH-PUSCH</w:t>
      </w:r>
      <w:r w:rsidRPr="002364A2">
        <w:rPr>
          <w:rFonts w:ascii="Times New Roman" w:eastAsia="Batang"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resourceAllocationType0</w:t>
      </w:r>
      <w:r w:rsidRPr="002364A2">
        <w:rPr>
          <w:rFonts w:ascii="Times New Roman" w:eastAsia="Batang"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If DFT-S-OFDM is indicated and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set to </w:t>
      </w:r>
      <w:r w:rsidRPr="002364A2">
        <w:rPr>
          <w:rFonts w:ascii="Times New Roman" w:eastAsia="Batang" w:hAnsi="Times New Roman" w:cs="Times New Roman"/>
          <w:i/>
          <w:iCs/>
          <w:sz w:val="20"/>
          <w:szCs w:val="20"/>
          <w:lang w:val="en-GB" w:eastAsia="en-US"/>
        </w:rPr>
        <w:t>dynamicSwitch</w:t>
      </w:r>
      <w:r w:rsidRPr="002364A2">
        <w:rPr>
          <w:rFonts w:ascii="Times New Roman" w:eastAsia="Batang"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If CP-OFDM is indicated, UE applies resource allocation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Batang" w:hAnsi="Times New Roman" w:cs="Times New Roman"/>
          <w:i/>
          <w:iCs/>
          <w:sz w:val="20"/>
          <w:szCs w:val="20"/>
          <w:lang w:val="en-GB" w:eastAsia="en-US"/>
        </w:rPr>
        <w:t>resourceAllocation</w:t>
      </w:r>
      <w:r w:rsidRPr="002364A2">
        <w:rPr>
          <w:rFonts w:ascii="Times New Roman" w:eastAsia="Batang"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Batang"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Batang" w:hAnsi="Times New Roman" w:cs="Times New Roman"/>
          <w:sz w:val="20"/>
          <w:szCs w:val="20"/>
          <w:highlight w:val="green"/>
          <w:lang w:val="en-GB" w:eastAsia="en-US"/>
        </w:rPr>
      </w:pPr>
      <w:r w:rsidRPr="002364A2">
        <w:rPr>
          <w:rFonts w:ascii="Times New Roman" w:eastAsia="Batang"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Batang" w:hAnsi="Times New Roman" w:cs="Times New Roman"/>
          <w:b/>
          <w:bCs/>
          <w:i/>
          <w:iCs/>
          <w:sz w:val="20"/>
          <w:szCs w:val="20"/>
          <w:lang w:val="en-GB" w:eastAsia="en-US"/>
        </w:rPr>
      </w:pPr>
      <w:r w:rsidRPr="002364A2">
        <w:rPr>
          <w:rFonts w:ascii="Times New Roman" w:eastAsia="Batang" w:hAnsi="Times New Roman" w:cs="Times New Roman"/>
          <w:sz w:val="20"/>
          <w:szCs w:val="20"/>
          <w:lang w:val="en-GB" w:eastAsia="en-US"/>
        </w:rPr>
        <w:t xml:space="preserve">UE does not expect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 xml:space="preserve"> to be set to </w:t>
      </w:r>
      <w:r w:rsidRPr="002364A2">
        <w:rPr>
          <w:rFonts w:ascii="Times New Roman" w:eastAsia="Batang" w:hAnsi="Times New Roman" w:cs="Times New Roman"/>
          <w:i/>
          <w:iCs/>
          <w:sz w:val="20"/>
          <w:szCs w:val="20"/>
          <w:lang w:val="en-GB" w:eastAsia="ko-KR"/>
        </w:rPr>
        <w:t>type2</w:t>
      </w:r>
      <w:r w:rsidRPr="002364A2">
        <w:rPr>
          <w:rFonts w:ascii="Times New Roman" w:eastAsia="Batang"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Batang"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 xml:space="preserve">Option 2 (UE only uses </w:t>
      </w:r>
      <w:r w:rsidRPr="002364A2">
        <w:rPr>
          <w:rFonts w:ascii="Times New Roman" w:eastAsia="Batang" w:hAnsi="Times New Roman" w:cs="Times New Roman"/>
          <w:i/>
          <w:iCs/>
          <w:sz w:val="20"/>
          <w:szCs w:val="20"/>
          <w:lang w:val="en-GB" w:eastAsia="en-US"/>
        </w:rPr>
        <w:t>dmrs-Type</w:t>
      </w:r>
      <w:r w:rsidRPr="002364A2">
        <w:rPr>
          <w:rFonts w:ascii="Times New Roman" w:eastAsia="Batang"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Batang" w:hAnsi="Times" w:cs="Times New Roman"/>
          <w:sz w:val="20"/>
          <w:szCs w:val="24"/>
          <w:lang w:val="en-GB" w:eastAsia="x-none"/>
        </w:rPr>
      </w:pPr>
      <w:r w:rsidRPr="002364A2">
        <w:rPr>
          <w:rFonts w:ascii="Times New Roman" w:eastAsia="Batang" w:hAnsi="Times New Roman" w:cs="Times New Roman"/>
          <w:sz w:val="20"/>
          <w:szCs w:val="20"/>
          <w:lang w:val="en-GB" w:eastAsia="en-US"/>
        </w:rPr>
        <w:t xml:space="preserve">If CP-OFDM is indicated, UE applies DMRS type according to </w:t>
      </w:r>
      <w:r w:rsidRPr="002364A2">
        <w:rPr>
          <w:rFonts w:ascii="Times New Roman" w:eastAsia="Batang" w:hAnsi="Times New Roman" w:cs="Times New Roman"/>
          <w:i/>
          <w:iCs/>
          <w:sz w:val="20"/>
          <w:szCs w:val="20"/>
          <w:lang w:val="en-GB" w:eastAsia="ko-KR"/>
        </w:rPr>
        <w:t>dmrs-Type</w:t>
      </w:r>
      <w:r w:rsidRPr="002364A2">
        <w:rPr>
          <w:rFonts w:ascii="Times New Roman" w:eastAsia="Batang"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Batang"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Batang" w:hAnsi="Times New Roman" w:cs="Times New Roman"/>
          <w:sz w:val="20"/>
          <w:szCs w:val="20"/>
          <w:lang w:val="en-GB" w:eastAsia="en-US"/>
        </w:rPr>
      </w:pPr>
      <w:r w:rsidRPr="002364A2">
        <w:rPr>
          <w:rFonts w:ascii="Times New Roman" w:eastAsia="Batang"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0543778E"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TableGrid"/>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ListParagraph"/>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TableGrid"/>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Malgun Gothic"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Heading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TableGrid"/>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ListParagraph"/>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ListParagraph"/>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ListParagraph"/>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are </w:t>
            </w:r>
            <w:r>
              <w:rPr>
                <w:rFonts w:ascii="Times New Roman" w:eastAsia="Malgun Gothic"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Malgun Gothic"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Malgun Gothic"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Malgun Gothic" w:hAnsi="Times New Roman" w:cs="Times New Roman"/>
                <w:sz w:val="20"/>
                <w:szCs w:val="20"/>
                <w:lang w:val="en-GB" w:eastAsia="ko-KR"/>
              </w:rPr>
              <w:t>scheduling</w:t>
            </w:r>
            <w:r w:rsidRPr="00EB0C7D">
              <w:rPr>
                <w:rFonts w:ascii="Times New Roman" w:eastAsia="Malgun Gothic" w:hAnsi="Times New Roman" w:cs="Times New Roman"/>
                <w:sz w:val="20"/>
                <w:szCs w:val="20"/>
                <w:lang w:val="en-GB" w:eastAsia="ko-KR"/>
              </w:rPr>
              <w:t xml:space="preserve"> when making waveform decisions </w:t>
            </w:r>
            <w:r>
              <w:rPr>
                <w:rFonts w:ascii="Times New Roman" w:eastAsia="Malgun Gothic" w:hAnsi="Times New Roman" w:cs="Times New Roman"/>
                <w:sz w:val="20"/>
                <w:szCs w:val="20"/>
                <w:lang w:val="en-GB" w:eastAsia="ko-KR"/>
              </w:rPr>
              <w:t>with</w:t>
            </w:r>
            <w:r w:rsidRPr="00EB0C7D">
              <w:rPr>
                <w:rFonts w:ascii="Times New Roman" w:eastAsia="Malgun Gothic"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While the Option 2 aims to enhancing the PHR </w:t>
            </w:r>
            <w:r w:rsidR="00E93F11">
              <w:rPr>
                <w:rFonts w:ascii="Times New Roman" w:eastAsia="DengXian"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r w:rsidR="00827957" w14:paraId="3B85EA14" w14:textId="77777777" w:rsidTr="0045589F">
        <w:tc>
          <w:tcPr>
            <w:tcW w:w="1615" w:type="dxa"/>
          </w:tcPr>
          <w:p w14:paraId="31ECF1B0" w14:textId="54BCEB2D" w:rsidR="00827957" w:rsidRDefault="00827957" w:rsidP="00827957">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Huawei, HiSilicon</w:t>
            </w:r>
          </w:p>
        </w:tc>
        <w:tc>
          <w:tcPr>
            <w:tcW w:w="7735" w:type="dxa"/>
          </w:tcPr>
          <w:p w14:paraId="6E96F8F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a concern is potential MAC impact, e.g. changed size of PHR MAC-CE. We prefer not to change the size of PHR MAC-CE in order to have better compatibility with UL-CA. With two PHRs for respective two waveforms at one PUSCH instance, the existing MAC-CE for UL-CA has to be changed. Its RAN2 impacts are unclear for us when a R15 PCell and a Rel-18 SCell enabling DWS is supported because the MAC-CE of PHR for UL-CA may be </w:t>
            </w:r>
            <w:r>
              <w:rPr>
                <w:rFonts w:ascii="Times New Roman" w:eastAsia="DengXian" w:hAnsi="Times New Roman" w:cs="Times New Roman"/>
                <w:sz w:val="20"/>
                <w:szCs w:val="20"/>
                <w:lang w:val="en-GB" w:eastAsia="zh-CN"/>
              </w:rPr>
              <w:lastRenderedPageBreak/>
              <w:t>received and handled by the R15 PCell who is only able to recognize a MAC-CE of PHR with the same size of Rel-15 MAC-CE of PHR.</w:t>
            </w:r>
          </w:p>
          <w:p w14:paraId="6A00CB58" w14:textId="30DABB02"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TableGrid"/>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xml:space="preserve">. Comparing the total amount of PHR report, the Option 2 will not exceed the Option 1 as Option 1 needs two PHRs each </w:t>
            </w:r>
            <w:r>
              <w:rPr>
                <w:rFonts w:ascii="Times New Roman" w:eastAsia="DengXian" w:hAnsi="Times New Roman" w:cs="Times New Roman"/>
                <w:sz w:val="20"/>
                <w:szCs w:val="20"/>
                <w:lang w:val="en-GB" w:eastAsia="zh-CN"/>
              </w:rPr>
              <w:lastRenderedPageBreak/>
              <w:t xml:space="preserve">time. Considering the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We are open to discussing all options. However, if we prioritize the options, Option 1 is the most favorable, while Option 2 and Option 3 are acceptable. Option 4 is also a possibility, but it is of lower priority.</w:t>
            </w:r>
          </w:p>
        </w:tc>
      </w:tr>
      <w:tr w:rsidR="00827957" w:rsidRPr="00E93F11" w14:paraId="5571CA23" w14:textId="77777777" w:rsidTr="00393BDB">
        <w:tc>
          <w:tcPr>
            <w:tcW w:w="1615" w:type="dxa"/>
          </w:tcPr>
          <w:p w14:paraId="3360586A" w14:textId="5D18D0C3" w:rsidR="00827957" w:rsidRDefault="00827957" w:rsidP="00827957">
            <w:pPr>
              <w:spacing w:after="0" w:line="240" w:lineRule="auto"/>
              <w:rPr>
                <w:rFonts w:ascii="Times New Roman" w:eastAsia="Malgun Gothic" w:hAnsi="Times New Roman" w:cs="Times New Roman" w:hint="eastAsia"/>
                <w:sz w:val="20"/>
                <w:szCs w:val="20"/>
                <w:lang w:val="en-GB" w:eastAsia="ko-KR"/>
              </w:rPr>
            </w:pPr>
            <w:r>
              <w:rPr>
                <w:rFonts w:ascii="Times New Roman" w:eastAsia="DengXian" w:hAnsi="Times New Roman" w:cs="Times New Roman"/>
                <w:sz w:val="20"/>
                <w:szCs w:val="20"/>
                <w:lang w:val="en-GB" w:eastAsia="zh-CN"/>
              </w:rPr>
              <w:t>Huawei, HiSilicon</w:t>
            </w:r>
          </w:p>
        </w:tc>
        <w:tc>
          <w:tcPr>
            <w:tcW w:w="7735" w:type="dxa"/>
          </w:tcPr>
          <w:p w14:paraId="1C0DC047"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 if the size of PHR MAC-CE is changed considering the compatibility of UL-CA.</w:t>
            </w:r>
          </w:p>
          <w:p w14:paraId="56962BCC"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5A1B204D" w14:textId="77777777" w:rsidR="00827957" w:rsidRDefault="00827957" w:rsidP="0082795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Not acceptable</w:t>
            </w:r>
          </w:p>
          <w:p w14:paraId="5DB31917" w14:textId="77777777" w:rsidR="00827957" w:rsidRDefault="00827957" w:rsidP="00827957">
            <w:pPr>
              <w:spacing w:after="0" w:line="240" w:lineRule="auto"/>
              <w:rPr>
                <w:rFonts w:ascii="Times New Roman" w:eastAsia="DengXian" w:hAnsi="Times New Roman" w:cs="Times New Roman"/>
                <w:sz w:val="20"/>
                <w:szCs w:val="20"/>
                <w:lang w:val="en-GB" w:eastAsia="zh-CN"/>
              </w:rPr>
            </w:pPr>
          </w:p>
          <w:p w14:paraId="122CA2E4" w14:textId="3AD66F82" w:rsidR="00827957" w:rsidRPr="006D684C" w:rsidRDefault="00827957" w:rsidP="00827957">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 our previous comment in the last round, our understanding was shared on why PHR report/option 2 is still needed for the approach with two back-2-back grants proposed by QC.</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24797DF2"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bookmarkStart w:id="5" w:name="_GoBack"/>
      <w:bookmarkEnd w:id="5"/>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lastRenderedPageBreak/>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7" w:name="_Hlk127399401"/>
      <w:r>
        <w:rPr>
          <w:rFonts w:ascii="Times" w:eastAsia="DengXian"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B4F5" w14:textId="77777777" w:rsidR="007C452F" w:rsidRDefault="007C452F" w:rsidP="007812F0">
      <w:pPr>
        <w:spacing w:after="0" w:line="240" w:lineRule="auto"/>
      </w:pPr>
      <w:r>
        <w:separator/>
      </w:r>
    </w:p>
  </w:endnote>
  <w:endnote w:type="continuationSeparator" w:id="0">
    <w:p w14:paraId="223C37A2" w14:textId="77777777" w:rsidR="007C452F" w:rsidRDefault="007C452F"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698D1" w14:textId="77777777" w:rsidR="007C452F" w:rsidRDefault="007C452F" w:rsidP="007812F0">
      <w:pPr>
        <w:spacing w:after="0" w:line="240" w:lineRule="auto"/>
      </w:pPr>
      <w:r>
        <w:separator/>
      </w:r>
    </w:p>
  </w:footnote>
  <w:footnote w:type="continuationSeparator" w:id="0">
    <w:p w14:paraId="2825090B" w14:textId="77777777" w:rsidR="007C452F" w:rsidRDefault="007C452F"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2F"/>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27957"/>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Normal"/>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89038B7F-D036-4CD0-9424-760590121FA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62</Pages>
  <Words>24981</Words>
  <Characters>142396</Characters>
  <Application>Microsoft Office Word</Application>
  <DocSecurity>0</DocSecurity>
  <Lines>1186</Lines>
  <Paragraphs>334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Huawei, HiSilicon</cp:lastModifiedBy>
  <cp:revision>7</cp:revision>
  <dcterms:created xsi:type="dcterms:W3CDTF">2023-04-25T02:05:00Z</dcterms:created>
  <dcterms:modified xsi:type="dcterms:W3CDTF">2023-04-25T03:58:00Z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