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바탕" w:hAnsi="Times New Roman" w:cs="Times New Roman"/>
          <w:sz w:val="20"/>
          <w:szCs w:val="20"/>
          <w:highlight w:val="green"/>
          <w:lang w:val="en-GB" w:eastAsia="en-US"/>
        </w:rPr>
      </w:pPr>
      <w:r>
        <w:rPr>
          <w:rFonts w:ascii="Times New Roman" w:eastAsia="바탕"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바탕"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바탕" w:hAnsi="Times New Roman" w:cs="Times New Roman"/>
          <w:i/>
          <w:iCs/>
          <w:sz w:val="20"/>
          <w:szCs w:val="20"/>
          <w:lang w:val="en-GB" w:eastAsia="en-US"/>
        </w:rPr>
        <w:t>msg3-transformPrecoder</w:t>
      </w:r>
      <w:r>
        <w:rPr>
          <w:rFonts w:ascii="Times New Roman" w:eastAsia="바탕"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바탕"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바탕"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바탕" w:hAnsi="Times New Roman" w:cs="Times New Roman"/>
          <w:sz w:val="20"/>
          <w:szCs w:val="20"/>
          <w:highlight w:val="green"/>
          <w:lang w:val="en-GB" w:eastAsia="en-US"/>
        </w:rPr>
      </w:pPr>
      <w:r w:rsidRPr="002364A2">
        <w:rPr>
          <w:rFonts w:ascii="Times New Roman" w:eastAsia="바탕"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바탕" w:hAnsi="Times New Roman" w:cs="Times New Roman"/>
          <w:i/>
          <w:iCs/>
          <w:sz w:val="20"/>
          <w:szCs w:val="20"/>
          <w:lang w:val="en-GB" w:eastAsia="en-US"/>
        </w:rPr>
        <w:t>useInterlacePUCCH-PUSCH</w:t>
      </w:r>
      <w:r w:rsidRPr="002364A2">
        <w:rPr>
          <w:rFonts w:ascii="Times New Roman" w:eastAsia="바탕"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 xml:space="preserve">UE does not expect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set to </w:t>
      </w:r>
      <w:r w:rsidRPr="002364A2">
        <w:rPr>
          <w:rFonts w:ascii="Times New Roman" w:eastAsia="바탕" w:hAnsi="Times New Roman" w:cs="Times New Roman"/>
          <w:i/>
          <w:iCs/>
          <w:sz w:val="20"/>
          <w:szCs w:val="20"/>
          <w:lang w:val="en-GB" w:eastAsia="en-US"/>
        </w:rPr>
        <w:t>resourceAllocationType0</w:t>
      </w:r>
      <w:r w:rsidRPr="002364A2">
        <w:rPr>
          <w:rFonts w:ascii="Times New Roman" w:eastAsia="바탕"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 xml:space="preserve">If DFT-S-OFDM is indicated and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set to </w:t>
      </w:r>
      <w:r w:rsidRPr="002364A2">
        <w:rPr>
          <w:rFonts w:ascii="Times New Roman" w:eastAsia="바탕" w:hAnsi="Times New Roman" w:cs="Times New Roman"/>
          <w:i/>
          <w:iCs/>
          <w:sz w:val="20"/>
          <w:szCs w:val="20"/>
          <w:lang w:val="en-GB" w:eastAsia="en-US"/>
        </w:rPr>
        <w:t>dynamicSwitch</w:t>
      </w:r>
      <w:r w:rsidRPr="002364A2">
        <w:rPr>
          <w:rFonts w:ascii="Times New Roman" w:eastAsia="바탕"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바탕"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Option 2 (UE only uses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If CP-OFDM is indicated, UE applies resource allocation according to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바탕"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바탕" w:hAnsi="Times New Roman" w:cs="Times New Roman"/>
          <w:sz w:val="20"/>
          <w:szCs w:val="20"/>
          <w:highlight w:val="green"/>
          <w:lang w:val="en-GB" w:eastAsia="en-US"/>
        </w:rPr>
      </w:pPr>
      <w:r w:rsidRPr="002364A2">
        <w:rPr>
          <w:rFonts w:ascii="Times New Roman" w:eastAsia="바탕"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 xml:space="preserve">UE does not expect </w:t>
      </w:r>
      <w:r w:rsidRPr="002364A2">
        <w:rPr>
          <w:rFonts w:ascii="Times New Roman" w:eastAsia="바탕" w:hAnsi="Times New Roman" w:cs="Times New Roman"/>
          <w:i/>
          <w:iCs/>
          <w:sz w:val="20"/>
          <w:szCs w:val="20"/>
          <w:lang w:val="en-GB" w:eastAsia="ko-KR"/>
        </w:rPr>
        <w:t>dmrs-Type</w:t>
      </w:r>
      <w:r w:rsidRPr="002364A2">
        <w:rPr>
          <w:rFonts w:ascii="Times New Roman" w:eastAsia="바탕" w:hAnsi="Times New Roman" w:cs="Times New Roman"/>
          <w:sz w:val="20"/>
          <w:szCs w:val="20"/>
          <w:lang w:val="en-GB" w:eastAsia="ko-KR"/>
        </w:rPr>
        <w:t xml:space="preserve"> to be set to </w:t>
      </w:r>
      <w:r w:rsidRPr="002364A2">
        <w:rPr>
          <w:rFonts w:ascii="Times New Roman" w:eastAsia="바탕" w:hAnsi="Times New Roman" w:cs="Times New Roman"/>
          <w:i/>
          <w:iCs/>
          <w:sz w:val="20"/>
          <w:szCs w:val="20"/>
          <w:lang w:val="en-GB" w:eastAsia="ko-KR"/>
        </w:rPr>
        <w:t>type2</w:t>
      </w:r>
      <w:r w:rsidRPr="002364A2">
        <w:rPr>
          <w:rFonts w:ascii="Times New Roman" w:eastAsia="바탕"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바탕"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Option 2 (UE only uses </w:t>
      </w:r>
      <w:r w:rsidRPr="002364A2">
        <w:rPr>
          <w:rFonts w:ascii="Times New Roman" w:eastAsia="바탕" w:hAnsi="Times New Roman" w:cs="Times New Roman"/>
          <w:i/>
          <w:iCs/>
          <w:sz w:val="20"/>
          <w:szCs w:val="20"/>
          <w:lang w:val="en-GB" w:eastAsia="en-US"/>
        </w:rPr>
        <w:t>dmrs-Type</w:t>
      </w:r>
      <w:r w:rsidRPr="002364A2">
        <w:rPr>
          <w:rFonts w:ascii="Times New Roman" w:eastAsia="바탕"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바탕" w:hAnsi="Times" w:cs="Times New Roman"/>
          <w:sz w:val="20"/>
          <w:szCs w:val="24"/>
          <w:lang w:val="en-GB" w:eastAsia="x-none"/>
        </w:rPr>
      </w:pPr>
      <w:r w:rsidRPr="002364A2">
        <w:rPr>
          <w:rFonts w:ascii="Times New Roman" w:eastAsia="바탕"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바탕" w:hAnsi="Times" w:cs="Times New Roman"/>
          <w:sz w:val="20"/>
          <w:szCs w:val="24"/>
          <w:lang w:val="en-GB" w:eastAsia="x-none"/>
        </w:rPr>
      </w:pPr>
      <w:r w:rsidRPr="002364A2">
        <w:rPr>
          <w:rFonts w:ascii="Times New Roman" w:eastAsia="바탕" w:hAnsi="Times New Roman" w:cs="Times New Roman"/>
          <w:sz w:val="20"/>
          <w:szCs w:val="20"/>
          <w:lang w:val="en-GB" w:eastAsia="en-US"/>
        </w:rPr>
        <w:t xml:space="preserve">If CP-OFDM is indicated, UE applies DMRS type according to </w:t>
      </w:r>
      <w:r w:rsidRPr="002364A2">
        <w:rPr>
          <w:rFonts w:ascii="Times New Roman" w:eastAsia="바탕" w:hAnsi="Times New Roman" w:cs="Times New Roman"/>
          <w:i/>
          <w:iCs/>
          <w:sz w:val="20"/>
          <w:szCs w:val="20"/>
          <w:lang w:val="en-GB" w:eastAsia="ko-KR"/>
        </w:rPr>
        <w:t>dmrs-Type</w:t>
      </w:r>
      <w:r w:rsidRPr="002364A2">
        <w:rPr>
          <w:rFonts w:ascii="Times New Roman" w:eastAsia="바탕"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바탕"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e"/>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e"/>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F221D7">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ae"/>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9"/>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e"/>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e"/>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맑은 고딕" w:hAnsi="Times New Roman" w:cs="Times New Roman"/>
                <w:i/>
                <w:sz w:val="20"/>
                <w:szCs w:val="20"/>
                <w:lang w:val="en-GB" w:eastAsia="ko-KR"/>
              </w:rPr>
              <w:t>msg3-transformPrecoder</w:t>
            </w:r>
            <w:r>
              <w:rPr>
                <w:rFonts w:ascii="Times New Roman" w:eastAsia="맑은 고딕"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맑은 고딕"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맑은 고딕"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맑은 고딕"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맑은 고딕"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agree to LG’s comment in the 2</w:t>
            </w:r>
            <w:r>
              <w:rPr>
                <w:rFonts w:ascii="Times New Roman" w:eastAsia="맑은 고딕" w:hAnsi="Times New Roman" w:cs="Times New Roman"/>
                <w:sz w:val="20"/>
                <w:szCs w:val="20"/>
                <w:vertAlign w:val="superscript"/>
                <w:lang w:val="en-GB" w:eastAsia="ko-KR"/>
              </w:rPr>
              <w:t>nd</w:t>
            </w:r>
            <w:r>
              <w:rPr>
                <w:rFonts w:ascii="Times New Roman" w:eastAsia="맑은 고딕"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e"/>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S</w:t>
            </w:r>
            <w:r>
              <w:rPr>
                <w:rFonts w:ascii="Times New Roman" w:eastAsia="맑은 고딕"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e"/>
        <w:ind w:left="1440"/>
        <w:rPr>
          <w:rFonts w:ascii="Times New Roman" w:hAnsi="Times New Roman" w:cs="Times New Roman"/>
          <w:sz w:val="20"/>
          <w:szCs w:val="20"/>
          <w:lang w:val="en-GB"/>
        </w:rPr>
      </w:pPr>
    </w:p>
    <w:p w14:paraId="16D2010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e"/>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e"/>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e"/>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맑은 고딕"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맑은 고딕"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 xml:space="preserve">Fine with the </w:t>
            </w:r>
            <w:r>
              <w:rPr>
                <w:rFonts w:ascii="Times New Roman" w:eastAsia="맑은 고딕" w:hAnsi="Times New Roman" w:cs="Times New Roman"/>
                <w:sz w:val="20"/>
                <w:szCs w:val="20"/>
                <w:lang w:eastAsia="ko-KR"/>
              </w:rPr>
              <w:t xml:space="preserve">revised </w:t>
            </w:r>
            <w:r>
              <w:rPr>
                <w:rFonts w:ascii="Times New Roman" w:eastAsia="맑은 고딕" w:hAnsi="Times New Roman" w:cs="Times New Roman" w:hint="eastAsia"/>
                <w:sz w:val="20"/>
                <w:szCs w:val="20"/>
                <w:lang w:eastAsia="ko-KR"/>
              </w:rPr>
              <w:t xml:space="preserve">proposal </w:t>
            </w:r>
            <w:r>
              <w:rPr>
                <w:rFonts w:ascii="Times New Roman" w:eastAsia="맑은 고딕" w:hAnsi="Times New Roman" w:cs="Times New Roman"/>
                <w:sz w:val="20"/>
                <w:szCs w:val="20"/>
                <w:lang w:eastAsia="ko-KR"/>
              </w:rPr>
              <w:t>2-4r1</w:t>
            </w:r>
            <w:r>
              <w:rPr>
                <w:rFonts w:ascii="Times New Roman" w:eastAsia="맑은 고딕"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e"/>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A</w:t>
            </w:r>
            <w:r>
              <w:rPr>
                <w:rFonts w:ascii="Times New Roman" w:eastAsia="맑은 고딕"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e"/>
        <w:ind w:left="1440"/>
        <w:rPr>
          <w:rFonts w:ascii="Times New Roman" w:hAnsi="Times New Roman" w:cs="Times New Roman"/>
          <w:sz w:val="20"/>
          <w:szCs w:val="20"/>
          <w:highlight w:val="yellow"/>
          <w:lang w:val="en-GB"/>
        </w:rPr>
      </w:pPr>
    </w:p>
    <w:p w14:paraId="3175A6A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e"/>
        <w:ind w:left="1440"/>
        <w:rPr>
          <w:rFonts w:ascii="Times New Roman" w:hAnsi="Times New Roman" w:cs="Times New Roman"/>
          <w:sz w:val="20"/>
          <w:szCs w:val="20"/>
          <w:lang w:val="en-GB"/>
        </w:rPr>
      </w:pPr>
    </w:p>
    <w:p w14:paraId="03CF100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e"/>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Q</w:t>
            </w:r>
            <w:r>
              <w:rPr>
                <w:rFonts w:ascii="Times New Roman" w:eastAsia="맑은 고딕"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맑은 고딕"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e"/>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e"/>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맑은 고딕"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lastRenderedPageBreak/>
              <w:t>Nokia, NSB (2</w:t>
            </w:r>
            <w:r w:rsidRPr="00372278">
              <w:rPr>
                <w:rFonts w:ascii="Times New Roman" w:eastAsia="맑은 고딕" w:hAnsi="Times New Roman" w:cs="Times New Roman"/>
                <w:sz w:val="20"/>
                <w:szCs w:val="20"/>
                <w:vertAlign w:val="superscript"/>
                <w:lang w:val="en-GB" w:eastAsia="ko-KR"/>
              </w:rPr>
              <w:t>nd</w:t>
            </w:r>
            <w:r>
              <w:rPr>
                <w:rFonts w:ascii="Times New Roman" w:eastAsia="맑은 고딕"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9"/>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e"/>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e"/>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are </w:t>
            </w:r>
            <w:r>
              <w:rPr>
                <w:rFonts w:ascii="Times New Roman" w:eastAsia="맑은 고딕"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맑은 고딕"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hint="eastAsia"/>
                <w:sz w:val="20"/>
                <w:szCs w:val="20"/>
                <w:lang w:val="en-GB"/>
              </w:rPr>
            </w:pPr>
            <w:r w:rsidRPr="00EB0C7D">
              <w:rPr>
                <w:rFonts w:ascii="Times New Roman" w:eastAsia="맑은 고딕"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맑은 고딕" w:hAnsi="Times New Roman" w:cs="Times New Roman"/>
                <w:sz w:val="20"/>
                <w:szCs w:val="20"/>
                <w:lang w:val="en-GB" w:eastAsia="ko-KR"/>
              </w:rPr>
              <w:t>scheduling</w:t>
            </w:r>
            <w:r w:rsidRPr="00EB0C7D">
              <w:rPr>
                <w:rFonts w:ascii="Times New Roman" w:eastAsia="맑은 고딕" w:hAnsi="Times New Roman" w:cs="Times New Roman"/>
                <w:sz w:val="20"/>
                <w:szCs w:val="20"/>
                <w:lang w:val="en-GB" w:eastAsia="ko-KR"/>
              </w:rPr>
              <w:t xml:space="preserve"> when making waveform decisions </w:t>
            </w:r>
            <w:r>
              <w:rPr>
                <w:rFonts w:ascii="Times New Roman" w:eastAsia="맑은 고딕" w:hAnsi="Times New Roman" w:cs="Times New Roman"/>
                <w:sz w:val="20"/>
                <w:szCs w:val="20"/>
                <w:lang w:val="en-GB" w:eastAsia="ko-KR"/>
              </w:rPr>
              <w:t>with</w:t>
            </w:r>
            <w:r w:rsidRPr="00EB0C7D">
              <w:rPr>
                <w:rFonts w:ascii="Times New Roman" w:eastAsia="맑은 고딕"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w:t>
            </w:r>
            <w:bookmarkStart w:id="5" w:name="_GoBack"/>
            <w:bookmarkEnd w:id="5"/>
            <w:r w:rsidRPr="00EB0C7D">
              <w:rPr>
                <w:rFonts w:ascii="Times New Roman" w:eastAsia="맑은 고딕" w:hAnsi="Times New Roman" w:cs="Times New Roman"/>
                <w:sz w:val="20"/>
                <w:szCs w:val="20"/>
                <w:lang w:val="en-GB" w:eastAsia="ko-KR"/>
              </w:rPr>
              <w:t>e it can effectively aid the gNB's decision-making process, as demonstrated in Option 1.</w:t>
            </w: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e"/>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S</w:t>
            </w:r>
            <w:r>
              <w:rPr>
                <w:rFonts w:ascii="Times New Roman" w:eastAsia="맑은 고딕"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e"/>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we are open to discuss, but for now we feel option 1 seems reasonable. We believe the importance of 1-bit overhead could be quite different between DCI 0_1 and DCI 0_2. Compact DCI intends to maximize DCI reliability by prioritize DCI overhead </w:t>
            </w:r>
            <w:r>
              <w:rPr>
                <w:rFonts w:ascii="Times New Roman" w:hAnsi="Times New Roman" w:cs="Times New Roman"/>
                <w:sz w:val="20"/>
                <w:szCs w:val="20"/>
                <w:lang w:val="en-GB"/>
              </w:rPr>
              <w:lastRenderedPageBreak/>
              <w:t>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바탕" w:hAnsi="Times New Roman" w:cs="Times New Roman"/>
          <w:sz w:val="20"/>
          <w:szCs w:val="20"/>
          <w:lang w:val="en-GB" w:eastAsia="en-US"/>
        </w:rPr>
      </w:pPr>
    </w:p>
    <w:p w14:paraId="537CCBE4" w14:textId="77777777" w:rsidR="00466196" w:rsidRDefault="001F1E05">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바탕"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t>The d</w:t>
      </w:r>
      <w:r>
        <w:rPr>
          <w:rFonts w:ascii="Times New Roman" w:eastAsia="바탕"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Note: the 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바탕"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7" w:name="_Hlk127399401"/>
      <w:r>
        <w:rPr>
          <w:rFonts w:ascii="Times" w:eastAsia="DengXian"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바탕" w:hAnsi="Times" w:cs="Times New Roman"/>
          <w:sz w:val="20"/>
          <w:szCs w:val="24"/>
          <w:lang w:val="en-GB" w:eastAsia="zh-CN"/>
        </w:rPr>
      </w:pPr>
    </w:p>
    <w:p w14:paraId="638FCB05" w14:textId="77777777" w:rsidR="00466196" w:rsidRDefault="00466196">
      <w:pPr>
        <w:spacing w:after="0" w:line="240" w:lineRule="auto"/>
        <w:ind w:left="720"/>
        <w:rPr>
          <w:rFonts w:ascii="Times New Roman" w:eastAsia="바탕" w:hAnsi="Times New Roman" w:cs="Times New Roman"/>
          <w:sz w:val="20"/>
          <w:szCs w:val="20"/>
          <w:lang w:val="en-GB" w:eastAsia="zh-CN"/>
        </w:rPr>
      </w:pPr>
    </w:p>
    <w:p w14:paraId="1E6C719C" w14:textId="77777777" w:rsidR="00466196" w:rsidRDefault="001F1E05">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power headroom related information based on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details, e.g. report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lastRenderedPageBreak/>
        <w:t>PHR triggered by waveform switching</w:t>
      </w:r>
    </w:p>
    <w:p w14:paraId="0B33A249"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바탕"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lastRenderedPageBreak/>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50E93" w14:textId="77777777" w:rsidR="009764B7" w:rsidRDefault="009764B7" w:rsidP="007812F0">
      <w:pPr>
        <w:spacing w:after="0" w:line="240" w:lineRule="auto"/>
      </w:pPr>
      <w:r>
        <w:separator/>
      </w:r>
    </w:p>
  </w:endnote>
  <w:endnote w:type="continuationSeparator" w:id="0">
    <w:p w14:paraId="235C346D" w14:textId="77777777" w:rsidR="009764B7" w:rsidRDefault="009764B7"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5D5E0" w14:textId="77777777" w:rsidR="009764B7" w:rsidRDefault="009764B7" w:rsidP="007812F0">
      <w:pPr>
        <w:spacing w:after="0" w:line="240" w:lineRule="auto"/>
      </w:pPr>
      <w:r>
        <w:separator/>
      </w:r>
    </w:p>
  </w:footnote>
  <w:footnote w:type="continuationSeparator" w:id="0">
    <w:p w14:paraId="0B8015D1" w14:textId="77777777" w:rsidR="009764B7" w:rsidRDefault="009764B7" w:rsidP="0078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23120E99-C65D-41F2-8EB6-898F1613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24189</Words>
  <Characters>137882</Characters>
  <Application>Microsoft Office Word</Application>
  <DocSecurity>0</DocSecurity>
  <Lines>1149</Lines>
  <Paragraphs>323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Choongsang Ban/5G Wireless Connect Standard Task(choongsang.ban@lge.com)</cp:lastModifiedBy>
  <cp:revision>4</cp:revision>
  <dcterms:created xsi:type="dcterms:W3CDTF">2023-04-24T08:44:00Z</dcterms:created>
  <dcterms:modified xsi:type="dcterms:W3CDTF">2023-04-24T15:12:00Z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