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46E650F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5A0C56">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OPPO</w:t>
            </w:r>
          </w:p>
        </w:tc>
        <w:tc>
          <w:tcPr>
            <w:tcW w:w="7285" w:type="dxa"/>
          </w:tcPr>
          <w:p w14:paraId="0C19E2D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27EC274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5A0C56">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af4"/>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宋体"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宋体"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宋体"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lastRenderedPageBreak/>
              <w:t>L</w:t>
            </w:r>
            <w:r>
              <w:rPr>
                <w:rFonts w:ascii="Times New Roman" w:eastAsia="等线"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24D1CB1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lastRenderedPageBreak/>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7E002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3F29C4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227EF5C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OPPO</w:t>
            </w:r>
          </w:p>
        </w:tc>
        <w:tc>
          <w:tcPr>
            <w:tcW w:w="7285" w:type="dxa"/>
          </w:tcPr>
          <w:p w14:paraId="0C9DB8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3D6AAEE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161E8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lastRenderedPageBreak/>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decide when to trigger waveform switch based on how much additional power a UE can deliver using alternate waveform [23][28]</w:t>
      </w:r>
    </w:p>
    <w:p w14:paraId="762484E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2631DE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等线"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22569E9" w14:textId="77777777" w:rsidR="000C4953" w:rsidRDefault="005A0C56">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405CB7A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Pr>
          <w:p w14:paraId="6BE466B6"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29FD40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45979504" w14:textId="3FA8CB86"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w:t>
            </w:r>
            <w:proofErr w:type="spellStart"/>
            <w:r>
              <w:rPr>
                <w:rFonts w:ascii="Times New Roman" w:eastAsia="等线" w:hAnsi="Times New Roman" w:cs="Times New Roman"/>
                <w:bCs/>
                <w:sz w:val="20"/>
                <w:szCs w:val="20"/>
                <w:lang w:eastAsia="zh-CN"/>
              </w:rPr>
              <w:t>headrooms</w:t>
            </w:r>
            <w:proofErr w:type="spellEnd"/>
            <w:r>
              <w:rPr>
                <w:rFonts w:ascii="Times New Roman" w:eastAsia="等线" w:hAnsi="Times New Roman" w:cs="Times New Roman"/>
                <w:bCs/>
                <w:sz w:val="20"/>
                <w:szCs w:val="20"/>
                <w:lang w:eastAsia="zh-CN"/>
              </w:rPr>
              <w:t xml:space="preserve"> of both waveforms are reported,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switch the transmission waveform timely. If no enhancement is made (Option 4),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w:t>
            </w:r>
            <w:r w:rsidR="00A46E45">
              <w:rPr>
                <w:rFonts w:ascii="Times New Roman" w:eastAsia="等线" w:hAnsi="Times New Roman" w:cs="Times New Roman"/>
                <w:bCs/>
                <w:sz w:val="20"/>
                <w:szCs w:val="20"/>
                <w:lang w:eastAsia="zh-CN"/>
              </w:rPr>
              <w:t xml:space="preserve"> </w:t>
            </w:r>
            <w:r>
              <w:rPr>
                <w:rFonts w:ascii="Times New Roman" w:eastAsia="等线"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等线"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324EE47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0B450A03"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Sony</w:t>
            </w:r>
          </w:p>
        </w:tc>
        <w:tc>
          <w:tcPr>
            <w:tcW w:w="7285" w:type="dxa"/>
          </w:tcPr>
          <w:p w14:paraId="102DC83E" w14:textId="20287FF8"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lastRenderedPageBreak/>
        <w:t>Agreement</w:t>
      </w:r>
    </w:p>
    <w:p w14:paraId="5060DDA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59F5BF28" w14:textId="77777777" w:rsidR="000C4953" w:rsidRDefault="005A0C56">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5A0C56">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2B17" w14:textId="77777777" w:rsidR="004B35F3" w:rsidRDefault="004B35F3">
      <w:pPr>
        <w:spacing w:line="240" w:lineRule="auto"/>
      </w:pPr>
      <w:r>
        <w:separator/>
      </w:r>
    </w:p>
  </w:endnote>
  <w:endnote w:type="continuationSeparator" w:id="0">
    <w:p w14:paraId="1D702F4D" w14:textId="77777777" w:rsidR="004B35F3" w:rsidRDefault="004B3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65AC" w14:textId="77777777" w:rsidR="004B35F3" w:rsidRDefault="004B35F3">
      <w:pPr>
        <w:spacing w:after="0"/>
      </w:pPr>
      <w:r>
        <w:separator/>
      </w:r>
    </w:p>
  </w:footnote>
  <w:footnote w:type="continuationSeparator" w:id="0">
    <w:p w14:paraId="4F826FA8" w14:textId="77777777" w:rsidR="004B35F3" w:rsidRDefault="004B35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19931</Words>
  <Characters>113610</Characters>
  <Application>Microsoft Office Word</Application>
  <DocSecurity>0</DocSecurity>
  <Lines>946</Lines>
  <Paragraphs>266</Paragraphs>
  <ScaleCrop>false</ScaleCrop>
  <Company>Mediatek</Company>
  <LinksUpToDate>false</LinksUpToDate>
  <CharactersWithSpaces>133275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Lingling LL2 Xiao</cp:lastModifiedBy>
  <cp:revision>7</cp:revision>
  <dcterms:created xsi:type="dcterms:W3CDTF">2023-04-20T11:34:00Z</dcterms:created>
  <dcterms:modified xsi:type="dcterms:W3CDTF">2023-04-20T11:57:00Z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