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f"/>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f"/>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f"/>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f"/>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f4"/>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f"/>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f"/>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f"/>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f4"/>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f4"/>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f"/>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f4"/>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等线"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w:t>
            </w:r>
            <w:r w:rsidR="0099437E">
              <w:rPr>
                <w:rFonts w:ascii="Times New Roman" w:eastAsia="等线" w:hAnsi="Times New Roman" w:cs="Times New Roman"/>
                <w:sz w:val="20"/>
                <w:szCs w:val="20"/>
                <w:lang w:val="en-GB" w:eastAsia="zh-CN"/>
              </w:rPr>
              <w:t xml:space="preserve">make compromise and </w:t>
            </w:r>
            <w:r>
              <w:rPr>
                <w:rFonts w:ascii="Times New Roman" w:eastAsia="等线"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等线"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Sony [9] and Mavenir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f"/>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still not convinced why we need to discuss th</w:t>
            </w:r>
            <w:r w:rsidR="00E126A5">
              <w:rPr>
                <w:rFonts w:ascii="Times New Roman" w:eastAsia="等线" w:hAnsi="Times New Roman" w:cs="Times New Roman"/>
                <w:sz w:val="20"/>
                <w:szCs w:val="20"/>
                <w:lang w:eastAsia="zh-CN"/>
              </w:rPr>
              <w:t>ese</w:t>
            </w:r>
            <w:r>
              <w:rPr>
                <w:rFonts w:ascii="Times New Roman" w:eastAsia="等线" w:hAnsi="Times New Roman" w:cs="Times New Roman"/>
                <w:sz w:val="20"/>
                <w:szCs w:val="20"/>
                <w:lang w:eastAsia="zh-CN"/>
              </w:rPr>
              <w:t xml:space="preserve"> issue</w:t>
            </w:r>
            <w:r w:rsidR="00E126A5">
              <w:rPr>
                <w:rFonts w:ascii="Times New Roman" w:eastAsia="等线" w:hAnsi="Times New Roman" w:cs="Times New Roman"/>
                <w:sz w:val="20"/>
                <w:szCs w:val="20"/>
                <w:lang w:eastAsia="zh-CN"/>
              </w:rPr>
              <w:t>s</w:t>
            </w:r>
            <w:r>
              <w:rPr>
                <w:rFonts w:ascii="Times New Roman" w:eastAsia="等线" w:hAnsi="Times New Roman" w:cs="Times New Roman"/>
                <w:sz w:val="20"/>
                <w:szCs w:val="20"/>
                <w:lang w:eastAsia="zh-CN"/>
              </w:rPr>
              <w:t xml:space="preserve">.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DWS indication should not be configured because DFT-S-OFDM does not support rank &gt; 1. Moderator thinks it may depend on whether fallback to 1 TB is </w:t>
      </w:r>
      <w:r>
        <w:rPr>
          <w:rFonts w:ascii="Times New Roman" w:hAnsi="Times New Roman" w:cs="Times New Roman"/>
          <w:sz w:val="20"/>
          <w:szCs w:val="20"/>
          <w:lang w:val="en-GB"/>
        </w:rPr>
        <w:lastRenderedPageBreak/>
        <w:t>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w:t>
            </w:r>
            <w:r w:rsidRPr="00622D7B">
              <w:rPr>
                <w:rFonts w:ascii="Times New Roman" w:eastAsia="等线"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等线"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lastRenderedPageBreak/>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gNB</w:t>
            </w:r>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gNB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gNB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5C566B96" w14:textId="7DC97C35"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for both waveforms. We can not interpret this as FFS since there is no guarantee that all companies will have the same understanding without spelling it out explitcitly. The case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w:t>
            </w:r>
            <w:r w:rsidR="00D94723">
              <w:rPr>
                <w:rFonts w:ascii="Times New Roman" w:eastAsia="等线"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等线"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等线"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lastRenderedPageBreak/>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f4"/>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hint="eastAsia"/>
                <w:sz w:val="20"/>
                <w:szCs w:val="20"/>
                <w:lang w:val="en-GB"/>
              </w:rPr>
            </w:pPr>
            <w:r>
              <w:rPr>
                <w:rFonts w:ascii="Times New Roman" w:hAnsi="Times New Roman" w:cs="Times New Roman"/>
                <w:sz w:val="20"/>
                <w:szCs w:val="20"/>
                <w:lang w:val="en-GB"/>
              </w:rPr>
              <w:t>Fine with the proposal and prefer option 1.</w:t>
            </w:r>
            <w:bookmarkStart w:id="2" w:name="_GoBack"/>
            <w:bookmarkEnd w:id="2"/>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0DE1" w14:textId="77777777" w:rsidR="0002518A" w:rsidRDefault="0002518A">
      <w:pPr>
        <w:spacing w:line="240" w:lineRule="auto"/>
      </w:pPr>
      <w:r>
        <w:separator/>
      </w:r>
    </w:p>
  </w:endnote>
  <w:endnote w:type="continuationSeparator" w:id="0">
    <w:p w14:paraId="64461C85" w14:textId="77777777" w:rsidR="0002518A" w:rsidRDefault="00025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17AA" w14:textId="77777777" w:rsidR="0002518A" w:rsidRDefault="0002518A">
      <w:pPr>
        <w:spacing w:after="0"/>
      </w:pPr>
      <w:r>
        <w:separator/>
      </w:r>
    </w:p>
  </w:footnote>
  <w:footnote w:type="continuationSeparator" w:id="0">
    <w:p w14:paraId="50A68B9C" w14:textId="77777777" w:rsidR="0002518A" w:rsidRDefault="000251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48C9C10-B8C4-4D2C-9ACC-09875B46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14767</Words>
  <Characters>84176</Characters>
  <Application>Microsoft Office Word</Application>
  <DocSecurity>0</DocSecurity>
  <Lines>701</Lines>
  <Paragraphs>197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 LIANG</cp:lastModifiedBy>
  <cp:revision>2</cp:revision>
  <dcterms:created xsi:type="dcterms:W3CDTF">2023-04-19T02:23:00Z</dcterms:created>
  <dcterms:modified xsi:type="dcterms:W3CDTF">2023-04-19T02:23:00Z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